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6" w:lineRule="exact"/>
        <w:rPr>
          <w:sz w:val="24"/>
          <w:szCs w:val="24"/>
          <w:color w:val="auto"/>
        </w:rPr>
      </w:pPr>
    </w:p>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113030</wp:posOffset>
            </wp:positionV>
            <wp:extent cx="328358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283585" cy="8255"/>
                    </a:xfrm>
                    <a:prstGeom prst="rect">
                      <a:avLst/>
                    </a:prstGeom>
                    <a:noFill/>
                  </pic:spPr>
                </pic:pic>
              </a:graphicData>
            </a:graphic>
          </wp:anchor>
        </w:drawing>
      </w:r>
    </w:p>
    <w:p>
      <w:pPr>
        <w:spacing w:after="0" w:line="26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126365</wp:posOffset>
            </wp:positionV>
            <wp:extent cx="328358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283585" cy="8255"/>
                    </a:xfrm>
                    <a:prstGeom prst="rect">
                      <a:avLst/>
                    </a:prstGeom>
                    <a:noFill/>
                  </pic:spPr>
                </pic:pic>
              </a:graphicData>
            </a:graphic>
          </wp:anchor>
        </w:drawing>
      </w:r>
    </w:p>
    <w:p>
      <w:pPr>
        <w:spacing w:after="0" w:line="372" w:lineRule="exact"/>
        <w:rPr>
          <w:sz w:val="24"/>
          <w:szCs w:val="24"/>
          <w:color w:val="auto"/>
        </w:rPr>
      </w:pPr>
    </w:p>
    <w:p>
      <w:pPr>
        <w:ind w:left="700" w:hanging="658"/>
        <w:spacing w:after="0"/>
        <w:tabs>
          <w:tab w:leader="none" w:pos="7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ANNUAL REPORT PURSUANT TO SECTION 13 OR 15(d) OF THE SECURITIES EXCHANGE ACT OF 1934</w:t>
      </w:r>
    </w:p>
    <w:p>
      <w:pPr>
        <w:spacing w:after="0" w:line="37" w:lineRule="exact"/>
        <w:rPr>
          <w:sz w:val="24"/>
          <w:szCs w:val="24"/>
          <w:color w:val="auto"/>
        </w:rPr>
      </w:pPr>
    </w:p>
    <w:p>
      <w:pPr>
        <w:ind w:left="700"/>
        <w:spacing w:after="0"/>
        <w:tabs>
          <w:tab w:leader="none" w:pos="3780" w:val="left"/>
        </w:tabs>
        <w:rPr>
          <w:sz w:val="20"/>
          <w:szCs w:val="20"/>
          <w:color w:val="auto"/>
        </w:rPr>
      </w:pPr>
      <w:r>
        <w:rPr>
          <w:rFonts w:ascii="Arial" w:cs="Arial" w:eastAsia="Arial" w:hAnsi="Arial"/>
          <w:sz w:val="18"/>
          <w:szCs w:val="18"/>
          <w:b w:val="1"/>
          <w:bCs w:val="1"/>
          <w:color w:val="auto"/>
        </w:rPr>
        <w:t>For the Fiscal Year Ended</w:t>
      </w:r>
      <w:r>
        <w:rPr>
          <w:sz w:val="20"/>
          <w:szCs w:val="20"/>
          <w:color w:val="auto"/>
        </w:rPr>
        <w:tab/>
      </w:r>
      <w:r>
        <w:rPr>
          <w:rFonts w:ascii="Arial" w:cs="Arial" w:eastAsia="Arial" w:hAnsi="Arial"/>
          <w:sz w:val="15"/>
          <w:szCs w:val="15"/>
          <w:b w:val="1"/>
          <w:bCs w:val="1"/>
          <w:color w:val="auto"/>
        </w:rPr>
        <w:t>December 31, 2022</w:t>
      </w:r>
    </w:p>
    <w:p>
      <w:pPr>
        <w:spacing w:after="0" w:line="1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43" w:lineRule="exact"/>
        <w:rPr>
          <w:sz w:val="24"/>
          <w:szCs w:val="24"/>
          <w:color w:val="auto"/>
        </w:rPr>
      </w:pPr>
    </w:p>
    <w:p>
      <w:pPr>
        <w:ind w:left="700" w:hanging="664"/>
        <w:spacing w:after="0"/>
        <w:tabs>
          <w:tab w:leader="none" w:pos="700" w:val="left"/>
        </w:tabs>
        <w:numPr>
          <w:ilvl w:val="0"/>
          <w:numId w:val="2"/>
        </w:numPr>
        <w:rPr>
          <w:rFonts w:ascii="MS PGothic" w:cs="MS PGothic" w:eastAsia="MS PGothic" w:hAnsi="MS PGothic"/>
          <w:sz w:val="16"/>
          <w:szCs w:val="16"/>
          <w:color w:val="auto"/>
        </w:rPr>
      </w:pPr>
      <w:r>
        <w:rPr>
          <w:rFonts w:ascii="Arial" w:cs="Arial" w:eastAsia="Arial" w:hAnsi="Arial"/>
          <w:sz w:val="16"/>
          <w:szCs w:val="16"/>
          <w:b w:val="1"/>
          <w:bCs w:val="1"/>
          <w:color w:val="auto"/>
        </w:rPr>
        <w:t>TRANSITION REPORT PURSUANT TO SECTION 13 OR 15(d) OF THE SECURITIES EXCHANGE ACT OF 1934</w:t>
      </w:r>
    </w:p>
    <w:p>
      <w:pPr>
        <w:sectPr>
          <w:pgSz w:w="11900" w:h="16955" w:orient="portrait"/>
          <w:cols w:equalWidth="0" w:num="1">
            <w:col w:w="11240"/>
          </w:cols>
          <w:pgMar w:left="320" w:top="226" w:right="339" w:bottom="0" w:gutter="0" w:footer="0" w:header="0"/>
        </w:sectPr>
      </w:pPr>
    </w:p>
    <w:p>
      <w:pPr>
        <w:spacing w:after="0" w:line="61" w:lineRule="exact"/>
        <w:rPr>
          <w:sz w:val="24"/>
          <w:szCs w:val="24"/>
          <w:color w:val="auto"/>
        </w:rPr>
      </w:pPr>
    </w:p>
    <w:p>
      <w:pPr>
        <w:ind w:left="700"/>
        <w:spacing w:after="0"/>
        <w:tabs>
          <w:tab w:leader="none" w:pos="36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ectPr>
          <w:pgSz w:w="11900" w:h="16955" w:orient="portrait"/>
          <w:cols w:equalWidth="0" w:num="1">
            <w:col w:w="11240"/>
          </w:cols>
          <w:pgMar w:left="320" w:top="226" w:right="339" w:bottom="0" w:gutter="0" w:footer="0" w:header="0"/>
          <w:type w:val="continuous"/>
        </w:sectPr>
      </w:pPr>
    </w:p>
    <w:p>
      <w:pPr>
        <w:spacing w:after="0" w:line="180" w:lineRule="exact"/>
        <w:rPr>
          <w:sz w:val="24"/>
          <w:szCs w:val="24"/>
          <w:color w:val="auto"/>
        </w:rPr>
      </w:pPr>
    </w:p>
    <w:p>
      <w:pPr>
        <w:jc w:val="center"/>
        <w:spacing w:after="0"/>
        <w:rPr>
          <w:sz w:val="20"/>
          <w:szCs w:val="20"/>
          <w:color w:val="auto"/>
        </w:rPr>
      </w:pPr>
      <w:r>
        <w:rPr>
          <w:rFonts w:ascii="Arial" w:cs="Arial" w:eastAsia="Arial" w:hAnsi="Arial"/>
          <w:sz w:val="15"/>
          <w:szCs w:val="15"/>
          <w:b w:val="1"/>
          <w:bCs w:val="1"/>
          <w:color w:val="auto"/>
        </w:rPr>
        <w:t>Commission File No. 001-36567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1933575</wp:posOffset>
            </wp:positionH>
            <wp:positionV relativeFrom="paragraph">
              <wp:posOffset>161290</wp:posOffset>
            </wp:positionV>
            <wp:extent cx="32835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283585" cy="8255"/>
                    </a:xfrm>
                    <a:prstGeom prst="rect">
                      <a:avLst/>
                    </a:prstGeom>
                    <a:noFill/>
                  </pic:spPr>
                </pic:pic>
              </a:graphicData>
            </a:graphic>
          </wp:anchor>
        </w:drawing>
      </w:r>
    </w:p>
    <w:p>
      <w:pPr>
        <w:sectPr>
          <w:pgSz w:w="11900" w:h="16955" w:orient="portrait"/>
          <w:cols w:equalWidth="0" w:num="1">
            <w:col w:w="11240"/>
          </w:cols>
          <w:pgMar w:left="320" w:top="226" w:right="339" w:bottom="0" w:gutter="0" w:footer="0" w:header="0"/>
          <w:type w:val="continuous"/>
        </w:sectPr>
      </w:pPr>
    </w:p>
    <w:p>
      <w:pPr>
        <w:spacing w:after="0" w:line="331" w:lineRule="exact"/>
        <w:rPr>
          <w:sz w:val="24"/>
          <w:szCs w:val="24"/>
          <w:color w:val="auto"/>
        </w:rPr>
      </w:pPr>
    </w:p>
    <w:p>
      <w:pPr>
        <w:jc w:val="center"/>
        <w:spacing w:after="0"/>
        <w:rPr>
          <w:sz w:val="20"/>
          <w:szCs w:val="20"/>
          <w:color w:val="auto"/>
        </w:rPr>
      </w:pPr>
      <w:r>
        <w:rPr>
          <w:rFonts w:ascii="Arial" w:cs="Arial" w:eastAsia="Arial" w:hAnsi="Arial"/>
          <w:sz w:val="42"/>
          <w:szCs w:val="42"/>
          <w:b w:val="1"/>
          <w:bCs w:val="1"/>
          <w:color w:val="auto"/>
        </w:rPr>
        <w:t>Westlake Chemical Partners LP</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1917065</wp:posOffset>
            </wp:positionH>
            <wp:positionV relativeFrom="paragraph">
              <wp:posOffset>43815</wp:posOffset>
            </wp:positionV>
            <wp:extent cx="328358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83585" cy="8255"/>
                    </a:xfrm>
                    <a:prstGeom prst="rect">
                      <a:avLst/>
                    </a:prstGeom>
                    <a:noFill/>
                  </pic:spPr>
                </pic:pic>
              </a:graphicData>
            </a:graphic>
          </wp:anchor>
        </w:drawing>
      </w:r>
    </w:p>
    <w:p>
      <w:pPr>
        <w:spacing w:after="0" w:line="228" w:lineRule="exact"/>
        <w:rPr>
          <w:sz w:val="24"/>
          <w:szCs w:val="24"/>
          <w:color w:val="auto"/>
        </w:rPr>
      </w:pPr>
    </w:p>
    <w:tbl>
      <w:tblPr>
        <w:tblLayout w:type="fixed"/>
        <w:tblInd w:w="50" w:type="dxa"/>
        <w:tblCellMar>
          <w:top w:w="0" w:type="dxa"/>
          <w:left w:w="0" w:type="dxa"/>
          <w:bottom w:w="0" w:type="dxa"/>
          <w:right w:w="0" w:type="dxa"/>
        </w:tblCellMar>
      </w:tblPr>
      <w:tr>
        <w:trPr>
          <w:trHeight w:val="220"/>
        </w:trPr>
        <w:tc>
          <w:tcPr>
            <w:tcW w:w="3740" w:type="dxa"/>
            <w:vAlign w:val="bottom"/>
            <w:gridSpan w:val="3"/>
          </w:tcPr>
          <w:p>
            <w:pPr>
              <w:jc w:val="center"/>
              <w:ind w:left="1639"/>
              <w:spacing w:after="0"/>
              <w:rPr>
                <w:sz w:val="20"/>
                <w:szCs w:val="20"/>
                <w:color w:val="auto"/>
              </w:rPr>
            </w:pPr>
            <w:r>
              <w:rPr>
                <w:rFonts w:ascii="Arial" w:cs="Arial" w:eastAsia="Arial" w:hAnsi="Arial"/>
                <w:sz w:val="18"/>
                <w:szCs w:val="18"/>
                <w:b w:val="1"/>
                <w:bCs w:val="1"/>
                <w:color w:val="auto"/>
                <w:w w:val="88"/>
              </w:rPr>
              <w:t>Delaware</w:t>
            </w:r>
          </w:p>
        </w:tc>
        <w:tc>
          <w:tcPr>
            <w:tcW w:w="28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980" w:type="dxa"/>
            <w:vAlign w:val="bottom"/>
            <w:gridSpan w:val="3"/>
          </w:tcPr>
          <w:p>
            <w:pPr>
              <w:jc w:val="center"/>
              <w:ind w:left="143"/>
              <w:spacing w:after="0"/>
              <w:rPr>
                <w:sz w:val="20"/>
                <w:szCs w:val="20"/>
                <w:color w:val="auto"/>
              </w:rPr>
            </w:pPr>
            <w:r>
              <w:rPr>
                <w:rFonts w:ascii="Arial" w:cs="Arial" w:eastAsia="Arial" w:hAnsi="Arial"/>
                <w:sz w:val="18"/>
                <w:szCs w:val="18"/>
                <w:b w:val="1"/>
                <w:bCs w:val="1"/>
                <w:color w:val="auto"/>
                <w:w w:val="87"/>
              </w:rPr>
              <w:t>32-0436529</w:t>
            </w: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3740" w:type="dxa"/>
            <w:vAlign w:val="bottom"/>
            <w:gridSpan w:val="3"/>
          </w:tcPr>
          <w:p>
            <w:pPr>
              <w:jc w:val="center"/>
              <w:ind w:left="1639"/>
              <w:spacing w:after="0" w:line="145" w:lineRule="exact"/>
              <w:rPr>
                <w:sz w:val="20"/>
                <w:szCs w:val="20"/>
                <w:color w:val="auto"/>
              </w:rPr>
            </w:pPr>
            <w:r>
              <w:rPr>
                <w:rFonts w:ascii="Arial" w:cs="Arial" w:eastAsia="Arial" w:hAnsi="Arial"/>
                <w:sz w:val="14"/>
                <w:szCs w:val="14"/>
                <w:b w:val="1"/>
                <w:bCs w:val="1"/>
                <w:color w:val="auto"/>
                <w:w w:val="90"/>
              </w:rPr>
              <w:t>(State or other jurisdiction of</w:t>
            </w:r>
          </w:p>
        </w:tc>
        <w:tc>
          <w:tcPr>
            <w:tcW w:w="28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980" w:type="dxa"/>
            <w:vAlign w:val="bottom"/>
            <w:gridSpan w:val="3"/>
          </w:tcPr>
          <w:p>
            <w:pPr>
              <w:jc w:val="center"/>
              <w:ind w:left="143"/>
              <w:spacing w:after="0" w:line="145" w:lineRule="exact"/>
              <w:rPr>
                <w:sz w:val="20"/>
                <w:szCs w:val="20"/>
                <w:color w:val="auto"/>
              </w:rPr>
            </w:pPr>
            <w:r>
              <w:rPr>
                <w:rFonts w:ascii="Arial" w:cs="Arial" w:eastAsia="Arial" w:hAnsi="Arial"/>
                <w:sz w:val="14"/>
                <w:szCs w:val="14"/>
                <w:b w:val="1"/>
                <w:bCs w:val="1"/>
                <w:color w:val="auto"/>
                <w:w w:val="93"/>
              </w:rPr>
              <w:t>(I.R.S. Employer</w:t>
            </w:r>
          </w:p>
        </w:tc>
        <w:tc>
          <w:tcPr>
            <w:tcW w:w="1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3"/>
        </w:trPr>
        <w:tc>
          <w:tcPr>
            <w:tcW w:w="3740" w:type="dxa"/>
            <w:vAlign w:val="bottom"/>
            <w:gridSpan w:val="3"/>
          </w:tcPr>
          <w:p>
            <w:pPr>
              <w:jc w:val="center"/>
              <w:ind w:left="1639"/>
              <w:spacing w:after="0"/>
              <w:rPr>
                <w:sz w:val="20"/>
                <w:szCs w:val="20"/>
                <w:color w:val="auto"/>
              </w:rPr>
            </w:pPr>
            <w:r>
              <w:rPr>
                <w:rFonts w:ascii="Arial" w:cs="Arial" w:eastAsia="Arial" w:hAnsi="Arial"/>
                <w:sz w:val="14"/>
                <w:szCs w:val="14"/>
                <w:b w:val="1"/>
                <w:bCs w:val="1"/>
                <w:color w:val="auto"/>
                <w:w w:val="91"/>
              </w:rPr>
              <w:t>incorporation or organization)</w:t>
            </w:r>
          </w:p>
        </w:tc>
        <w:tc>
          <w:tcPr>
            <w:tcW w:w="28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980" w:type="dxa"/>
            <w:vAlign w:val="bottom"/>
            <w:gridSpan w:val="3"/>
          </w:tcPr>
          <w:p>
            <w:pPr>
              <w:jc w:val="center"/>
              <w:ind w:left="123"/>
              <w:spacing w:after="0"/>
              <w:rPr>
                <w:sz w:val="20"/>
                <w:szCs w:val="20"/>
                <w:color w:val="auto"/>
              </w:rPr>
            </w:pPr>
            <w:r>
              <w:rPr>
                <w:rFonts w:ascii="Arial" w:cs="Arial" w:eastAsia="Arial" w:hAnsi="Arial"/>
                <w:sz w:val="14"/>
                <w:szCs w:val="14"/>
                <w:b w:val="1"/>
                <w:bCs w:val="1"/>
                <w:color w:val="auto"/>
                <w:w w:val="92"/>
              </w:rPr>
              <w:t>Identification No.)</w:t>
            </w: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0"/>
        </w:trPr>
        <w:tc>
          <w:tcPr>
            <w:tcW w:w="3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70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87"/>
              </w:rPr>
              <w:t>2801 Post Oak Boulevard, Suite 600</w:t>
            </w: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3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7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5"/>
              </w:rPr>
              <w:t>Houston, Texas 77056</w:t>
            </w:r>
          </w:p>
        </w:tc>
        <w:tc>
          <w:tcPr>
            <w:tcW w:w="7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3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7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8"/>
              </w:rPr>
              <w:t>(Address of principal executive offices, including zip code)</w:t>
            </w: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30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60" w:type="dxa"/>
            <w:vAlign w:val="bottom"/>
          </w:tcPr>
          <w:p>
            <w:pPr>
              <w:jc w:val="center"/>
              <w:ind w:left="760"/>
              <w:spacing w:after="0"/>
              <w:rPr>
                <w:sz w:val="20"/>
                <w:szCs w:val="20"/>
                <w:color w:val="auto"/>
              </w:rPr>
            </w:pPr>
            <w:r>
              <w:rPr>
                <w:rFonts w:ascii="Arial" w:cs="Arial" w:eastAsia="Arial" w:hAnsi="Arial"/>
                <w:sz w:val="18"/>
                <w:szCs w:val="18"/>
                <w:b w:val="1"/>
                <w:bCs w:val="1"/>
                <w:color w:val="auto"/>
                <w:w w:val="89"/>
              </w:rPr>
              <w:t>(713) 585-2900</w:t>
            </w:r>
          </w:p>
        </w:tc>
        <w:tc>
          <w:tcPr>
            <w:tcW w:w="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3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7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9"/>
              </w:rPr>
              <w:t>(Registrant's telephone number, including area code)</w:t>
            </w:r>
          </w:p>
        </w:tc>
        <w:tc>
          <w:tcPr>
            <w:tcW w:w="7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30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3360" w:type="dxa"/>
            <w:vAlign w:val="bottom"/>
            <w:tcBorders>
              <w:bottom w:val="single" w:sz="8" w:color="auto"/>
            </w:tcBorders>
            <w:gridSpan w:val="2"/>
          </w:tcPr>
          <w:p>
            <w:pPr>
              <w:spacing w:after="0"/>
              <w:rPr>
                <w:sz w:val="11"/>
                <w:szCs w:val="11"/>
                <w:color w:val="auto"/>
              </w:rPr>
            </w:pPr>
          </w:p>
        </w:tc>
        <w:tc>
          <w:tcPr>
            <w:tcW w:w="1580" w:type="dxa"/>
            <w:vAlign w:val="bottom"/>
            <w:tcBorders>
              <w:bottom w:val="single" w:sz="8" w:color="auto"/>
            </w:tcBorders>
            <w:gridSpan w:val="2"/>
          </w:tcPr>
          <w:p>
            <w:pPr>
              <w:spacing w:after="0"/>
              <w:rPr>
                <w:sz w:val="11"/>
                <w:szCs w:val="11"/>
                <w:color w:val="auto"/>
              </w:rPr>
            </w:pPr>
          </w:p>
        </w:tc>
        <w:tc>
          <w:tcPr>
            <w:tcW w:w="5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1"/>
        </w:trPr>
        <w:tc>
          <w:tcPr>
            <w:tcW w:w="3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520" w:type="dxa"/>
            <w:vAlign w:val="bottom"/>
            <w:gridSpan w:val="5"/>
          </w:tcPr>
          <w:p>
            <w:pPr>
              <w:ind w:left="220"/>
              <w:spacing w:after="0"/>
              <w:rPr>
                <w:sz w:val="20"/>
                <w:szCs w:val="20"/>
                <w:color w:val="auto"/>
              </w:rPr>
            </w:pPr>
            <w:r>
              <w:rPr>
                <w:rFonts w:ascii="Arial" w:cs="Arial" w:eastAsia="Arial" w:hAnsi="Arial"/>
                <w:sz w:val="18"/>
                <w:szCs w:val="18"/>
                <w:b w:val="1"/>
                <w:bCs w:val="1"/>
                <w:color w:val="auto"/>
              </w:rPr>
              <w:t>Securities registered pursuant to Section 12(b) of the Act:</w:t>
            </w:r>
          </w:p>
        </w:tc>
        <w:tc>
          <w:tcPr>
            <w:tcW w:w="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324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24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Title of each class</w:t>
            </w:r>
          </w:p>
        </w:tc>
        <w:tc>
          <w:tcPr>
            <w:tcW w:w="500" w:type="dxa"/>
            <w:vAlign w:val="bottom"/>
            <w:tcBorders>
              <w:bottom w:val="single" w:sz="8" w:color="auto"/>
            </w:tcBorders>
          </w:tcPr>
          <w:p>
            <w:pPr>
              <w:spacing w:after="0"/>
              <w:rPr>
                <w:sz w:val="15"/>
                <w:szCs w:val="15"/>
                <w:color w:val="auto"/>
              </w:rPr>
            </w:pPr>
          </w:p>
        </w:tc>
        <w:tc>
          <w:tcPr>
            <w:tcW w:w="2860" w:type="dxa"/>
            <w:vAlign w:val="bottom"/>
            <w:tcBorders>
              <w:bottom w:val="single" w:sz="8" w:color="auto"/>
              <w:right w:val="single" w:sz="8" w:color="auto"/>
            </w:tcBorders>
          </w:tcPr>
          <w:p>
            <w:pPr>
              <w:jc w:val="center"/>
              <w:ind w:right="460"/>
              <w:spacing w:after="0"/>
              <w:rPr>
                <w:sz w:val="20"/>
                <w:szCs w:val="20"/>
                <w:color w:val="auto"/>
              </w:rPr>
            </w:pPr>
            <w:r>
              <w:rPr>
                <w:rFonts w:ascii="Arial" w:cs="Arial" w:eastAsia="Arial" w:hAnsi="Arial"/>
                <w:sz w:val="14"/>
                <w:szCs w:val="14"/>
                <w:b w:val="1"/>
                <w:bCs w:val="1"/>
                <w:color w:val="auto"/>
                <w:w w:val="91"/>
              </w:rPr>
              <w:t>Trading Symbol(s)</w:t>
            </w:r>
          </w:p>
        </w:tc>
        <w:tc>
          <w:tcPr>
            <w:tcW w:w="840" w:type="dxa"/>
            <w:vAlign w:val="bottom"/>
            <w:tcBorders>
              <w:bottom w:val="single" w:sz="8" w:color="auto"/>
            </w:tcBorders>
          </w:tcPr>
          <w:p>
            <w:pPr>
              <w:spacing w:after="0"/>
              <w:rPr>
                <w:sz w:val="15"/>
                <w:szCs w:val="15"/>
                <w:color w:val="auto"/>
              </w:rPr>
            </w:pPr>
          </w:p>
        </w:tc>
        <w:tc>
          <w:tcPr>
            <w:tcW w:w="3760" w:type="dxa"/>
            <w:vAlign w:val="bottom"/>
            <w:tcBorders>
              <w:bottom w:val="single" w:sz="8" w:color="auto"/>
              <w:right w:val="single" w:sz="8" w:color="auto"/>
            </w:tcBorders>
            <w:gridSpan w:val="4"/>
          </w:tcPr>
          <w:p>
            <w:pPr>
              <w:jc w:val="center"/>
              <w:ind w:right="792"/>
              <w:spacing w:after="0"/>
              <w:rPr>
                <w:sz w:val="20"/>
                <w:szCs w:val="20"/>
                <w:color w:val="auto"/>
              </w:rPr>
            </w:pPr>
            <w:r>
              <w:rPr>
                <w:rFonts w:ascii="Arial" w:cs="Arial" w:eastAsia="Arial" w:hAnsi="Arial"/>
                <w:sz w:val="14"/>
                <w:szCs w:val="14"/>
                <w:b w:val="1"/>
                <w:bCs w:val="1"/>
                <w:color w:val="auto"/>
                <w:w w:val="87"/>
              </w:rPr>
              <w:t>Name of each exchange on which registered</w:t>
            </w:r>
          </w:p>
        </w:tc>
        <w:tc>
          <w:tcPr>
            <w:tcW w:w="0" w:type="dxa"/>
            <w:vAlign w:val="bottom"/>
          </w:tcPr>
          <w:p>
            <w:pPr>
              <w:spacing w:after="0"/>
              <w:rPr>
                <w:sz w:val="1"/>
                <w:szCs w:val="1"/>
                <w:color w:val="auto"/>
              </w:rPr>
            </w:pPr>
          </w:p>
        </w:tc>
      </w:tr>
      <w:tr>
        <w:trPr>
          <w:trHeight w:val="171"/>
        </w:trPr>
        <w:tc>
          <w:tcPr>
            <w:tcW w:w="3240" w:type="dxa"/>
            <w:vAlign w:val="bottom"/>
            <w:tcBorders>
              <w:left w:val="single" w:sz="8" w:color="auto"/>
              <w:right w:val="single" w:sz="8" w:color="auto"/>
            </w:tcBorders>
            <w:gridSpan w:val="2"/>
          </w:tcPr>
          <w:p>
            <w:pPr>
              <w:jc w:val="center"/>
              <w:spacing w:after="0" w:line="171" w:lineRule="exact"/>
              <w:rPr>
                <w:sz w:val="20"/>
                <w:szCs w:val="20"/>
                <w:color w:val="auto"/>
              </w:rPr>
            </w:pPr>
            <w:r>
              <w:rPr>
                <w:rFonts w:ascii="Arial" w:cs="Arial" w:eastAsia="Arial" w:hAnsi="Arial"/>
                <w:sz w:val="18"/>
                <w:szCs w:val="18"/>
                <w:b w:val="1"/>
                <w:bCs w:val="1"/>
                <w:color w:val="auto"/>
                <w:w w:val="87"/>
              </w:rPr>
              <w:t>Common units representing limited</w:t>
            </w:r>
          </w:p>
        </w:tc>
        <w:tc>
          <w:tcPr>
            <w:tcW w:w="500" w:type="dxa"/>
            <w:vAlign w:val="bottom"/>
          </w:tcPr>
          <w:p>
            <w:pPr>
              <w:spacing w:after="0"/>
              <w:rPr>
                <w:sz w:val="14"/>
                <w:szCs w:val="14"/>
                <w:color w:val="auto"/>
              </w:rPr>
            </w:pPr>
          </w:p>
        </w:tc>
        <w:tc>
          <w:tcPr>
            <w:tcW w:w="2860" w:type="dxa"/>
            <w:vAlign w:val="bottom"/>
            <w:tcBorders>
              <w:right w:val="single" w:sz="8" w:color="auto"/>
            </w:tcBorders>
          </w:tcPr>
          <w:p>
            <w:pPr>
              <w:jc w:val="center"/>
              <w:ind w:right="480"/>
              <w:spacing w:after="0" w:line="171" w:lineRule="exact"/>
              <w:rPr>
                <w:sz w:val="20"/>
                <w:szCs w:val="20"/>
                <w:color w:val="auto"/>
              </w:rPr>
            </w:pPr>
            <w:r>
              <w:rPr>
                <w:rFonts w:ascii="Arial" w:cs="Arial" w:eastAsia="Arial" w:hAnsi="Arial"/>
                <w:sz w:val="18"/>
                <w:szCs w:val="18"/>
                <w:b w:val="1"/>
                <w:bCs w:val="1"/>
                <w:color w:val="auto"/>
              </w:rPr>
              <w:t>WLKP</w:t>
            </w:r>
          </w:p>
        </w:tc>
        <w:tc>
          <w:tcPr>
            <w:tcW w:w="840" w:type="dxa"/>
            <w:vAlign w:val="bottom"/>
          </w:tcPr>
          <w:p>
            <w:pPr>
              <w:spacing w:after="0"/>
              <w:rPr>
                <w:sz w:val="14"/>
                <w:szCs w:val="14"/>
                <w:color w:val="auto"/>
              </w:rPr>
            </w:pPr>
          </w:p>
        </w:tc>
        <w:tc>
          <w:tcPr>
            <w:tcW w:w="3760" w:type="dxa"/>
            <w:vAlign w:val="bottom"/>
            <w:tcBorders>
              <w:right w:val="single" w:sz="8" w:color="auto"/>
            </w:tcBorders>
            <w:gridSpan w:val="4"/>
          </w:tcPr>
          <w:p>
            <w:pPr>
              <w:jc w:val="center"/>
              <w:ind w:right="792"/>
              <w:spacing w:after="0" w:line="171" w:lineRule="exact"/>
              <w:rPr>
                <w:sz w:val="20"/>
                <w:szCs w:val="20"/>
                <w:color w:val="auto"/>
              </w:rPr>
            </w:pPr>
            <w:r>
              <w:rPr>
                <w:rFonts w:ascii="Arial" w:cs="Arial" w:eastAsia="Arial" w:hAnsi="Arial"/>
                <w:sz w:val="18"/>
                <w:szCs w:val="18"/>
                <w:b w:val="1"/>
                <w:bCs w:val="1"/>
                <w:color w:val="auto"/>
                <w:w w:val="88"/>
              </w:rPr>
              <w:t>The New York Stock Exchange</w:t>
            </w:r>
          </w:p>
        </w:tc>
        <w:tc>
          <w:tcPr>
            <w:tcW w:w="0" w:type="dxa"/>
            <w:vAlign w:val="bottom"/>
          </w:tcPr>
          <w:p>
            <w:pPr>
              <w:spacing w:after="0"/>
              <w:rPr>
                <w:sz w:val="1"/>
                <w:szCs w:val="1"/>
                <w:color w:val="auto"/>
              </w:rPr>
            </w:pPr>
          </w:p>
        </w:tc>
      </w:tr>
      <w:tr>
        <w:trPr>
          <w:trHeight w:val="233"/>
        </w:trPr>
        <w:tc>
          <w:tcPr>
            <w:tcW w:w="3240" w:type="dxa"/>
            <w:vAlign w:val="bottom"/>
            <w:tcBorders>
              <w:left w:val="single" w:sz="8" w:color="auto"/>
              <w:bottom w:val="single" w:sz="8" w:color="auto"/>
              <w:right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partner interests</w:t>
            </w:r>
          </w:p>
        </w:tc>
        <w:tc>
          <w:tcPr>
            <w:tcW w:w="500" w:type="dxa"/>
            <w:vAlign w:val="bottom"/>
            <w:tcBorders>
              <w:bottom w:val="single" w:sz="8" w:color="auto"/>
            </w:tcBorders>
          </w:tcPr>
          <w:p>
            <w:pPr>
              <w:spacing w:after="0"/>
              <w:rPr>
                <w:sz w:val="20"/>
                <w:szCs w:val="20"/>
                <w:color w:val="auto"/>
              </w:rPr>
            </w:pPr>
          </w:p>
        </w:tc>
        <w:tc>
          <w:tcPr>
            <w:tcW w:w="2860" w:type="dxa"/>
            <w:vAlign w:val="bottom"/>
            <w:tcBorders>
              <w:bottom w:val="single" w:sz="8" w:color="auto"/>
              <w:right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3000" w:type="dxa"/>
            <w:vAlign w:val="bottom"/>
          </w:tcPr>
          <w:p>
            <w:pPr>
              <w:spacing w:after="0"/>
              <w:rPr>
                <w:sz w:val="24"/>
                <w:szCs w:val="24"/>
                <w:color w:val="auto"/>
              </w:rPr>
            </w:pPr>
          </w:p>
        </w:tc>
        <w:tc>
          <w:tcPr>
            <w:tcW w:w="5760" w:type="dxa"/>
            <w:vAlign w:val="bottom"/>
            <w:gridSpan w:val="6"/>
          </w:tcPr>
          <w:p>
            <w:pPr>
              <w:jc w:val="center"/>
              <w:ind w:right="600"/>
              <w:spacing w:after="0"/>
              <w:rPr>
                <w:sz w:val="20"/>
                <w:szCs w:val="20"/>
                <w:color w:val="auto"/>
              </w:rPr>
            </w:pPr>
            <w:r>
              <w:rPr>
                <w:rFonts w:ascii="Arial" w:cs="Arial" w:eastAsia="Arial" w:hAnsi="Arial"/>
                <w:sz w:val="18"/>
                <w:szCs w:val="18"/>
                <w:b w:val="1"/>
                <w:bCs w:val="1"/>
                <w:color w:val="auto"/>
                <w:w w:val="87"/>
              </w:rPr>
              <w:t>Securities registered pursuant to Section 12(g) of the Act: NONE</w:t>
            </w:r>
          </w:p>
        </w:tc>
        <w:tc>
          <w:tcPr>
            <w:tcW w:w="6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000" w:type="dxa"/>
            <w:vAlign w:val="bottom"/>
          </w:tcPr>
          <w:p>
            <w:pPr>
              <w:spacing w:after="0"/>
              <w:rPr>
                <w:sz w:val="10"/>
                <w:szCs w:val="10"/>
                <w:color w:val="auto"/>
              </w:rPr>
            </w:pPr>
          </w:p>
        </w:tc>
        <w:tc>
          <w:tcPr>
            <w:tcW w:w="5180" w:type="dxa"/>
            <w:vAlign w:val="bottom"/>
            <w:tcBorders>
              <w:bottom w:val="single" w:sz="8" w:color="auto"/>
            </w:tcBorders>
            <w:gridSpan w:val="5"/>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vMerge w:val="restart"/>
          </w:tcPr>
          <w:p>
            <w:pPr>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1780" w:type="dxa"/>
            <w:vAlign w:val="bottom"/>
            <w:vMerge w:val="restart"/>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394"/>
        </w:trPr>
        <w:tc>
          <w:tcPr>
            <w:tcW w:w="8760" w:type="dxa"/>
            <w:vAlign w:val="bottom"/>
            <w:gridSpan w:val="7"/>
          </w:tcPr>
          <w:p>
            <w:pPr>
              <w:ind w:left="360"/>
              <w:spacing w:after="0"/>
              <w:rPr>
                <w:sz w:val="20"/>
                <w:szCs w:val="20"/>
                <w:color w:val="auto"/>
              </w:rPr>
            </w:pPr>
            <w:r>
              <w:rPr>
                <w:rFonts w:ascii="Arial" w:cs="Arial" w:eastAsia="Arial" w:hAnsi="Arial"/>
                <w:sz w:val="18"/>
                <w:szCs w:val="18"/>
                <w:color w:val="auto"/>
                <w:w w:val="90"/>
              </w:rPr>
              <w:t>Indicate by check mark if the registrant is a well-known seasoned issuer, as defined in Rule 405 of the Securities Act.</w:t>
            </w:r>
          </w:p>
        </w:tc>
        <w:tc>
          <w:tcPr>
            <w:tcW w:w="660" w:type="dxa"/>
            <w:vAlign w:val="bottom"/>
            <w:vMerge w:val="continue"/>
          </w:tcPr>
          <w:p>
            <w:pPr>
              <w:spacing w:after="0"/>
              <w:rPr>
                <w:sz w:val="24"/>
                <w:szCs w:val="24"/>
                <w:color w:val="auto"/>
              </w:rPr>
            </w:pPr>
          </w:p>
        </w:tc>
        <w:tc>
          <w:tcPr>
            <w:tcW w:w="1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8760" w:type="dxa"/>
            <w:vAlign w:val="bottom"/>
            <w:gridSpan w:val="7"/>
          </w:tcPr>
          <w:p>
            <w:pPr>
              <w:ind w:left="360"/>
              <w:spacing w:after="0"/>
              <w:rPr>
                <w:sz w:val="20"/>
                <w:szCs w:val="20"/>
                <w:color w:val="auto"/>
              </w:rPr>
            </w:pPr>
            <w:r>
              <w:rPr>
                <w:rFonts w:ascii="Arial" w:cs="Arial" w:eastAsia="Arial" w:hAnsi="Arial"/>
                <w:sz w:val="18"/>
                <w:szCs w:val="18"/>
                <w:color w:val="auto"/>
                <w:w w:val="89"/>
              </w:rPr>
              <w:t>Indicate by check mark if the registrant is not required to file reports pursuant to Section 13 or Section 15(d) of the Act.</w:t>
            </w:r>
          </w:p>
        </w:tc>
        <w:tc>
          <w:tcPr>
            <w:tcW w:w="660" w:type="dxa"/>
            <w:vAlign w:val="bottom"/>
          </w:tcPr>
          <w:p>
            <w:pPr>
              <w:ind w:left="160"/>
              <w:spacing w:after="0" w:line="207" w:lineRule="exact"/>
              <w:rPr>
                <w:sz w:val="20"/>
                <w:szCs w:val="20"/>
                <w:color w:val="auto"/>
              </w:rPr>
            </w:pPr>
            <w:r>
              <w:rPr>
                <w:rFonts w:ascii="Arial" w:cs="Arial" w:eastAsia="Arial" w:hAnsi="Arial"/>
                <w:sz w:val="18"/>
                <w:szCs w:val="18"/>
                <w:color w:val="auto"/>
                <w:w w:val="88"/>
              </w:rPr>
              <w:t xml:space="preserve">Yes </w:t>
            </w:r>
            <w:r>
              <w:rPr>
                <w:rFonts w:ascii="MS PGothic" w:cs="MS PGothic" w:eastAsia="MS PGothic" w:hAnsi="MS PGothic"/>
                <w:sz w:val="18"/>
                <w:szCs w:val="18"/>
                <w:color w:val="auto"/>
                <w:w w:val="88"/>
              </w:rPr>
              <w:t>☐</w:t>
            </w:r>
          </w:p>
        </w:tc>
        <w:tc>
          <w:tcPr>
            <w:tcW w:w="1780" w:type="dxa"/>
            <w:vAlign w:val="bottom"/>
          </w:tcPr>
          <w:p>
            <w:pPr>
              <w:ind w:left="18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74" w:lineRule="exact"/>
        <w:rPr>
          <w:sz w:val="24"/>
          <w:szCs w:val="24"/>
          <w:color w:val="auto"/>
        </w:rPr>
      </w:pPr>
    </w:p>
    <w:p>
      <w:pPr>
        <w:ind w:right="180" w:firstLine="395"/>
        <w:spacing w:after="0" w:line="22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5" w:lineRule="exact"/>
        <w:rPr>
          <w:sz w:val="24"/>
          <w:szCs w:val="24"/>
          <w:color w:val="auto"/>
        </w:rPr>
      </w:pPr>
    </w:p>
    <w:p>
      <w:pPr>
        <w:ind w:right="240" w:firstLine="395"/>
        <w:spacing w:after="0" w:line="22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74" w:lineRule="exact"/>
        <w:rPr>
          <w:sz w:val="24"/>
          <w:szCs w:val="24"/>
          <w:color w:val="auto"/>
        </w:rPr>
      </w:pPr>
    </w:p>
    <w:p>
      <w:pPr>
        <w:ind w:right="200" w:firstLine="395"/>
        <w:spacing w:after="0" w:line="252"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79" w:lineRule="exact"/>
        <w:rPr>
          <w:sz w:val="24"/>
          <w:szCs w:val="24"/>
          <w:color w:val="auto"/>
        </w:rPr>
      </w:pPr>
    </w:p>
    <w:tbl>
      <w:tblPr>
        <w:tblLayout w:type="fixed"/>
        <w:tblInd w:w="20" w:type="dxa"/>
        <w:tblCellMar>
          <w:top w:w="0" w:type="dxa"/>
          <w:left w:w="0" w:type="dxa"/>
          <w:bottom w:w="0" w:type="dxa"/>
          <w:right w:w="0" w:type="dxa"/>
        </w:tblCellMar>
      </w:tblPr>
      <w:tr>
        <w:trPr>
          <w:trHeight w:val="224"/>
        </w:trPr>
        <w:tc>
          <w:tcPr>
            <w:tcW w:w="23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10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2240"/>
              <w:spacing w:after="0"/>
              <w:rPr>
                <w:sz w:val="20"/>
                <w:szCs w:val="20"/>
                <w:color w:val="auto"/>
              </w:rPr>
            </w:pPr>
            <w:r>
              <w:rPr>
                <w:rFonts w:ascii="Arial" w:cs="Arial" w:eastAsia="Arial" w:hAnsi="Arial"/>
                <w:sz w:val="18"/>
                <w:szCs w:val="18"/>
                <w:color w:val="auto"/>
              </w:rPr>
              <w:t>Accelerated filer</w:t>
            </w:r>
          </w:p>
        </w:tc>
        <w:tc>
          <w:tcPr>
            <w:tcW w:w="860" w:type="dxa"/>
            <w:vAlign w:val="bottom"/>
          </w:tcPr>
          <w:p>
            <w:pPr>
              <w:ind w:left="660"/>
              <w:spacing w:after="0" w:line="181" w:lineRule="exact"/>
              <w:rPr>
                <w:sz w:val="20"/>
                <w:szCs w:val="20"/>
                <w:color w:val="auto"/>
              </w:rPr>
            </w:pPr>
            <w:r>
              <w:rPr>
                <w:rFonts w:ascii="MS PGothic" w:cs="MS PGothic" w:eastAsia="MS PGothic" w:hAnsi="MS PGothic"/>
                <w:sz w:val="18"/>
                <w:szCs w:val="18"/>
                <w:color w:val="auto"/>
                <w:w w:val="99"/>
              </w:rPr>
              <w:t>☒</w:t>
            </w:r>
          </w:p>
        </w:tc>
      </w:tr>
      <w:tr>
        <w:trPr>
          <w:trHeight w:val="224"/>
        </w:trPr>
        <w:tc>
          <w:tcPr>
            <w:tcW w:w="2300" w:type="dxa"/>
            <w:vAlign w:val="bottom"/>
          </w:tcPr>
          <w:p>
            <w:pPr>
              <w:spacing w:after="0"/>
              <w:rPr>
                <w:sz w:val="20"/>
                <w:szCs w:val="20"/>
                <w:color w:val="auto"/>
              </w:rPr>
            </w:pPr>
            <w:r>
              <w:rPr>
                <w:rFonts w:ascii="Arial" w:cs="Arial" w:eastAsia="Arial" w:hAnsi="Arial"/>
                <w:sz w:val="18"/>
                <w:szCs w:val="18"/>
                <w:color w:val="auto"/>
              </w:rPr>
              <w:t>Non-accelerated filer</w:t>
            </w:r>
          </w:p>
        </w:tc>
        <w:tc>
          <w:tcPr>
            <w:tcW w:w="3100" w:type="dxa"/>
            <w:vAlign w:val="bottom"/>
          </w:tcPr>
          <w:p>
            <w:pPr>
              <w:ind w:left="720"/>
              <w:spacing w:after="0" w:line="181" w:lineRule="exact"/>
              <w:rPr>
                <w:sz w:val="20"/>
                <w:szCs w:val="20"/>
                <w:color w:val="auto"/>
              </w:rPr>
            </w:pPr>
            <w:r>
              <w:rPr>
                <w:rFonts w:ascii="MS PGothic" w:cs="MS PGothic" w:eastAsia="MS PGothic" w:hAnsi="MS PGothic"/>
                <w:sz w:val="18"/>
                <w:szCs w:val="18"/>
                <w:color w:val="auto"/>
              </w:rPr>
              <w:t>☐</w:t>
            </w:r>
          </w:p>
        </w:tc>
        <w:tc>
          <w:tcPr>
            <w:tcW w:w="4800" w:type="dxa"/>
            <w:vAlign w:val="bottom"/>
          </w:tcPr>
          <w:p>
            <w:pPr>
              <w:ind w:left="2240"/>
              <w:spacing w:after="0"/>
              <w:rPr>
                <w:sz w:val="20"/>
                <w:szCs w:val="20"/>
                <w:color w:val="auto"/>
              </w:rPr>
            </w:pPr>
            <w:r>
              <w:rPr>
                <w:rFonts w:ascii="Arial" w:cs="Arial" w:eastAsia="Arial" w:hAnsi="Arial"/>
                <w:sz w:val="18"/>
                <w:szCs w:val="18"/>
                <w:color w:val="auto"/>
              </w:rPr>
              <w:t>Smaller reporting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5"/>
        </w:trPr>
        <w:tc>
          <w:tcPr>
            <w:tcW w:w="2300" w:type="dxa"/>
            <w:vAlign w:val="bottom"/>
          </w:tcPr>
          <w:p>
            <w:pPr>
              <w:spacing w:after="0"/>
              <w:rPr>
                <w:sz w:val="23"/>
                <w:szCs w:val="23"/>
                <w:color w:val="auto"/>
              </w:rPr>
            </w:pPr>
          </w:p>
        </w:tc>
        <w:tc>
          <w:tcPr>
            <w:tcW w:w="3100" w:type="dxa"/>
            <w:vAlign w:val="bottom"/>
          </w:tcPr>
          <w:p>
            <w:pPr>
              <w:spacing w:after="0"/>
              <w:rPr>
                <w:sz w:val="23"/>
                <w:szCs w:val="23"/>
                <w:color w:val="auto"/>
              </w:rPr>
            </w:pPr>
          </w:p>
        </w:tc>
        <w:tc>
          <w:tcPr>
            <w:tcW w:w="4800" w:type="dxa"/>
            <w:vAlign w:val="bottom"/>
          </w:tcPr>
          <w:p>
            <w:pPr>
              <w:ind w:left="2240"/>
              <w:spacing w:after="0"/>
              <w:rPr>
                <w:sz w:val="20"/>
                <w:szCs w:val="20"/>
                <w:color w:val="auto"/>
              </w:rPr>
            </w:pPr>
            <w:r>
              <w:rPr>
                <w:rFonts w:ascii="Arial" w:cs="Arial" w:eastAsia="Arial" w:hAnsi="Arial"/>
                <w:sz w:val="18"/>
                <w:szCs w:val="18"/>
                <w:color w:val="auto"/>
              </w:rPr>
              <w:t>Emerging growth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18" w:lineRule="exact"/>
        <w:rPr>
          <w:sz w:val="24"/>
          <w:szCs w:val="24"/>
          <w:color w:val="auto"/>
        </w:rPr>
      </w:pPr>
    </w:p>
    <w:p>
      <w:pPr>
        <w:ind w:right="60" w:firstLine="395"/>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80" w:lineRule="exact"/>
        <w:rPr>
          <w:sz w:val="24"/>
          <w:szCs w:val="24"/>
          <w:color w:val="auto"/>
        </w:rPr>
      </w:pPr>
    </w:p>
    <w:p>
      <w:pPr>
        <w:ind w:right="140" w:firstLine="395"/>
        <w:spacing w:after="0" w:line="221" w:lineRule="exact"/>
        <w:rPr>
          <w:sz w:val="20"/>
          <w:szCs w:val="20"/>
          <w:color w:val="auto"/>
        </w:rPr>
      </w:pPr>
      <w:r>
        <w:rPr>
          <w:rFonts w:ascii="Arial" w:cs="Arial" w:eastAsia="Arial" w:hAnsi="Arial"/>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pacing w:after="0" w:line="180" w:lineRule="exact"/>
        <w:rPr>
          <w:sz w:val="24"/>
          <w:szCs w:val="24"/>
          <w:color w:val="auto"/>
        </w:rPr>
      </w:pPr>
    </w:p>
    <w:p>
      <w:pPr>
        <w:ind w:right="180" w:firstLine="395"/>
        <w:spacing w:after="0" w:line="226" w:lineRule="exact"/>
        <w:rPr>
          <w:sz w:val="20"/>
          <w:szCs w:val="20"/>
          <w:color w:val="auto"/>
        </w:rPr>
      </w:pPr>
      <w:r>
        <w:rPr>
          <w:rFonts w:ascii="Arial" w:cs="Arial" w:eastAsia="Arial" w:hAnsi="Arial"/>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80" w:lineRule="exact"/>
        <w:rPr>
          <w:sz w:val="24"/>
          <w:szCs w:val="24"/>
          <w:color w:val="auto"/>
        </w:rPr>
      </w:pPr>
    </w:p>
    <w:p>
      <w:pPr>
        <w:ind w:right="620" w:firstLine="395"/>
        <w:spacing w:after="0" w:line="227" w:lineRule="exact"/>
        <w:rPr>
          <w:sz w:val="20"/>
          <w:szCs w:val="20"/>
          <w:color w:val="auto"/>
        </w:rPr>
      </w:pPr>
      <w:r>
        <w:rPr>
          <w:rFonts w:ascii="Arial" w:cs="Arial" w:eastAsia="Arial" w:hAnsi="Arial"/>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42" w:lineRule="exact"/>
        <w:rPr>
          <w:sz w:val="24"/>
          <w:szCs w:val="24"/>
          <w:color w:val="auto"/>
        </w:rPr>
      </w:pPr>
    </w:p>
    <w:p>
      <w:pPr>
        <w:ind w:left="400"/>
        <w:spacing w:after="0" w:line="207" w:lineRule="exact"/>
        <w:tabs>
          <w:tab w:leader="none" w:pos="7780" w:val="left"/>
          <w:tab w:leader="none" w:pos="84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141" w:lineRule="exact"/>
        <w:rPr>
          <w:sz w:val="24"/>
          <w:szCs w:val="24"/>
          <w:color w:val="auto"/>
        </w:rPr>
      </w:pPr>
    </w:p>
    <w:p>
      <w:pPr>
        <w:ind w:right="60" w:firstLine="395"/>
        <w:spacing w:after="0" w:line="327" w:lineRule="auto"/>
        <w:rPr>
          <w:sz w:val="20"/>
          <w:szCs w:val="20"/>
          <w:color w:val="auto"/>
        </w:rPr>
      </w:pPr>
      <w:r>
        <w:rPr>
          <w:rFonts w:ascii="Arial" w:cs="Arial" w:eastAsia="Arial" w:hAnsi="Arial"/>
          <w:sz w:val="15"/>
          <w:szCs w:val="15"/>
          <w:color w:val="auto"/>
        </w:rPr>
        <w:t>The aggregate market value of registrant's common units held by non-affiliates of the registrant on June 30, 2022, the end of the registrant's most recently completed second fiscal quarter, based on the closing price on June 30, 2022 of $24.91 on the New York Stock Exchange, was approximately $482.6 million. Common units held by executive officers and directors of the registrant's general partner and its affiliates are not included in the computation. The registrant,</w:t>
      </w:r>
    </w:p>
    <w:p>
      <w:pPr>
        <w:sectPr>
          <w:pgSz w:w="11900" w:h="16955" w:orient="portrait"/>
          <w:cols w:equalWidth="0" w:num="1">
            <w:col w:w="11240"/>
          </w:cols>
          <w:pgMar w:left="320" w:top="226" w:right="339" w:bottom="0" w:gutter="0" w:footer="0" w:header="0"/>
          <w:type w:val="continuous"/>
        </w:sectPr>
      </w:pPr>
    </w:p>
    <w:bookmarkStart w:id="1" w:name="page2"/>
    <w:bookmarkEnd w:id="1"/>
    <w:p>
      <w:pPr>
        <w:spacing w:after="0" w:line="261" w:lineRule="auto"/>
        <w:rPr>
          <w:sz w:val="20"/>
          <w:szCs w:val="20"/>
          <w:color w:val="auto"/>
        </w:rPr>
      </w:pPr>
      <w:r>
        <w:rPr>
          <w:rFonts w:ascii="Arial" w:cs="Arial" w:eastAsia="Arial" w:hAnsi="Arial"/>
          <w:sz w:val="18"/>
          <w:szCs w:val="18"/>
          <w:color w:val="auto"/>
        </w:rPr>
        <w:t>solely for the purpose of this required presentation, has deemed the directors and executive officers of its general partner and those of its affiliates to be affiliates.</w:t>
      </w:r>
    </w:p>
    <w:p>
      <w:pPr>
        <w:spacing w:after="0" w:line="7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registrant had 35,221,868 common units outstanding as of February 22,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574040</wp:posOffset>
            </wp:positionV>
            <wp:extent cx="716089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620"/>
          </w:cols>
          <w:pgMar w:left="320" w:top="127" w:right="95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00" w:type="dxa"/>
            <w:vAlign w:val="bottom"/>
          </w:tcPr>
          <w:p>
            <w:pPr>
              <w:spacing w:after="0"/>
              <w:rPr>
                <w:sz w:val="19"/>
                <w:szCs w:val="19"/>
                <w:color w:val="auto"/>
              </w:rPr>
            </w:pPr>
          </w:p>
        </w:tc>
        <w:tc>
          <w:tcPr>
            <w:tcW w:w="9640" w:type="dxa"/>
            <w:vAlign w:val="bottom"/>
          </w:tcPr>
          <w:p>
            <w:pPr>
              <w:ind w:left="3980"/>
              <w:spacing w:after="0"/>
              <w:rPr>
                <w:sz w:val="20"/>
                <w:szCs w:val="20"/>
                <w:color w:val="auto"/>
              </w:rPr>
            </w:pPr>
            <w:r>
              <w:rPr>
                <w:rFonts w:ascii="Arial" w:cs="Arial" w:eastAsia="Arial" w:hAnsi="Arial"/>
                <w:sz w:val="18"/>
                <w:szCs w:val="18"/>
                <w:b w:val="1"/>
                <w:bCs w:val="1"/>
                <w:color w:val="auto"/>
              </w:rPr>
              <w:t>TABLE OF CONTENTS</w:t>
            </w: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01"/>
        </w:trPr>
        <w:tc>
          <w:tcPr>
            <w:tcW w:w="700" w:type="dxa"/>
            <w:vAlign w:val="bottom"/>
          </w:tcPr>
          <w:p>
            <w:pPr>
              <w:spacing w:after="0"/>
              <w:rPr>
                <w:sz w:val="24"/>
                <w:szCs w:val="24"/>
                <w:color w:val="auto"/>
              </w:rPr>
            </w:pPr>
          </w:p>
        </w:tc>
        <w:tc>
          <w:tcPr>
            <w:tcW w:w="9640" w:type="dxa"/>
            <w:vAlign w:val="bottom"/>
          </w:tcPr>
          <w:p>
            <w:pPr>
              <w:spacing w:after="0"/>
              <w:rPr>
                <w:sz w:val="24"/>
                <w:szCs w:val="24"/>
                <w:color w:val="auto"/>
              </w:rPr>
            </w:pPr>
          </w:p>
        </w:tc>
        <w:tc>
          <w:tcPr>
            <w:tcW w:w="900" w:type="dxa"/>
            <w:vAlign w:val="bottom"/>
            <w:gridSpan w:val="2"/>
          </w:tcPr>
          <w:p>
            <w:pPr>
              <w:ind w:left="28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4"/>
        </w:trPr>
        <w:tc>
          <w:tcPr>
            <w:tcW w:w="7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Item</w:t>
            </w:r>
          </w:p>
        </w:tc>
        <w:tc>
          <w:tcPr>
            <w:tcW w:w="96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8"/>
              </w:rPr>
              <w:t>PART I</w:t>
            </w:r>
          </w:p>
        </w:tc>
        <w:tc>
          <w:tcPr>
            <w:tcW w:w="86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00" w:type="dxa"/>
            <w:vAlign w:val="bottom"/>
            <w:vMerge w:val="continue"/>
          </w:tcPr>
          <w:p>
            <w:pPr>
              <w:spacing w:after="0"/>
              <w:rPr>
                <w:sz w:val="17"/>
                <w:szCs w:val="17"/>
                <w:color w:val="auto"/>
              </w:rPr>
            </w:pPr>
          </w:p>
        </w:tc>
        <w:tc>
          <w:tcPr>
            <w:tcW w:w="964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7"/>
        </w:trPr>
        <w:tc>
          <w:tcPr>
            <w:tcW w:w="700" w:type="dxa"/>
            <w:vAlign w:val="bottom"/>
            <w:vMerge w:val="continue"/>
          </w:tcPr>
          <w:p>
            <w:pPr>
              <w:spacing w:after="0"/>
              <w:rPr>
                <w:sz w:val="24"/>
                <w:szCs w:val="24"/>
                <w:color w:val="auto"/>
              </w:rPr>
            </w:pPr>
          </w:p>
        </w:tc>
        <w:tc>
          <w:tcPr>
            <w:tcW w:w="96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00" w:type="dxa"/>
            <w:vAlign w:val="bottom"/>
          </w:tcPr>
          <w:p>
            <w:pPr>
              <w:jc w:val="right"/>
              <w:spacing w:after="0"/>
              <w:rPr>
                <w:sz w:val="20"/>
                <w:szCs w:val="20"/>
                <w:color w:val="auto"/>
              </w:rPr>
            </w:pPr>
            <w:r>
              <w:rPr>
                <w:rFonts w:ascii="Arial" w:cs="Arial" w:eastAsia="Arial" w:hAnsi="Arial"/>
                <w:sz w:val="18"/>
                <w:szCs w:val="18"/>
                <w:color w:val="auto"/>
              </w:rPr>
              <w:t>1)</w:t>
            </w:r>
          </w:p>
        </w:tc>
        <w:tc>
          <w:tcPr>
            <w:tcW w:w="9640" w:type="dxa"/>
            <w:vAlign w:val="bottom"/>
          </w:tcPr>
          <w:p>
            <w:pPr>
              <w:ind w:left="80"/>
              <w:spacing w:after="0"/>
              <w:rPr>
                <w:sz w:val="20"/>
                <w:szCs w:val="20"/>
                <w:color w:val="auto"/>
              </w:rPr>
            </w:pPr>
            <w:r>
              <w:rPr>
                <w:rFonts w:ascii="Arial" w:cs="Arial" w:eastAsia="Arial" w:hAnsi="Arial"/>
                <w:sz w:val="18"/>
                <w:szCs w:val="18"/>
                <w:color w:val="auto"/>
              </w:rPr>
              <w:t>Business</w:t>
            </w:r>
          </w:p>
        </w:tc>
        <w:tc>
          <w:tcPr>
            <w:tcW w:w="860" w:type="dxa"/>
            <w:vAlign w:val="bottom"/>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00" w:type="dxa"/>
            <w:vAlign w:val="bottom"/>
          </w:tcPr>
          <w:p>
            <w:pPr>
              <w:jc w:val="right"/>
              <w:spacing w:after="0"/>
              <w:rPr>
                <w:sz w:val="20"/>
                <w:szCs w:val="20"/>
                <w:color w:val="auto"/>
              </w:rPr>
            </w:pPr>
            <w:r>
              <w:rPr>
                <w:rFonts w:ascii="Arial" w:cs="Arial" w:eastAsia="Arial" w:hAnsi="Arial"/>
                <w:sz w:val="18"/>
                <w:szCs w:val="18"/>
                <w:color w:val="auto"/>
              </w:rPr>
              <w:t>1A)</w:t>
            </w:r>
          </w:p>
        </w:tc>
        <w:tc>
          <w:tcPr>
            <w:tcW w:w="9640" w:type="dxa"/>
            <w:vAlign w:val="bottom"/>
          </w:tcPr>
          <w:p>
            <w:pPr>
              <w:ind w:left="80"/>
              <w:spacing w:after="0"/>
              <w:rPr>
                <w:sz w:val="20"/>
                <w:szCs w:val="20"/>
                <w:color w:val="auto"/>
              </w:rPr>
            </w:pPr>
            <w:r>
              <w:rPr>
                <w:rFonts w:ascii="Arial" w:cs="Arial" w:eastAsia="Arial" w:hAnsi="Arial"/>
                <w:sz w:val="18"/>
                <w:szCs w:val="18"/>
                <w:color w:val="auto"/>
              </w:rPr>
              <w:t>Risk Factors</w:t>
            </w: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00" w:type="dxa"/>
            <w:vAlign w:val="bottom"/>
          </w:tcPr>
          <w:p>
            <w:pPr>
              <w:jc w:val="right"/>
              <w:spacing w:after="0"/>
              <w:rPr>
                <w:sz w:val="20"/>
                <w:szCs w:val="20"/>
                <w:color w:val="auto"/>
              </w:rPr>
            </w:pPr>
            <w:r>
              <w:rPr>
                <w:rFonts w:ascii="Arial" w:cs="Arial" w:eastAsia="Arial" w:hAnsi="Arial"/>
                <w:sz w:val="18"/>
                <w:szCs w:val="18"/>
                <w:color w:val="auto"/>
              </w:rPr>
              <w:t>1B)</w:t>
            </w:r>
          </w:p>
        </w:tc>
        <w:tc>
          <w:tcPr>
            <w:tcW w:w="9640" w:type="dxa"/>
            <w:vAlign w:val="bottom"/>
          </w:tcPr>
          <w:p>
            <w:pPr>
              <w:ind w:left="80"/>
              <w:spacing w:after="0"/>
              <w:rPr>
                <w:sz w:val="20"/>
                <w:szCs w:val="20"/>
                <w:color w:val="auto"/>
              </w:rPr>
            </w:pPr>
            <w:r>
              <w:rPr>
                <w:rFonts w:ascii="Arial" w:cs="Arial" w:eastAsia="Arial" w:hAnsi="Arial"/>
                <w:sz w:val="18"/>
                <w:szCs w:val="18"/>
                <w:color w:val="auto"/>
              </w:rPr>
              <w:t>Unresolved Staff Comments</w:t>
            </w:r>
          </w:p>
        </w:tc>
        <w:tc>
          <w:tcPr>
            <w:tcW w:w="860" w:type="dxa"/>
            <w:vAlign w:val="bottom"/>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9640" w:type="dxa"/>
            <w:vAlign w:val="bottom"/>
          </w:tcPr>
          <w:p>
            <w:pPr>
              <w:ind w:left="80"/>
              <w:spacing w:after="0"/>
              <w:rPr>
                <w:sz w:val="20"/>
                <w:szCs w:val="20"/>
                <w:color w:val="auto"/>
              </w:rPr>
            </w:pPr>
            <w:r>
              <w:rPr>
                <w:rFonts w:ascii="Arial" w:cs="Arial" w:eastAsia="Arial" w:hAnsi="Arial"/>
                <w:sz w:val="18"/>
                <w:szCs w:val="18"/>
                <w:color w:val="auto"/>
              </w:rPr>
              <w:t>Properties</w:t>
            </w:r>
          </w:p>
        </w:tc>
        <w:tc>
          <w:tcPr>
            <w:tcW w:w="860" w:type="dxa"/>
            <w:vAlign w:val="bottom"/>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9640" w:type="dxa"/>
            <w:vAlign w:val="bottom"/>
          </w:tcPr>
          <w:p>
            <w:pPr>
              <w:ind w:left="80"/>
              <w:spacing w:after="0"/>
              <w:rPr>
                <w:sz w:val="20"/>
                <w:szCs w:val="20"/>
                <w:color w:val="auto"/>
              </w:rPr>
            </w:pPr>
            <w:r>
              <w:rPr>
                <w:rFonts w:ascii="Arial" w:cs="Arial" w:eastAsia="Arial" w:hAnsi="Arial"/>
                <w:sz w:val="18"/>
                <w:szCs w:val="18"/>
                <w:color w:val="auto"/>
              </w:rPr>
              <w:t>Legal Proceedings</w:t>
            </w:r>
          </w:p>
        </w:tc>
        <w:tc>
          <w:tcPr>
            <w:tcW w:w="860" w:type="dxa"/>
            <w:vAlign w:val="bottom"/>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00" w:type="dxa"/>
            <w:vAlign w:val="bottom"/>
          </w:tcPr>
          <w:p>
            <w:pPr>
              <w:jc w:val="right"/>
              <w:spacing w:after="0"/>
              <w:rPr>
                <w:sz w:val="20"/>
                <w:szCs w:val="20"/>
                <w:color w:val="auto"/>
              </w:rPr>
            </w:pPr>
            <w:r>
              <w:rPr>
                <w:rFonts w:ascii="Arial" w:cs="Arial" w:eastAsia="Arial" w:hAnsi="Arial"/>
                <w:sz w:val="18"/>
                <w:szCs w:val="18"/>
                <w:color w:val="auto"/>
              </w:rPr>
              <w:t>4)</w:t>
            </w:r>
          </w:p>
        </w:tc>
        <w:tc>
          <w:tcPr>
            <w:tcW w:w="9640" w:type="dxa"/>
            <w:vAlign w:val="bottom"/>
          </w:tcPr>
          <w:p>
            <w:pPr>
              <w:ind w:left="80"/>
              <w:spacing w:after="0"/>
              <w:rPr>
                <w:sz w:val="20"/>
                <w:szCs w:val="20"/>
                <w:color w:val="auto"/>
              </w:rPr>
            </w:pPr>
            <w:r>
              <w:rPr>
                <w:rFonts w:ascii="Arial" w:cs="Arial" w:eastAsia="Arial" w:hAnsi="Arial"/>
                <w:sz w:val="18"/>
                <w:szCs w:val="18"/>
                <w:color w:val="auto"/>
              </w:rPr>
              <w:t>Mine Safety Disclosure</w:t>
            </w:r>
          </w:p>
        </w:tc>
        <w:tc>
          <w:tcPr>
            <w:tcW w:w="860" w:type="dxa"/>
            <w:vAlign w:val="bottom"/>
          </w:tcPr>
          <w:p>
            <w:pPr>
              <w:jc w:val="right"/>
              <w:spacing w:after="0"/>
              <w:rPr>
                <w:sz w:val="20"/>
                <w:szCs w:val="20"/>
                <w:color w:val="auto"/>
              </w:rPr>
            </w:pPr>
            <w:r>
              <w:rPr>
                <w:rFonts w:ascii="Arial" w:cs="Arial" w:eastAsia="Arial" w:hAnsi="Arial"/>
                <w:sz w:val="18"/>
                <w:szCs w:val="18"/>
                <w:color w:val="auto"/>
              </w:rPr>
              <w:t>28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7"/>
        </w:trPr>
        <w:tc>
          <w:tcPr>
            <w:tcW w:w="700" w:type="dxa"/>
            <w:vAlign w:val="bottom"/>
          </w:tcPr>
          <w:p>
            <w:pPr>
              <w:spacing w:after="0"/>
              <w:rPr>
                <w:sz w:val="24"/>
                <w:szCs w:val="24"/>
                <w:color w:val="auto"/>
              </w:rPr>
            </w:pPr>
          </w:p>
        </w:tc>
        <w:tc>
          <w:tcPr>
            <w:tcW w:w="9640" w:type="dxa"/>
            <w:vAlign w:val="bottom"/>
          </w:tcPr>
          <w:p>
            <w:pPr>
              <w:jc w:val="center"/>
              <w:spacing w:after="0"/>
              <w:rPr>
                <w:sz w:val="20"/>
                <w:szCs w:val="20"/>
                <w:color w:val="auto"/>
              </w:rPr>
            </w:pPr>
            <w:r>
              <w:rPr>
                <w:rFonts w:ascii="Arial" w:cs="Arial" w:eastAsia="Arial" w:hAnsi="Arial"/>
                <w:sz w:val="18"/>
                <w:szCs w:val="18"/>
                <w:b w:val="1"/>
                <w:bCs w:val="1"/>
                <w:color w:val="auto"/>
                <w:w w:val="99"/>
              </w:rPr>
              <w:t>PART II</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700" w:type="dxa"/>
            <w:vAlign w:val="bottom"/>
          </w:tcPr>
          <w:p>
            <w:pPr>
              <w:jc w:val="right"/>
              <w:spacing w:after="0"/>
              <w:rPr>
                <w:sz w:val="20"/>
                <w:szCs w:val="20"/>
                <w:color w:val="auto"/>
              </w:rPr>
            </w:pPr>
            <w:r>
              <w:rPr>
                <w:rFonts w:ascii="Arial" w:cs="Arial" w:eastAsia="Arial" w:hAnsi="Arial"/>
                <w:sz w:val="18"/>
                <w:szCs w:val="18"/>
                <w:color w:val="auto"/>
              </w:rPr>
              <w:t>5)</w:t>
            </w:r>
          </w:p>
        </w:tc>
        <w:tc>
          <w:tcPr>
            <w:tcW w:w="9640" w:type="dxa"/>
            <w:vAlign w:val="bottom"/>
          </w:tcPr>
          <w:p>
            <w:pPr>
              <w:ind w:left="80"/>
              <w:spacing w:after="0"/>
              <w:rPr>
                <w:sz w:val="20"/>
                <w:szCs w:val="20"/>
                <w:color w:val="auto"/>
              </w:rPr>
            </w:pPr>
            <w:r>
              <w:rPr>
                <w:rFonts w:ascii="Arial" w:cs="Arial" w:eastAsia="Arial" w:hAnsi="Arial"/>
                <w:sz w:val="18"/>
                <w:szCs w:val="18"/>
                <w:color w:val="auto"/>
              </w:rPr>
              <w:t>Market for Registrant's Common Equity, Related Stockholder Matters and Issuer Purchases</w:t>
            </w:r>
          </w:p>
        </w:tc>
        <w:tc>
          <w:tcPr>
            <w:tcW w:w="860" w:type="dxa"/>
            <w:vAlign w:val="bottom"/>
          </w:tcPr>
          <w:p>
            <w:pPr>
              <w:jc w:val="right"/>
              <w:spacing w:after="0"/>
              <w:rPr>
                <w:sz w:val="20"/>
                <w:szCs w:val="20"/>
                <w:color w:val="auto"/>
              </w:rPr>
            </w:pPr>
            <w:r>
              <w:rPr>
                <w:rFonts w:ascii="Arial" w:cs="Arial" w:eastAsia="Arial" w:hAnsi="Arial"/>
                <w:sz w:val="18"/>
                <w:szCs w:val="18"/>
                <w:color w:val="auto"/>
              </w:rPr>
              <w:t>29</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700" w:type="dxa"/>
            <w:vAlign w:val="bottom"/>
          </w:tcPr>
          <w:p>
            <w:pPr>
              <w:spacing w:after="0"/>
              <w:rPr>
                <w:sz w:val="19"/>
                <w:szCs w:val="19"/>
                <w:color w:val="auto"/>
              </w:rPr>
            </w:pPr>
          </w:p>
        </w:tc>
        <w:tc>
          <w:tcPr>
            <w:tcW w:w="9640" w:type="dxa"/>
            <w:vAlign w:val="bottom"/>
          </w:tcPr>
          <w:p>
            <w:pPr>
              <w:ind w:left="200"/>
              <w:spacing w:after="0"/>
              <w:rPr>
                <w:sz w:val="20"/>
                <w:szCs w:val="20"/>
                <w:color w:val="auto"/>
              </w:rPr>
            </w:pPr>
            <w:r>
              <w:rPr>
                <w:rFonts w:ascii="Arial" w:cs="Arial" w:eastAsia="Arial" w:hAnsi="Arial"/>
                <w:sz w:val="18"/>
                <w:szCs w:val="18"/>
                <w:color w:val="auto"/>
              </w:rPr>
              <w:t>of Equity Securities</w:t>
            </w: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00" w:type="dxa"/>
            <w:vAlign w:val="bottom"/>
          </w:tcPr>
          <w:p>
            <w:pPr>
              <w:jc w:val="right"/>
              <w:spacing w:after="0"/>
              <w:rPr>
                <w:sz w:val="20"/>
                <w:szCs w:val="20"/>
                <w:color w:val="auto"/>
              </w:rPr>
            </w:pPr>
            <w:r>
              <w:rPr>
                <w:rFonts w:ascii="Arial" w:cs="Arial" w:eastAsia="Arial" w:hAnsi="Arial"/>
                <w:sz w:val="18"/>
                <w:szCs w:val="18"/>
                <w:color w:val="auto"/>
              </w:rPr>
              <w:t>6)</w:t>
            </w:r>
          </w:p>
        </w:tc>
        <w:tc>
          <w:tcPr>
            <w:tcW w:w="9640" w:type="dxa"/>
            <w:vAlign w:val="bottom"/>
          </w:tcPr>
          <w:p>
            <w:pPr>
              <w:ind w:left="80"/>
              <w:spacing w:after="0"/>
              <w:rPr>
                <w:sz w:val="20"/>
                <w:szCs w:val="20"/>
                <w:color w:val="auto"/>
              </w:rPr>
            </w:pPr>
            <w:r>
              <w:rPr>
                <w:rFonts w:ascii="Arial" w:cs="Arial" w:eastAsia="Arial" w:hAnsi="Arial"/>
                <w:sz w:val="18"/>
                <w:szCs w:val="18"/>
                <w:color w:val="auto"/>
              </w:rPr>
              <w:t>[Reserved]</w:t>
            </w:r>
          </w:p>
        </w:tc>
        <w:tc>
          <w:tcPr>
            <w:tcW w:w="860" w:type="dxa"/>
            <w:vAlign w:val="bottom"/>
          </w:tcPr>
          <w:p>
            <w:pPr>
              <w:jc w:val="right"/>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00" w:type="dxa"/>
            <w:vAlign w:val="bottom"/>
          </w:tcPr>
          <w:p>
            <w:pPr>
              <w:jc w:val="right"/>
              <w:spacing w:after="0"/>
              <w:rPr>
                <w:sz w:val="20"/>
                <w:szCs w:val="20"/>
                <w:color w:val="auto"/>
              </w:rPr>
            </w:pPr>
            <w:r>
              <w:rPr>
                <w:rFonts w:ascii="Arial" w:cs="Arial" w:eastAsia="Arial" w:hAnsi="Arial"/>
                <w:sz w:val="18"/>
                <w:szCs w:val="18"/>
                <w:color w:val="auto"/>
              </w:rPr>
              <w:t>7)</w:t>
            </w:r>
          </w:p>
        </w:tc>
        <w:tc>
          <w:tcPr>
            <w:tcW w:w="9640" w:type="dxa"/>
            <w:vAlign w:val="bottom"/>
          </w:tcPr>
          <w:p>
            <w:pPr>
              <w:ind w:left="8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860" w:type="dxa"/>
            <w:vAlign w:val="bottom"/>
          </w:tcPr>
          <w:p>
            <w:pPr>
              <w:jc w:val="right"/>
              <w:spacing w:after="0"/>
              <w:rPr>
                <w:sz w:val="20"/>
                <w:szCs w:val="20"/>
                <w:color w:val="auto"/>
              </w:rPr>
            </w:pPr>
            <w:r>
              <w:rPr>
                <w:rFonts w:ascii="Arial" w:cs="Arial" w:eastAsia="Arial" w:hAnsi="Arial"/>
                <w:sz w:val="18"/>
                <w:szCs w:val="18"/>
                <w:color w:val="auto"/>
              </w:rPr>
              <w:t>31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00" w:type="dxa"/>
            <w:vAlign w:val="bottom"/>
          </w:tcPr>
          <w:p>
            <w:pPr>
              <w:jc w:val="right"/>
              <w:spacing w:after="0"/>
              <w:rPr>
                <w:sz w:val="20"/>
                <w:szCs w:val="20"/>
                <w:color w:val="auto"/>
              </w:rPr>
            </w:pPr>
            <w:r>
              <w:rPr>
                <w:rFonts w:ascii="Arial" w:cs="Arial" w:eastAsia="Arial" w:hAnsi="Arial"/>
                <w:sz w:val="18"/>
                <w:szCs w:val="18"/>
                <w:color w:val="auto"/>
              </w:rPr>
              <w:t>7A)</w:t>
            </w:r>
          </w:p>
        </w:tc>
        <w:tc>
          <w:tcPr>
            <w:tcW w:w="9640" w:type="dxa"/>
            <w:vAlign w:val="bottom"/>
          </w:tcPr>
          <w:p>
            <w:pPr>
              <w:ind w:left="80"/>
              <w:spacing w:after="0"/>
              <w:rPr>
                <w:sz w:val="20"/>
                <w:szCs w:val="20"/>
                <w:color w:val="auto"/>
              </w:rPr>
            </w:pPr>
            <w:r>
              <w:rPr>
                <w:rFonts w:ascii="Arial" w:cs="Arial" w:eastAsia="Arial" w:hAnsi="Arial"/>
                <w:sz w:val="18"/>
                <w:szCs w:val="18"/>
                <w:color w:val="auto"/>
              </w:rPr>
              <w:t>Quantitative and Qualitative Disclosures about Market Risk</w:t>
            </w:r>
          </w:p>
        </w:tc>
        <w:tc>
          <w:tcPr>
            <w:tcW w:w="860" w:type="dxa"/>
            <w:vAlign w:val="bottom"/>
          </w:tcPr>
          <w:p>
            <w:pPr>
              <w:jc w:val="right"/>
              <w:spacing w:after="0"/>
              <w:rPr>
                <w:sz w:val="20"/>
                <w:szCs w:val="20"/>
                <w:color w:val="auto"/>
              </w:rPr>
            </w:pPr>
            <w:r>
              <w:rPr>
                <w:rFonts w:ascii="Arial" w:cs="Arial" w:eastAsia="Arial" w:hAnsi="Arial"/>
                <w:sz w:val="18"/>
                <w:szCs w:val="18"/>
                <w:color w:val="auto"/>
              </w:rPr>
              <w:t>43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00" w:type="dxa"/>
            <w:vAlign w:val="bottom"/>
          </w:tcPr>
          <w:p>
            <w:pPr>
              <w:jc w:val="right"/>
              <w:spacing w:after="0"/>
              <w:rPr>
                <w:sz w:val="20"/>
                <w:szCs w:val="20"/>
                <w:color w:val="auto"/>
              </w:rPr>
            </w:pPr>
            <w:r>
              <w:rPr>
                <w:rFonts w:ascii="Arial" w:cs="Arial" w:eastAsia="Arial" w:hAnsi="Arial"/>
                <w:sz w:val="18"/>
                <w:szCs w:val="18"/>
                <w:color w:val="auto"/>
              </w:rPr>
              <w:t>8)</w:t>
            </w:r>
          </w:p>
        </w:tc>
        <w:tc>
          <w:tcPr>
            <w:tcW w:w="9640" w:type="dxa"/>
            <w:vAlign w:val="bottom"/>
          </w:tcPr>
          <w:p>
            <w:pPr>
              <w:ind w:left="80"/>
              <w:spacing w:after="0"/>
              <w:rPr>
                <w:sz w:val="20"/>
                <w:szCs w:val="20"/>
                <w:color w:val="auto"/>
              </w:rPr>
            </w:pPr>
            <w:r>
              <w:rPr>
                <w:rFonts w:ascii="Arial" w:cs="Arial" w:eastAsia="Arial" w:hAnsi="Arial"/>
                <w:sz w:val="18"/>
                <w:szCs w:val="18"/>
                <w:color w:val="auto"/>
              </w:rPr>
              <w:t>Financial Statements and Supplementary Data</w:t>
            </w:r>
          </w:p>
        </w:tc>
        <w:tc>
          <w:tcPr>
            <w:tcW w:w="860" w:type="dxa"/>
            <w:vAlign w:val="bottom"/>
          </w:tcPr>
          <w:p>
            <w:pPr>
              <w:jc w:val="right"/>
              <w:spacing w:after="0"/>
              <w:rPr>
                <w:sz w:val="20"/>
                <w:szCs w:val="20"/>
                <w:color w:val="auto"/>
              </w:rPr>
            </w:pPr>
            <w:r>
              <w:rPr>
                <w:rFonts w:ascii="Arial" w:cs="Arial" w:eastAsia="Arial" w:hAnsi="Arial"/>
                <w:sz w:val="18"/>
                <w:szCs w:val="18"/>
                <w:color w:val="auto"/>
              </w:rPr>
              <w:t>44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00" w:type="dxa"/>
            <w:vAlign w:val="bottom"/>
          </w:tcPr>
          <w:p>
            <w:pPr>
              <w:jc w:val="right"/>
              <w:spacing w:after="0"/>
              <w:rPr>
                <w:sz w:val="20"/>
                <w:szCs w:val="20"/>
                <w:color w:val="auto"/>
              </w:rPr>
            </w:pPr>
            <w:r>
              <w:rPr>
                <w:rFonts w:ascii="Arial" w:cs="Arial" w:eastAsia="Arial" w:hAnsi="Arial"/>
                <w:sz w:val="18"/>
                <w:szCs w:val="18"/>
                <w:color w:val="auto"/>
              </w:rPr>
              <w:t>9)</w:t>
            </w:r>
          </w:p>
        </w:tc>
        <w:tc>
          <w:tcPr>
            <w:tcW w:w="9640" w:type="dxa"/>
            <w:vAlign w:val="bottom"/>
          </w:tcPr>
          <w:p>
            <w:pPr>
              <w:ind w:left="80"/>
              <w:spacing w:after="0"/>
              <w:rPr>
                <w:sz w:val="20"/>
                <w:szCs w:val="20"/>
                <w:color w:val="auto"/>
              </w:rPr>
            </w:pPr>
            <w:r>
              <w:rPr>
                <w:rFonts w:ascii="Arial" w:cs="Arial" w:eastAsia="Arial" w:hAnsi="Arial"/>
                <w:sz w:val="18"/>
                <w:szCs w:val="18"/>
                <w:color w:val="auto"/>
              </w:rPr>
              <w:t>Changes in and Disagreements with Accountants on Accounting and Financial Disclosure</w:t>
            </w:r>
          </w:p>
        </w:tc>
        <w:tc>
          <w:tcPr>
            <w:tcW w:w="860" w:type="dxa"/>
            <w:vAlign w:val="bottom"/>
          </w:tcPr>
          <w:p>
            <w:pPr>
              <w:jc w:val="right"/>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00" w:type="dxa"/>
            <w:vAlign w:val="bottom"/>
          </w:tcPr>
          <w:p>
            <w:pPr>
              <w:jc w:val="right"/>
              <w:spacing w:after="0"/>
              <w:rPr>
                <w:sz w:val="20"/>
                <w:szCs w:val="20"/>
                <w:color w:val="auto"/>
              </w:rPr>
            </w:pPr>
            <w:r>
              <w:rPr>
                <w:rFonts w:ascii="Arial" w:cs="Arial" w:eastAsia="Arial" w:hAnsi="Arial"/>
                <w:sz w:val="18"/>
                <w:szCs w:val="18"/>
                <w:color w:val="auto"/>
              </w:rPr>
              <w:t>9A)</w:t>
            </w:r>
          </w:p>
        </w:tc>
        <w:tc>
          <w:tcPr>
            <w:tcW w:w="9640" w:type="dxa"/>
            <w:vAlign w:val="bottom"/>
          </w:tcPr>
          <w:p>
            <w:pPr>
              <w:ind w:left="80"/>
              <w:spacing w:after="0"/>
              <w:rPr>
                <w:sz w:val="20"/>
                <w:szCs w:val="20"/>
                <w:color w:val="auto"/>
              </w:rPr>
            </w:pPr>
            <w:r>
              <w:rPr>
                <w:rFonts w:ascii="Arial" w:cs="Arial" w:eastAsia="Arial" w:hAnsi="Arial"/>
                <w:sz w:val="18"/>
                <w:szCs w:val="18"/>
                <w:color w:val="auto"/>
              </w:rPr>
              <w:t>Controls and Procedures</w:t>
            </w:r>
          </w:p>
        </w:tc>
        <w:tc>
          <w:tcPr>
            <w:tcW w:w="860" w:type="dxa"/>
            <w:vAlign w:val="bottom"/>
          </w:tcPr>
          <w:p>
            <w:pPr>
              <w:jc w:val="right"/>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00" w:type="dxa"/>
            <w:vAlign w:val="bottom"/>
          </w:tcPr>
          <w:p>
            <w:pPr>
              <w:jc w:val="right"/>
              <w:spacing w:after="0"/>
              <w:rPr>
                <w:sz w:val="20"/>
                <w:szCs w:val="20"/>
                <w:color w:val="auto"/>
              </w:rPr>
            </w:pPr>
            <w:r>
              <w:rPr>
                <w:rFonts w:ascii="Arial" w:cs="Arial" w:eastAsia="Arial" w:hAnsi="Arial"/>
                <w:sz w:val="18"/>
                <w:szCs w:val="18"/>
                <w:color w:val="auto"/>
              </w:rPr>
              <w:t>9B)</w:t>
            </w:r>
          </w:p>
        </w:tc>
        <w:tc>
          <w:tcPr>
            <w:tcW w:w="9640" w:type="dxa"/>
            <w:vAlign w:val="bottom"/>
          </w:tcPr>
          <w:p>
            <w:pPr>
              <w:ind w:left="80"/>
              <w:spacing w:after="0"/>
              <w:rPr>
                <w:sz w:val="20"/>
                <w:szCs w:val="20"/>
                <w:color w:val="auto"/>
              </w:rPr>
            </w:pPr>
            <w:r>
              <w:rPr>
                <w:rFonts w:ascii="Arial" w:cs="Arial" w:eastAsia="Arial" w:hAnsi="Arial"/>
                <w:sz w:val="18"/>
                <w:szCs w:val="18"/>
                <w:color w:val="auto"/>
              </w:rPr>
              <w:t>Other Information</w:t>
            </w:r>
          </w:p>
        </w:tc>
        <w:tc>
          <w:tcPr>
            <w:tcW w:w="860" w:type="dxa"/>
            <w:vAlign w:val="bottom"/>
          </w:tcPr>
          <w:p>
            <w:pPr>
              <w:jc w:val="right"/>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00" w:type="dxa"/>
            <w:vAlign w:val="bottom"/>
          </w:tcPr>
          <w:p>
            <w:pPr>
              <w:jc w:val="right"/>
              <w:spacing w:after="0"/>
              <w:rPr>
                <w:sz w:val="20"/>
                <w:szCs w:val="20"/>
                <w:color w:val="auto"/>
              </w:rPr>
            </w:pPr>
            <w:r>
              <w:rPr>
                <w:rFonts w:ascii="Arial" w:cs="Arial" w:eastAsia="Arial" w:hAnsi="Arial"/>
                <w:sz w:val="18"/>
                <w:szCs w:val="18"/>
                <w:color w:val="auto"/>
              </w:rPr>
              <w:t>9C)</w:t>
            </w:r>
          </w:p>
        </w:tc>
        <w:tc>
          <w:tcPr>
            <w:tcW w:w="9640" w:type="dxa"/>
            <w:vAlign w:val="bottom"/>
          </w:tcPr>
          <w:p>
            <w:pPr>
              <w:ind w:left="80"/>
              <w:spacing w:after="0"/>
              <w:rPr>
                <w:sz w:val="20"/>
                <w:szCs w:val="20"/>
                <w:color w:val="auto"/>
              </w:rPr>
            </w:pPr>
            <w:r>
              <w:rPr>
                <w:rFonts w:ascii="Arial" w:cs="Arial" w:eastAsia="Arial" w:hAnsi="Arial"/>
                <w:sz w:val="18"/>
                <w:szCs w:val="18"/>
                <w:color w:val="auto"/>
              </w:rPr>
              <w:t>Disclosure Regarding Foreign Jurisdictions that Prevent Inspections</w:t>
            </w:r>
          </w:p>
        </w:tc>
        <w:tc>
          <w:tcPr>
            <w:tcW w:w="860" w:type="dxa"/>
            <w:vAlign w:val="bottom"/>
          </w:tcPr>
          <w:p>
            <w:pPr>
              <w:jc w:val="right"/>
              <w:spacing w:after="0"/>
              <w:rPr>
                <w:sz w:val="20"/>
                <w:szCs w:val="20"/>
                <w:color w:val="auto"/>
              </w:rPr>
            </w:pPr>
            <w:r>
              <w:rPr>
                <w:rFonts w:ascii="Arial" w:cs="Arial" w:eastAsia="Arial" w:hAnsi="Arial"/>
                <w:sz w:val="18"/>
                <w:szCs w:val="18"/>
                <w:color w:val="auto"/>
              </w:rPr>
              <w:t>70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7"/>
        </w:trPr>
        <w:tc>
          <w:tcPr>
            <w:tcW w:w="700" w:type="dxa"/>
            <w:vAlign w:val="bottom"/>
          </w:tcPr>
          <w:p>
            <w:pPr>
              <w:spacing w:after="0"/>
              <w:rPr>
                <w:sz w:val="24"/>
                <w:szCs w:val="24"/>
                <w:color w:val="auto"/>
              </w:rPr>
            </w:pPr>
          </w:p>
        </w:tc>
        <w:tc>
          <w:tcPr>
            <w:tcW w:w="9640" w:type="dxa"/>
            <w:vAlign w:val="bottom"/>
          </w:tcPr>
          <w:p>
            <w:pPr>
              <w:jc w:val="center"/>
              <w:spacing w:after="0"/>
              <w:rPr>
                <w:sz w:val="20"/>
                <w:szCs w:val="20"/>
                <w:color w:val="auto"/>
              </w:rPr>
            </w:pPr>
            <w:r>
              <w:rPr>
                <w:rFonts w:ascii="Arial" w:cs="Arial" w:eastAsia="Arial" w:hAnsi="Arial"/>
                <w:sz w:val="18"/>
                <w:szCs w:val="18"/>
                <w:b w:val="1"/>
                <w:bCs w:val="1"/>
                <w:color w:val="auto"/>
              </w:rPr>
              <w:t>PART III</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9640" w:type="dxa"/>
            <w:vAlign w:val="bottom"/>
          </w:tcPr>
          <w:p>
            <w:pPr>
              <w:ind w:left="80"/>
              <w:spacing w:after="0"/>
              <w:rPr>
                <w:sz w:val="20"/>
                <w:szCs w:val="20"/>
                <w:color w:val="auto"/>
              </w:rPr>
            </w:pPr>
            <w:r>
              <w:rPr>
                <w:rFonts w:ascii="Arial" w:cs="Arial" w:eastAsia="Arial" w:hAnsi="Arial"/>
                <w:sz w:val="18"/>
                <w:szCs w:val="18"/>
                <w:color w:val="auto"/>
              </w:rPr>
              <w:t>Directors, Executive Officers and Corporate Governance</w:t>
            </w:r>
          </w:p>
        </w:tc>
        <w:tc>
          <w:tcPr>
            <w:tcW w:w="860" w:type="dxa"/>
            <w:vAlign w:val="bottom"/>
          </w:tcPr>
          <w:p>
            <w:pPr>
              <w:jc w:val="right"/>
              <w:spacing w:after="0"/>
              <w:rPr>
                <w:sz w:val="20"/>
                <w:szCs w:val="20"/>
                <w:color w:val="auto"/>
              </w:rPr>
            </w:pPr>
            <w:r>
              <w:rPr>
                <w:rFonts w:ascii="Arial" w:cs="Arial" w:eastAsia="Arial" w:hAnsi="Arial"/>
                <w:sz w:val="18"/>
                <w:szCs w:val="18"/>
                <w:color w:val="auto"/>
              </w:rPr>
              <w:t>71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9640" w:type="dxa"/>
            <w:vAlign w:val="bottom"/>
          </w:tcPr>
          <w:p>
            <w:pPr>
              <w:ind w:left="80"/>
              <w:spacing w:after="0"/>
              <w:rPr>
                <w:sz w:val="20"/>
                <w:szCs w:val="20"/>
                <w:color w:val="auto"/>
              </w:rPr>
            </w:pPr>
            <w:r>
              <w:rPr>
                <w:rFonts w:ascii="Arial" w:cs="Arial" w:eastAsia="Arial" w:hAnsi="Arial"/>
                <w:sz w:val="18"/>
                <w:szCs w:val="18"/>
                <w:color w:val="auto"/>
              </w:rPr>
              <w:t>Executive Compensation</w:t>
            </w:r>
          </w:p>
        </w:tc>
        <w:tc>
          <w:tcPr>
            <w:tcW w:w="860" w:type="dxa"/>
            <w:vAlign w:val="bottom"/>
          </w:tcPr>
          <w:p>
            <w:pPr>
              <w:jc w:val="right"/>
              <w:spacing w:after="0"/>
              <w:rPr>
                <w:sz w:val="20"/>
                <w:szCs w:val="20"/>
                <w:color w:val="auto"/>
              </w:rPr>
            </w:pPr>
            <w:r>
              <w:rPr>
                <w:rFonts w:ascii="Arial" w:cs="Arial" w:eastAsia="Arial" w:hAnsi="Arial"/>
                <w:sz w:val="18"/>
                <w:szCs w:val="18"/>
                <w:color w:val="auto"/>
              </w:rPr>
              <w:t>76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9640" w:type="dxa"/>
            <w:vAlign w:val="bottom"/>
          </w:tcPr>
          <w:p>
            <w:pPr>
              <w:ind w:left="80"/>
              <w:spacing w:after="0"/>
              <w:rPr>
                <w:sz w:val="20"/>
                <w:szCs w:val="20"/>
                <w:color w:val="auto"/>
              </w:rPr>
            </w:pPr>
            <w:r>
              <w:rPr>
                <w:rFonts w:ascii="Arial" w:cs="Arial" w:eastAsia="Arial" w:hAnsi="Arial"/>
                <w:sz w:val="18"/>
                <w:szCs w:val="18"/>
                <w:color w:val="auto"/>
              </w:rPr>
              <w:t>Security Ownership of Certain Beneficial Owners and Management and Related Stockholder Matters</w:t>
            </w:r>
          </w:p>
        </w:tc>
        <w:tc>
          <w:tcPr>
            <w:tcW w:w="860" w:type="dxa"/>
            <w:vAlign w:val="bottom"/>
          </w:tcPr>
          <w:p>
            <w:pPr>
              <w:jc w:val="right"/>
              <w:spacing w:after="0"/>
              <w:rPr>
                <w:sz w:val="20"/>
                <w:szCs w:val="20"/>
                <w:color w:val="auto"/>
              </w:rPr>
            </w:pPr>
            <w:r>
              <w:rPr>
                <w:rFonts w:ascii="Arial" w:cs="Arial" w:eastAsia="Arial" w:hAnsi="Arial"/>
                <w:sz w:val="18"/>
                <w:szCs w:val="18"/>
                <w:color w:val="auto"/>
              </w:rPr>
              <w:t>81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00" w:type="dxa"/>
            <w:vAlign w:val="bottom"/>
          </w:tcPr>
          <w:p>
            <w:pPr>
              <w:jc w:val="right"/>
              <w:spacing w:after="0"/>
              <w:rPr>
                <w:sz w:val="20"/>
                <w:szCs w:val="20"/>
                <w:color w:val="auto"/>
              </w:rPr>
            </w:pPr>
            <w:r>
              <w:rPr>
                <w:rFonts w:ascii="Arial" w:cs="Arial" w:eastAsia="Arial" w:hAnsi="Arial"/>
                <w:sz w:val="18"/>
                <w:szCs w:val="18"/>
                <w:color w:val="auto"/>
              </w:rPr>
              <w:t>13)</w:t>
            </w:r>
          </w:p>
        </w:tc>
        <w:tc>
          <w:tcPr>
            <w:tcW w:w="9640" w:type="dxa"/>
            <w:vAlign w:val="bottom"/>
          </w:tcPr>
          <w:p>
            <w:pPr>
              <w:ind w:left="80"/>
              <w:spacing w:after="0"/>
              <w:rPr>
                <w:sz w:val="20"/>
                <w:szCs w:val="20"/>
                <w:color w:val="auto"/>
              </w:rPr>
            </w:pPr>
            <w:r>
              <w:rPr>
                <w:rFonts w:ascii="Arial" w:cs="Arial" w:eastAsia="Arial" w:hAnsi="Arial"/>
                <w:sz w:val="18"/>
                <w:szCs w:val="18"/>
                <w:color w:val="auto"/>
              </w:rPr>
              <w:t>Certain Relationships and Related Transactions, and Director Independence</w:t>
            </w:r>
          </w:p>
        </w:tc>
        <w:tc>
          <w:tcPr>
            <w:tcW w:w="860" w:type="dxa"/>
            <w:vAlign w:val="bottom"/>
          </w:tcPr>
          <w:p>
            <w:pPr>
              <w:jc w:val="right"/>
              <w:spacing w:after="0"/>
              <w:rPr>
                <w:sz w:val="20"/>
                <w:szCs w:val="20"/>
                <w:color w:val="auto"/>
              </w:rPr>
            </w:pPr>
            <w:r>
              <w:rPr>
                <w:rFonts w:ascii="Arial" w:cs="Arial" w:eastAsia="Arial" w:hAnsi="Arial"/>
                <w:sz w:val="18"/>
                <w:szCs w:val="18"/>
                <w:color w:val="auto"/>
              </w:rPr>
              <w:t>84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00" w:type="dxa"/>
            <w:vAlign w:val="bottom"/>
          </w:tcPr>
          <w:p>
            <w:pPr>
              <w:jc w:val="right"/>
              <w:spacing w:after="0"/>
              <w:rPr>
                <w:sz w:val="20"/>
                <w:szCs w:val="20"/>
                <w:color w:val="auto"/>
              </w:rPr>
            </w:pPr>
            <w:r>
              <w:rPr>
                <w:rFonts w:ascii="Arial" w:cs="Arial" w:eastAsia="Arial" w:hAnsi="Arial"/>
                <w:sz w:val="18"/>
                <w:szCs w:val="18"/>
                <w:color w:val="auto"/>
              </w:rPr>
              <w:t>14)</w:t>
            </w:r>
          </w:p>
        </w:tc>
        <w:tc>
          <w:tcPr>
            <w:tcW w:w="9640" w:type="dxa"/>
            <w:vAlign w:val="bottom"/>
          </w:tcPr>
          <w:p>
            <w:pPr>
              <w:ind w:left="80"/>
              <w:spacing w:after="0"/>
              <w:rPr>
                <w:sz w:val="20"/>
                <w:szCs w:val="20"/>
                <w:color w:val="auto"/>
              </w:rPr>
            </w:pPr>
            <w:r>
              <w:rPr>
                <w:rFonts w:ascii="Arial" w:cs="Arial" w:eastAsia="Arial" w:hAnsi="Arial"/>
                <w:sz w:val="18"/>
                <w:szCs w:val="18"/>
                <w:color w:val="auto"/>
              </w:rPr>
              <w:t>Principal Accountant Fees and Services</w:t>
            </w:r>
          </w:p>
        </w:tc>
        <w:tc>
          <w:tcPr>
            <w:tcW w:w="860" w:type="dxa"/>
            <w:vAlign w:val="bottom"/>
          </w:tcPr>
          <w:p>
            <w:pPr>
              <w:jc w:val="right"/>
              <w:spacing w:after="0"/>
              <w:rPr>
                <w:sz w:val="20"/>
                <w:szCs w:val="20"/>
                <w:color w:val="auto"/>
              </w:rPr>
            </w:pPr>
            <w:r>
              <w:rPr>
                <w:rFonts w:ascii="Arial" w:cs="Arial" w:eastAsia="Arial" w:hAnsi="Arial"/>
                <w:sz w:val="18"/>
                <w:szCs w:val="18"/>
                <w:color w:val="auto"/>
              </w:rPr>
              <w:t>87</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7"/>
        </w:trPr>
        <w:tc>
          <w:tcPr>
            <w:tcW w:w="700" w:type="dxa"/>
            <w:vAlign w:val="bottom"/>
          </w:tcPr>
          <w:p>
            <w:pPr>
              <w:spacing w:after="0"/>
              <w:rPr>
                <w:sz w:val="24"/>
                <w:szCs w:val="24"/>
                <w:color w:val="auto"/>
              </w:rPr>
            </w:pPr>
          </w:p>
        </w:tc>
        <w:tc>
          <w:tcPr>
            <w:tcW w:w="9640" w:type="dxa"/>
            <w:vAlign w:val="bottom"/>
          </w:tcPr>
          <w:p>
            <w:pPr>
              <w:jc w:val="center"/>
              <w:spacing w:after="0"/>
              <w:rPr>
                <w:sz w:val="20"/>
                <w:szCs w:val="20"/>
                <w:color w:val="auto"/>
              </w:rPr>
            </w:pPr>
            <w:r>
              <w:rPr>
                <w:rFonts w:ascii="Arial" w:cs="Arial" w:eastAsia="Arial" w:hAnsi="Arial"/>
                <w:sz w:val="18"/>
                <w:szCs w:val="18"/>
                <w:b w:val="1"/>
                <w:bCs w:val="1"/>
                <w:color w:val="auto"/>
                <w:w w:val="98"/>
              </w:rPr>
              <w:t>PART IV</w:t>
            </w: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7"/>
        </w:trPr>
        <w:tc>
          <w:tcPr>
            <w:tcW w:w="700" w:type="dxa"/>
            <w:vAlign w:val="bottom"/>
          </w:tcPr>
          <w:p>
            <w:pPr>
              <w:jc w:val="right"/>
              <w:spacing w:after="0"/>
              <w:rPr>
                <w:sz w:val="20"/>
                <w:szCs w:val="20"/>
                <w:color w:val="auto"/>
              </w:rPr>
            </w:pPr>
            <w:r>
              <w:rPr>
                <w:rFonts w:ascii="Arial" w:cs="Arial" w:eastAsia="Arial" w:hAnsi="Arial"/>
                <w:sz w:val="18"/>
                <w:szCs w:val="18"/>
                <w:color w:val="auto"/>
              </w:rPr>
              <w:t>15)</w:t>
            </w:r>
          </w:p>
        </w:tc>
        <w:tc>
          <w:tcPr>
            <w:tcW w:w="9640" w:type="dxa"/>
            <w:vAlign w:val="bottom"/>
          </w:tcPr>
          <w:p>
            <w:pPr>
              <w:ind w:left="80"/>
              <w:spacing w:after="0"/>
              <w:rPr>
                <w:sz w:val="20"/>
                <w:szCs w:val="20"/>
                <w:color w:val="auto"/>
              </w:rPr>
            </w:pPr>
            <w:r>
              <w:rPr>
                <w:rFonts w:ascii="Arial" w:cs="Arial" w:eastAsia="Arial" w:hAnsi="Arial"/>
                <w:sz w:val="18"/>
                <w:szCs w:val="18"/>
                <w:color w:val="auto"/>
              </w:rPr>
              <w:t>Exhibits and Financial Statement Schedules</w:t>
            </w:r>
          </w:p>
        </w:tc>
        <w:tc>
          <w:tcPr>
            <w:tcW w:w="860" w:type="dxa"/>
            <w:vAlign w:val="bottom"/>
          </w:tcPr>
          <w:p>
            <w:pPr>
              <w:jc w:val="right"/>
              <w:spacing w:after="0"/>
              <w:rPr>
                <w:sz w:val="20"/>
                <w:szCs w:val="20"/>
                <w:color w:val="auto"/>
              </w:rPr>
            </w:pPr>
            <w:r>
              <w:rPr>
                <w:rFonts w:ascii="Arial" w:cs="Arial" w:eastAsia="Arial" w:hAnsi="Arial"/>
                <w:sz w:val="18"/>
                <w:szCs w:val="18"/>
                <w:color w:val="auto"/>
              </w:rPr>
              <w:t>88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700" w:type="dxa"/>
            <w:vAlign w:val="bottom"/>
          </w:tcPr>
          <w:p>
            <w:pPr>
              <w:jc w:val="right"/>
              <w:spacing w:after="0"/>
              <w:rPr>
                <w:sz w:val="20"/>
                <w:szCs w:val="20"/>
                <w:color w:val="auto"/>
              </w:rPr>
            </w:pPr>
            <w:r>
              <w:rPr>
                <w:rFonts w:ascii="Arial" w:cs="Arial" w:eastAsia="Arial" w:hAnsi="Arial"/>
                <w:sz w:val="18"/>
                <w:szCs w:val="18"/>
                <w:color w:val="auto"/>
              </w:rPr>
              <w:t>16)</w:t>
            </w:r>
          </w:p>
        </w:tc>
        <w:tc>
          <w:tcPr>
            <w:tcW w:w="9640" w:type="dxa"/>
            <w:vAlign w:val="bottom"/>
          </w:tcPr>
          <w:p>
            <w:pPr>
              <w:ind w:left="80"/>
              <w:spacing w:after="0"/>
              <w:rPr>
                <w:sz w:val="20"/>
                <w:szCs w:val="20"/>
                <w:color w:val="auto"/>
              </w:rPr>
            </w:pPr>
            <w:r>
              <w:rPr>
                <w:rFonts w:ascii="Arial" w:cs="Arial" w:eastAsia="Arial" w:hAnsi="Arial"/>
                <w:sz w:val="18"/>
                <w:szCs w:val="18"/>
                <w:color w:val="auto"/>
              </w:rPr>
              <w:t>Form 10-K Summary</w:t>
            </w:r>
          </w:p>
        </w:tc>
        <w:tc>
          <w:tcPr>
            <w:tcW w:w="860" w:type="dxa"/>
            <w:vAlign w:val="bottom"/>
          </w:tcPr>
          <w:p>
            <w:pPr>
              <w:jc w:val="right"/>
              <w:spacing w:after="0"/>
              <w:rPr>
                <w:sz w:val="20"/>
                <w:szCs w:val="20"/>
                <w:color w:val="auto"/>
              </w:rPr>
            </w:pPr>
            <w:r>
              <w:rPr>
                <w:rFonts w:ascii="Arial" w:cs="Arial" w:eastAsia="Arial" w:hAnsi="Arial"/>
                <w:sz w:val="18"/>
                <w:szCs w:val="18"/>
                <w:color w:val="auto"/>
              </w:rPr>
              <w:t>92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7"/>
        </w:trPr>
        <w:tc>
          <w:tcPr>
            <w:tcW w:w="700" w:type="dxa"/>
            <w:vAlign w:val="bottom"/>
            <w:tcBorders>
              <w:bottom w:val="single" w:sz="8" w:color="9A9A9A"/>
            </w:tcBorders>
          </w:tcPr>
          <w:p>
            <w:pPr>
              <w:spacing w:after="0"/>
              <w:rPr>
                <w:sz w:val="24"/>
                <w:szCs w:val="24"/>
                <w:color w:val="auto"/>
              </w:rPr>
            </w:pPr>
          </w:p>
        </w:tc>
        <w:tc>
          <w:tcPr>
            <w:tcW w:w="96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Explanatory Note</w:t>
      </w:r>
    </w:p>
    <w:p>
      <w:pPr>
        <w:spacing w:after="0" w:line="167" w:lineRule="exact"/>
        <w:rPr>
          <w:sz w:val="20"/>
          <w:szCs w:val="20"/>
          <w:color w:val="auto"/>
        </w:rPr>
      </w:pPr>
    </w:p>
    <w:p>
      <w:pPr>
        <w:ind w:right="20" w:firstLine="395"/>
        <w:spacing w:after="0" w:line="269" w:lineRule="auto"/>
        <w:rPr>
          <w:sz w:val="20"/>
          <w:szCs w:val="20"/>
          <w:color w:val="auto"/>
        </w:rPr>
      </w:pPr>
      <w:r>
        <w:rPr>
          <w:rFonts w:ascii="Arial" w:cs="Arial" w:eastAsia="Arial" w:hAnsi="Arial"/>
          <w:sz w:val="16"/>
          <w:szCs w:val="16"/>
          <w:color w:val="auto"/>
        </w:rPr>
        <w:t>Unless otherwise indicated, references in this Annual Report on Form 10-K (this "report") to "we," "our," "us" or like terms refer to Westlake Chemical Partners LP ("Westlake Chemical Partners LP" or the "Partnership"), Westlake Chemical OpCo LP ("OpCo") and Westlake Chemical OpCo GP LLC ("OpCo GP"). References to "Westlake" refer to Westlake Corporation (formerly known as Westlake Chemical Corporation) and its consolidated subsidiaries other than the Partnership, OpCo GP and OpCo. Unless the context otherwise requires, references to our "board of directors" or our "directors" refer to the board of directors of our general partner and such board's directors, respectively.</w:t>
      </w: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181" w:lineRule="exact"/>
        <w:rPr>
          <w:sz w:val="20"/>
          <w:szCs w:val="20"/>
          <w:color w:val="auto"/>
        </w:rPr>
      </w:pPr>
    </w:p>
    <w:p>
      <w:pPr>
        <w:ind w:right="40" w:firstLine="395"/>
        <w:spacing w:after="0" w:line="310" w:lineRule="auto"/>
        <w:rPr>
          <w:sz w:val="20"/>
          <w:szCs w:val="20"/>
          <w:color w:val="auto"/>
        </w:rPr>
      </w:pPr>
      <w:r>
        <w:rPr>
          <w:rFonts w:ascii="Arial" w:cs="Arial" w:eastAsia="Arial" w:hAnsi="Arial"/>
          <w:sz w:val="15"/>
          <w:szCs w:val="15"/>
          <w:color w:val="auto"/>
        </w:rPr>
        <w:t>Certain of the statements contained in this report are forward-looking statements. All statements, other than statements of historical facts, included in this report that address activities, events or developments that we expect, project, believe or anticipate will or may occur in the future are forward-looking statements. Forward-looking statements can be identified by the use of words such as "believes," "intends," "may," "should," "could," "anticipates," "expects," "will" or comparable terminology, or by discussions of strategies or trends. Although we believe that the expectations reflected in such forward-looking statements are reasonable, we cannot give any assurances that these expectations will prove to be correct. Forward-looking statements relate to matters such as:</w:t>
      </w:r>
    </w:p>
    <w:p>
      <w:pPr>
        <w:spacing w:after="0" w:line="110" w:lineRule="exact"/>
        <w:rPr>
          <w:sz w:val="20"/>
          <w:szCs w:val="20"/>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amount of ethane that we are able to process, which could be adversely affected by, among other things, operating difficulties;</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volume of ethylene that we are able to sell;</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price at which we are able to sell ethylene;</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industry market outlook, including prices and margins in third-party ethylene and co-products sales;</w:t>
      </w:r>
    </w:p>
    <w:p>
      <w:pPr>
        <w:spacing w:after="0" w:line="95" w:lineRule="exact"/>
        <w:rPr>
          <w:rFonts w:ascii="Arial" w:cs="Arial" w:eastAsia="Arial" w:hAnsi="Arial"/>
          <w:sz w:val="18"/>
          <w:szCs w:val="18"/>
          <w:color w:val="auto"/>
        </w:rPr>
      </w:pPr>
    </w:p>
    <w:p>
      <w:pPr>
        <w:ind w:left="640" w:right="440" w:hanging="319"/>
        <w:spacing w:after="0" w:line="261" w:lineRule="auto"/>
        <w:tabs>
          <w:tab w:leader="none" w:pos="636" w:val="left"/>
        </w:tabs>
        <w:numPr>
          <w:ilvl w:val="0"/>
          <w:numId w:val="3"/>
        </w:numPr>
        <w:rPr>
          <w:rFonts w:ascii="Arial" w:cs="Arial" w:eastAsia="Arial" w:hAnsi="Arial"/>
          <w:sz w:val="18"/>
          <w:szCs w:val="18"/>
          <w:color w:val="auto"/>
        </w:rPr>
      </w:pPr>
      <w:r>
        <w:rPr>
          <w:rFonts w:ascii="Arial" w:cs="Arial" w:eastAsia="Arial" w:hAnsi="Arial"/>
          <w:sz w:val="18"/>
          <w:szCs w:val="18"/>
          <w:color w:val="auto"/>
        </w:rPr>
        <w:t>widespread outbreak of an illness or any other communicable disease, or any other public health crisis, including the coronavirus ("COVID-19") pandemic and efforts to contain its transmission;</w:t>
      </w:r>
    </w:p>
    <w:p>
      <w:pPr>
        <w:spacing w:after="0" w:line="62"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plans and Westlake's plans to respond to the challenges presented by the COVID-19 pandemic;</w:t>
      </w:r>
    </w:p>
    <w:p>
      <w:pPr>
        <w:spacing w:after="0" w:line="82" w:lineRule="exact"/>
        <w:rPr>
          <w:rFonts w:ascii="Arial" w:cs="Arial" w:eastAsia="Arial" w:hAnsi="Arial"/>
          <w:sz w:val="18"/>
          <w:szCs w:val="18"/>
          <w:color w:val="auto"/>
        </w:rPr>
      </w:pPr>
    </w:p>
    <w:p>
      <w:pPr>
        <w:ind w:left="640" w:right="280" w:hanging="319"/>
        <w:spacing w:after="0" w:line="261" w:lineRule="auto"/>
        <w:tabs>
          <w:tab w:leader="none" w:pos="636"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ongoing supply chain constraints and workforce availability caused by the COVID-19 pandemic and the conflict between Russia and Ukraine;</w:t>
      </w:r>
    </w:p>
    <w:p>
      <w:pPr>
        <w:spacing w:after="0" w:line="62"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parties to whom we will sell ethylene and on what basis;</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volumes of ethylene that Westlake may purchase, in addition to the minimum commitment under the Ethylene Sales Agreement;</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timing, funding and results of capital expenditures;</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intended quarterly distributions and the manner of making such distributions;</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meet our liquidity needs;</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timing of and amount of capital expenditures;</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At-the-Market program and the use of any net proceeds from any sales under that program;</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and OpCo's ability to extend our credit agreements with Westlake;</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potential loans from Westlake to OpCo to fund OpCo's expansion capital expenditures in the future;</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expected mitigation of exposure to commodity price fluctuations;</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turnaround activities and the variability of OpCo's cash flow;</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receipt of any buyer deficiency fee and Shortfall under the Ethylene Sales Agreement;</w:t>
      </w:r>
    </w:p>
    <w:p>
      <w:pPr>
        <w:spacing w:after="0" w:line="95" w:lineRule="exact"/>
        <w:rPr>
          <w:rFonts w:ascii="Arial" w:cs="Arial" w:eastAsia="Arial" w:hAnsi="Arial"/>
          <w:sz w:val="18"/>
          <w:szCs w:val="18"/>
          <w:color w:val="auto"/>
        </w:rPr>
      </w:pPr>
    </w:p>
    <w:p>
      <w:pPr>
        <w:ind w:left="640" w:hanging="319"/>
        <w:spacing w:after="0" w:line="252" w:lineRule="auto"/>
        <w:tabs>
          <w:tab w:leader="none" w:pos="636"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compliance with present and future environmental regulations and costs associated with environmentally related penalties, capital expenditures, remedial actions and proceedings, including any new laws, regulations or treaties that may come into force to limit or control carbon dioxide and other greenhouse gas emissions or to address other issues of climate change;</w:t>
      </w:r>
    </w:p>
    <w:p>
      <w:pPr>
        <w:spacing w:after="0" w:line="58"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receive indemnification from Westlake for environmental and other losses; and</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effects of pending legal proceedings.</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160" w:firstLine="395"/>
        <w:spacing w:after="0" w:line="248" w:lineRule="auto"/>
        <w:rPr>
          <w:sz w:val="20"/>
          <w:szCs w:val="20"/>
          <w:color w:val="auto"/>
        </w:rPr>
      </w:pPr>
      <w:r>
        <w:rPr>
          <w:rFonts w:ascii="Arial" w:cs="Arial" w:eastAsia="Arial" w:hAnsi="Arial"/>
          <w:sz w:val="18"/>
          <w:szCs w:val="18"/>
          <w:color w:val="auto"/>
        </w:rPr>
        <w:t>We have based these statements on assumptions and analysis in light of our experience and perception of historical trends, current conditions, expected future developments and other factors we believe were appropriate in the circumstances when the statements were made. Forward-looking statements by their nature involve substantial risks and uncertainties that could significantly impact expected results, and actual future results could differ materially from those described in such statements. These statements are subject to a number of assumptions, risks and uncertainties, including those described in "Part 1. Item 1A. Risk Factors" of this report and the following:</w:t>
      </w:r>
    </w:p>
    <w:p>
      <w:pPr>
        <w:spacing w:after="0" w:line="154" w:lineRule="exact"/>
        <w:rPr>
          <w:sz w:val="20"/>
          <w:szCs w:val="20"/>
          <w:color w:val="auto"/>
        </w:rPr>
      </w:pPr>
    </w:p>
    <w:p>
      <w:pPr>
        <w:ind w:left="640" w:hanging="319"/>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economic and business conditions, including inflation, interest rates and possible recession;</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cyclical nature of the chemical industry;</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cost and volatility of raw materials and energy;</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lower crude oil prices reducing the cost advantage of ethane-based ethylene producers;</w:t>
      </w:r>
    </w:p>
    <w:p>
      <w:pPr>
        <w:spacing w:after="0" w:line="82" w:lineRule="exact"/>
        <w:rPr>
          <w:rFonts w:ascii="Arial" w:cs="Arial" w:eastAsia="Arial" w:hAnsi="Arial"/>
          <w:sz w:val="18"/>
          <w:szCs w:val="18"/>
          <w:color w:val="auto"/>
        </w:rPr>
      </w:pPr>
    </w:p>
    <w:p>
      <w:pPr>
        <w:ind w:left="640" w:right="180" w:hanging="319"/>
        <w:spacing w:after="0" w:line="261" w:lineRule="auto"/>
        <w:tabs>
          <w:tab w:leader="none" w:pos="636"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uncertainties associated with the United States and worldwide economies, including those due to political tensions and unrest in the Middle East and elsewhere, including the conflict between Russia and Ukraine;</w:t>
      </w:r>
    </w:p>
    <w:p>
      <w:pPr>
        <w:spacing w:after="0" w:line="49" w:lineRule="exact"/>
        <w:rPr>
          <w:rFonts w:ascii="Arial" w:cs="Arial" w:eastAsia="Arial" w:hAnsi="Arial"/>
          <w:sz w:val="18"/>
          <w:szCs w:val="18"/>
          <w:color w:val="auto"/>
        </w:rPr>
      </w:pPr>
    </w:p>
    <w:p>
      <w:pPr>
        <w:ind w:left="640" w:hanging="319"/>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uncertainties associated with pandemic infectious diseases, particularly COVID-19;</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uncertainties associated with climate change;</w:t>
      </w:r>
    </w:p>
    <w:p>
      <w:pPr>
        <w:spacing w:after="0" w:line="69" w:lineRule="exact"/>
        <w:rPr>
          <w:rFonts w:ascii="Arial" w:cs="Arial" w:eastAsia="Arial" w:hAnsi="Arial"/>
          <w:sz w:val="18"/>
          <w:szCs w:val="18"/>
          <w:color w:val="auto"/>
        </w:rPr>
      </w:pPr>
    </w:p>
    <w:p>
      <w:pPr>
        <w:ind w:left="640" w:hanging="319"/>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potential impact on demand for ethylene due to initiatives such as recycling and customers seeking alternatives to polymers;</w:t>
      </w:r>
    </w:p>
    <w:p>
      <w:pPr>
        <w:spacing w:after="0" w:line="69" w:lineRule="exact"/>
        <w:rPr>
          <w:rFonts w:ascii="Arial" w:cs="Arial" w:eastAsia="Arial" w:hAnsi="Arial"/>
          <w:sz w:val="18"/>
          <w:szCs w:val="18"/>
          <w:color w:val="auto"/>
        </w:rPr>
      </w:pPr>
    </w:p>
    <w:p>
      <w:pPr>
        <w:ind w:left="640" w:right="400" w:hanging="319"/>
        <w:spacing w:after="0" w:line="261" w:lineRule="auto"/>
        <w:tabs>
          <w:tab w:leader="none" w:pos="636" w:val="left"/>
        </w:tabs>
        <w:numPr>
          <w:ilvl w:val="0"/>
          <w:numId w:val="4"/>
        </w:numPr>
        <w:rPr>
          <w:rFonts w:ascii="Arial" w:cs="Arial" w:eastAsia="Arial" w:hAnsi="Arial"/>
          <w:sz w:val="18"/>
          <w:szCs w:val="18"/>
          <w:color w:val="auto"/>
        </w:rPr>
      </w:pPr>
      <w:r>
        <w:rPr>
          <w:rFonts w:ascii="Arial" w:cs="Arial" w:eastAsia="Arial" w:hAnsi="Arial"/>
          <w:sz w:val="18"/>
          <w:szCs w:val="18"/>
          <w:color w:val="auto"/>
        </w:rPr>
        <w:t>current and potential governmental regulatory actions in the United States and regulatory actions and political unrest in other countries, including environmental regulations;</w:t>
      </w:r>
    </w:p>
    <w:p>
      <w:pPr>
        <w:spacing w:after="0" w:line="49" w:lineRule="exact"/>
        <w:rPr>
          <w:rFonts w:ascii="Arial" w:cs="Arial" w:eastAsia="Arial" w:hAnsi="Arial"/>
          <w:sz w:val="18"/>
          <w:szCs w:val="18"/>
          <w:color w:val="auto"/>
        </w:rPr>
      </w:pPr>
    </w:p>
    <w:p>
      <w:pPr>
        <w:ind w:left="640" w:hanging="319"/>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industry production capacity and operating rates;</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supply/demand balance for our products;</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competitive products and pricing pressures;</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instability in the credit and financial markets;</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access to capital markets;</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terrorist acts;</w:t>
      </w:r>
    </w:p>
    <w:p>
      <w:pPr>
        <w:spacing w:after="0" w:line="82" w:lineRule="exact"/>
        <w:rPr>
          <w:rFonts w:ascii="Arial" w:cs="Arial" w:eastAsia="Arial" w:hAnsi="Arial"/>
          <w:sz w:val="18"/>
          <w:szCs w:val="18"/>
          <w:color w:val="auto"/>
        </w:rPr>
      </w:pPr>
    </w:p>
    <w:p>
      <w:pPr>
        <w:ind w:left="640" w:right="360" w:hanging="319"/>
        <w:spacing w:after="0" w:line="261" w:lineRule="auto"/>
        <w:tabs>
          <w:tab w:leader="none" w:pos="636"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interruptions (including leaks, explosions, fires, weather-related incidents, mechanical failure, unscheduled downtime, labor difficulties, transportation interruptions, spills and releases and other environmental risks);</w:t>
      </w:r>
    </w:p>
    <w:p>
      <w:pPr>
        <w:spacing w:after="0" w:line="49" w:lineRule="exact"/>
        <w:rPr>
          <w:rFonts w:ascii="Arial" w:cs="Arial" w:eastAsia="Arial" w:hAnsi="Arial"/>
          <w:sz w:val="18"/>
          <w:szCs w:val="18"/>
          <w:color w:val="auto"/>
        </w:rPr>
      </w:pPr>
    </w:p>
    <w:p>
      <w:pPr>
        <w:ind w:left="640" w:hanging="319"/>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laws or regulations;</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technological developments;</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information systems failures and cyberattacks;</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integrate acquired businesses;</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foreign currency exchange risks;</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implement our business strategies; and</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creditworthiness of our customers.</w:t>
      </w:r>
    </w:p>
    <w:p>
      <w:pPr>
        <w:spacing w:after="0" w:line="161" w:lineRule="exact"/>
        <w:rPr>
          <w:sz w:val="20"/>
          <w:szCs w:val="20"/>
          <w:color w:val="auto"/>
        </w:rPr>
      </w:pPr>
    </w:p>
    <w:p>
      <w:pPr>
        <w:ind w:right="120" w:firstLine="395"/>
        <w:spacing w:after="0" w:line="247" w:lineRule="auto"/>
        <w:rPr>
          <w:sz w:val="20"/>
          <w:szCs w:val="20"/>
          <w:color w:val="auto"/>
        </w:rPr>
      </w:pPr>
      <w:r>
        <w:rPr>
          <w:rFonts w:ascii="Arial" w:cs="Arial" w:eastAsia="Arial" w:hAnsi="Arial"/>
          <w:sz w:val="18"/>
          <w:szCs w:val="18"/>
          <w:color w:val="auto"/>
        </w:rPr>
        <w:t>Many of these factors are beyond our ability to control or predict. Any of the factors, or a combination of these factors, could materially affect our future results of operations and the ultimate accuracy of the forward-looking statements. These forward-looking statements are not guarantees of our future performance, and our actual results and future developments may differ materially from those projected in the forward-looking statements. Management cautions against putting undue reliance on forward-looking statements or projecting any future results based on such statements or present or prior earnings levels. Every forward-looking statement speaks only as of the date of the particular statement, and we undertake no obligation to publicly update or revise any forward-looking statements.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Industry and Market Data</w:t>
      </w:r>
    </w:p>
    <w:p>
      <w:pPr>
        <w:spacing w:after="0" w:line="167" w:lineRule="exact"/>
        <w:rPr>
          <w:sz w:val="20"/>
          <w:szCs w:val="20"/>
          <w:color w:val="auto"/>
        </w:rPr>
      </w:pPr>
    </w:p>
    <w:p>
      <w:pPr>
        <w:ind w:firstLine="395"/>
        <w:spacing w:after="0" w:line="250" w:lineRule="auto"/>
        <w:rPr>
          <w:sz w:val="20"/>
          <w:szCs w:val="20"/>
          <w:color w:val="auto"/>
        </w:rPr>
      </w:pPr>
      <w:r>
        <w:rPr>
          <w:rFonts w:ascii="Arial" w:cs="Arial" w:eastAsia="Arial" w:hAnsi="Arial"/>
          <w:sz w:val="18"/>
          <w:szCs w:val="18"/>
          <w:color w:val="auto"/>
        </w:rPr>
        <w:t>Industry and market data used throughout this report were obtained through internal research, surveys and studies conducted by unrelated third parties and publicly available industry and general publications. We have not independently verified market and industry data from external sources. While we believe internal partnership estimates are reliable and market definitions are appropriate, neither such estimates nor these definitions have been verified by any independent sources.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Production Capacity</w:t>
      </w:r>
    </w:p>
    <w:p>
      <w:pPr>
        <w:spacing w:after="0" w:line="167" w:lineRule="exact"/>
        <w:rPr>
          <w:sz w:val="20"/>
          <w:szCs w:val="20"/>
          <w:color w:val="auto"/>
        </w:rPr>
      </w:pPr>
    </w:p>
    <w:p>
      <w:pPr>
        <w:ind w:firstLine="395"/>
        <w:spacing w:after="0" w:line="291" w:lineRule="auto"/>
        <w:rPr>
          <w:sz w:val="20"/>
          <w:szCs w:val="20"/>
          <w:color w:val="auto"/>
        </w:rPr>
      </w:pPr>
      <w:r>
        <w:rPr>
          <w:rFonts w:ascii="Arial" w:cs="Arial" w:eastAsia="Arial" w:hAnsi="Arial"/>
          <w:sz w:val="16"/>
          <w:szCs w:val="16"/>
          <w:color w:val="auto"/>
        </w:rPr>
        <w:t>Unless we state otherwise, annual production capacity estimates used throughout this report represent rated capacity of the facilities at December 31, 2022. We calculated rated capacity by estimating the number of days in a typical year that a production unit of a plant is expected to operate, after allowing for downtime for regular maintenance, and multiplying that number by an amount equal to the unit's optimal daily output based on the design feedstock mix. Because the rated capacity of a production unit is an estimated amount, actual production volumes may be more or less than the rated capacity.</w:t>
      </w:r>
    </w:p>
    <w:p>
      <w:pPr>
        <w:spacing w:after="0" w:line="200" w:lineRule="exact"/>
        <w:rPr>
          <w:sz w:val="20"/>
          <w:szCs w:val="20"/>
          <w:color w:val="auto"/>
        </w:rPr>
      </w:pPr>
    </w:p>
    <w:p>
      <w:pPr>
        <w:spacing w:after="0" w:line="2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40"/>
          </w:cols>
          <w:pgMar w:left="320" w:top="121" w:right="43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02" w:lineRule="exact"/>
        <w:rPr>
          <w:sz w:val="20"/>
          <w:szCs w:val="20"/>
          <w:color w:val="auto"/>
        </w:rPr>
      </w:pPr>
    </w:p>
    <w:p>
      <w:pPr>
        <w:ind w:firstLine="395"/>
        <w:spacing w:after="0" w:line="247" w:lineRule="auto"/>
        <w:rPr>
          <w:sz w:val="20"/>
          <w:szCs w:val="20"/>
          <w:color w:val="auto"/>
        </w:rPr>
      </w:pPr>
      <w:r>
        <w:rPr>
          <w:rFonts w:ascii="Arial" w:cs="Arial" w:eastAsia="Arial" w:hAnsi="Arial"/>
          <w:sz w:val="18"/>
          <w:szCs w:val="18"/>
          <w:color w:val="auto"/>
        </w:rPr>
        <w:t>We are a Delaware limited partnership formed by Westlake in March 2014 to operate, acquire and develop ethylene production facilities and related assets. On August 4, 2014, we completed our initial public offering (the "IPO") of 12,937,500 common units representing limited partner interests. In connection with the IPO, we acquired an initial 10.6% interest in OpCo and a 100% interest in OpCo GP, which is the general partner of OpCo. As of December 31, 2018, we had an aggregate 18.3% limited partner interest in OpCo. On March 29, 2019, we completed a private placement of 2,940,818 common units and used the net proceeds to purchase an additional 4.5% interest in OpCo, effective January 1, 2019, resulting in us owning an aggregate 22.8% limited partner interest in OpCo.</w:t>
      </w:r>
    </w:p>
    <w:p>
      <w:pPr>
        <w:spacing w:after="0" w:line="143" w:lineRule="exact"/>
        <w:rPr>
          <w:sz w:val="20"/>
          <w:szCs w:val="20"/>
          <w:color w:val="auto"/>
        </w:rPr>
      </w:pPr>
    </w:p>
    <w:p>
      <w:pPr>
        <w:ind w:right="320" w:firstLine="395"/>
        <w:spacing w:after="0" w:line="252" w:lineRule="auto"/>
        <w:rPr>
          <w:sz w:val="20"/>
          <w:szCs w:val="20"/>
          <w:color w:val="auto"/>
        </w:rPr>
      </w:pPr>
      <w:r>
        <w:rPr>
          <w:rFonts w:ascii="Arial" w:cs="Arial" w:eastAsia="Arial" w:hAnsi="Arial"/>
          <w:sz w:val="18"/>
          <w:szCs w:val="18"/>
          <w:color w:val="auto"/>
        </w:rPr>
        <w:t>Our business and operations are conducted through OpCo. Because we own OpCo's general partner, we have control over all of OpCo's assets and operations. As of December 31, 2022, Westlake held a 77.2% limited partner interest in OpCo and held a 40.1% limited partner interest in us (consisting of 14,122,230 common units), our general partner interest and our incentive distribution rights.</w:t>
      </w:r>
    </w:p>
    <w:p>
      <w:pPr>
        <w:spacing w:after="0" w:line="138" w:lineRule="exact"/>
        <w:rPr>
          <w:sz w:val="20"/>
          <w:szCs w:val="20"/>
          <w:color w:val="auto"/>
        </w:rPr>
      </w:pPr>
    </w:p>
    <w:p>
      <w:pPr>
        <w:jc w:val="both"/>
        <w:ind w:right="160" w:firstLine="395"/>
        <w:spacing w:after="0" w:line="297" w:lineRule="auto"/>
        <w:rPr>
          <w:sz w:val="20"/>
          <w:szCs w:val="20"/>
          <w:color w:val="auto"/>
        </w:rPr>
      </w:pPr>
      <w:r>
        <w:rPr>
          <w:rFonts w:ascii="Arial" w:cs="Arial" w:eastAsia="Arial" w:hAnsi="Arial"/>
          <w:sz w:val="15"/>
          <w:szCs w:val="15"/>
          <w:color w:val="auto"/>
        </w:rPr>
        <w:t>OpCo's assets are comprised of three ethylene production facilities, which primarily convert ethane into ethylene and have an aggregate annual capacity of approximately 3.7 billion pounds, and a 200-mile ethylene pipeline. OpCo derives substantially all of its revenue from these ethylene production facilities. Ethylene is the world's most widely used petrochemical in terms of volume and is a key building block used to produce a number of key derivatives, such as polyethylene ("PE") and polyvinyl chloride ("PVC"), which are used in a wide variety of end markets, including packaging, construction and transportation.</w:t>
      </w:r>
    </w:p>
    <w:p>
      <w:pPr>
        <w:spacing w:after="0" w:line="291" w:lineRule="auto"/>
        <w:rPr>
          <w:sz w:val="20"/>
          <w:szCs w:val="20"/>
          <w:color w:val="auto"/>
        </w:rPr>
      </w:pPr>
      <w:r>
        <w:rPr>
          <w:rFonts w:ascii="Arial" w:cs="Arial" w:eastAsia="Arial" w:hAnsi="Arial"/>
          <w:sz w:val="16"/>
          <w:szCs w:val="16"/>
          <w:color w:val="auto"/>
        </w:rPr>
        <w:t>Westlake's downstream PE and PVC production facilities consume a substantial majority of the ethylene produced by OpCo. OpCo generates revenue primarily by selling ethylene to Westlake and others, as well as through the sale of co-products of ethylene production, including propylene, crude butadiene, pyrolysis gasoline and hydrogen. Our sole revenue generating asset is our 22.8% limited partner interest in OpCo.</w:t>
      </w:r>
    </w:p>
    <w:p>
      <w:pPr>
        <w:spacing w:after="0" w:line="109" w:lineRule="exact"/>
        <w:rPr>
          <w:sz w:val="20"/>
          <w:szCs w:val="20"/>
          <w:color w:val="auto"/>
        </w:rPr>
      </w:pPr>
    </w:p>
    <w:p>
      <w:pPr>
        <w:ind w:right="300" w:firstLine="395"/>
        <w:spacing w:after="0" w:line="362" w:lineRule="auto"/>
        <w:rPr>
          <w:sz w:val="20"/>
          <w:szCs w:val="20"/>
          <w:color w:val="auto"/>
        </w:rPr>
      </w:pPr>
      <w:r>
        <w:rPr>
          <w:rFonts w:ascii="Arial" w:cs="Arial" w:eastAsia="Arial" w:hAnsi="Arial"/>
          <w:sz w:val="15"/>
          <w:szCs w:val="15"/>
          <w:color w:val="auto"/>
        </w:rPr>
        <w:t>Our assets and operations are organized into a single reportable segment and are all located and conducted in the United States. See "Item 8. Financial Statements and Supplementary Data" for financial information on our operations and assets; such information is incorporated herein by reference.</w:t>
      </w:r>
    </w:p>
    <w:p>
      <w:pPr>
        <w:spacing w:after="0" w:line="59" w:lineRule="exact"/>
        <w:rPr>
          <w:sz w:val="20"/>
          <w:szCs w:val="20"/>
          <w:color w:val="auto"/>
        </w:rPr>
      </w:pPr>
    </w:p>
    <w:p>
      <w:pPr>
        <w:ind w:right="60" w:firstLine="395"/>
        <w:spacing w:after="0" w:line="284" w:lineRule="auto"/>
        <w:rPr>
          <w:sz w:val="20"/>
          <w:szCs w:val="20"/>
          <w:color w:val="auto"/>
        </w:rPr>
      </w:pPr>
      <w:r>
        <w:rPr>
          <w:rFonts w:ascii="Arial" w:cs="Arial" w:eastAsia="Arial" w:hAnsi="Arial"/>
          <w:sz w:val="16"/>
          <w:szCs w:val="16"/>
          <w:color w:val="auto"/>
        </w:rPr>
        <w:t>Among other agreements entered into in connection with the closing of the IPO, OpCo entered into a 12-year ethylene sales agreement with Westlake, under which Westlake agreed to purchase 95% of OpCo's planned ethylene production each year, on a cost-plus basis that is expected to generate a fixed margin per pound of $0.10 (the "Ethylene Sales Agreement"). Any ethylene not sold to Westlake and all co-products that are produced by OpCo will be sold to third parties on either a spot or contract basis. OpCo also entered into a feedstock supply agreement with Westlake that supplies OpCo with ethane (and any other feedstocks) required for OpCo to produce ethylene under the Ethylene Sales Agreement (the "Feedstock Supply Agreement"). OpCo primarily uses ethane (a component of natural gas liquids, or NGLs) to produce ethylene.</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of Westlake Chemical Partners LP</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simplified diagram depicts our organizational structure as of December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wp:posOffset>
            </wp:positionV>
            <wp:extent cx="5715000" cy="45789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15000" cy="4578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9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Public Common Units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59.9 %</w:t>
            </w: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60" w:type="dxa"/>
            <w:vAlign w:val="bottom"/>
          </w:tcPr>
          <w:p>
            <w:pPr>
              <w:ind w:left="20"/>
              <w:spacing w:after="0"/>
              <w:rPr>
                <w:sz w:val="20"/>
                <w:szCs w:val="20"/>
                <w:color w:val="auto"/>
              </w:rPr>
            </w:pPr>
            <w:r>
              <w:rPr>
                <w:rFonts w:ascii="Arial" w:cs="Arial" w:eastAsia="Arial" w:hAnsi="Arial"/>
                <w:sz w:val="18"/>
                <w:szCs w:val="18"/>
                <w:color w:val="auto"/>
              </w:rPr>
              <w:t>Interests of Westlake:</w:t>
            </w:r>
          </w:p>
        </w:tc>
        <w:tc>
          <w:tcPr>
            <w:tcW w:w="15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92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Common Units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40.1 %</w:t>
            </w:r>
          </w:p>
        </w:tc>
        <w:tc>
          <w:tcPr>
            <w:tcW w:w="3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9260" w:type="dxa"/>
            <w:vAlign w:val="bottom"/>
          </w:tcPr>
          <w:p>
            <w:pPr>
              <w:ind w:left="340"/>
              <w:spacing w:after="0"/>
              <w:rPr>
                <w:sz w:val="20"/>
                <w:szCs w:val="20"/>
                <w:color w:val="auto"/>
              </w:rPr>
            </w:pPr>
            <w:r>
              <w:rPr>
                <w:rFonts w:ascii="Arial" w:cs="Arial" w:eastAsia="Arial" w:hAnsi="Arial"/>
                <w:sz w:val="18"/>
                <w:szCs w:val="18"/>
                <w:color w:val="auto"/>
              </w:rPr>
              <w:t>Non-Economic General Partner Interest</w:t>
            </w:r>
          </w:p>
        </w:tc>
        <w:tc>
          <w:tcPr>
            <w:tcW w:w="158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9260" w:type="dxa"/>
            <w:vAlign w:val="bottom"/>
            <w:vMerge w:val="restart"/>
            <w:shd w:val="clear" w:color="auto" w:fill="CCEEFF"/>
          </w:tcPr>
          <w:p>
            <w:pPr>
              <w:ind w:left="340"/>
              <w:spacing w:after="0"/>
              <w:rPr>
                <w:sz w:val="20"/>
                <w:szCs w:val="20"/>
                <w:color w:val="auto"/>
              </w:rPr>
            </w:pPr>
            <w:r>
              <w:rPr>
                <w:rFonts w:ascii="Arial" w:cs="Arial" w:eastAsia="Arial" w:hAnsi="Arial"/>
                <w:sz w:val="18"/>
                <w:szCs w:val="18"/>
                <w:color w:val="auto"/>
              </w:rPr>
              <w:t>Incentive Distribution Rights</w:t>
            </w:r>
          </w:p>
        </w:tc>
        <w:tc>
          <w:tcPr>
            <w:tcW w:w="158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ind w:right="183"/>
              <w:spacing w:after="0"/>
              <w:rPr>
                <w:sz w:val="20"/>
                <w:szCs w:val="20"/>
                <w:color w:val="auto"/>
              </w:rPr>
            </w:pPr>
            <w:r>
              <w:rPr>
                <w:rFonts w:ascii="Arial" w:cs="Arial" w:eastAsia="Arial" w:hAnsi="Arial"/>
                <w:sz w:val="11"/>
                <w:szCs w:val="11"/>
                <w:color w:val="auto"/>
                <w:w w:val="88"/>
              </w:rPr>
              <w:t>(1)</w:t>
            </w:r>
          </w:p>
        </w:tc>
        <w:tc>
          <w:tcPr>
            <w:tcW w:w="0" w:type="dxa"/>
            <w:vAlign w:val="bottom"/>
          </w:tcPr>
          <w:p>
            <w:pPr>
              <w:spacing w:after="0"/>
              <w:rPr>
                <w:sz w:val="1"/>
                <w:szCs w:val="1"/>
                <w:color w:val="auto"/>
              </w:rPr>
            </w:pPr>
          </w:p>
        </w:tc>
      </w:tr>
      <w:tr>
        <w:trPr>
          <w:trHeight w:val="83"/>
        </w:trPr>
        <w:tc>
          <w:tcPr>
            <w:tcW w:w="9260" w:type="dxa"/>
            <w:vAlign w:val="bottom"/>
            <w:vMerge w:val="continue"/>
            <w:shd w:val="clear" w:color="auto" w:fill="CCEEFF"/>
          </w:tcPr>
          <w:p>
            <w:pPr>
              <w:spacing w:after="0"/>
              <w:rPr>
                <w:sz w:val="6"/>
                <w:szCs w:val="6"/>
                <w:color w:val="auto"/>
              </w:rPr>
            </w:pPr>
          </w:p>
        </w:tc>
        <w:tc>
          <w:tcPr>
            <w:tcW w:w="1580" w:type="dxa"/>
            <w:vAlign w:val="bottom"/>
            <w:tcBorders>
              <w:bottom w:val="single" w:sz="8" w:color="auto"/>
            </w:tcBorders>
            <w:vMerge w:val="continue"/>
            <w:shd w:val="clear" w:color="auto" w:fill="CCEEFF"/>
          </w:tcPr>
          <w:p>
            <w:pPr>
              <w:spacing w:after="0"/>
              <w:rPr>
                <w:sz w:val="6"/>
                <w:szCs w:val="6"/>
                <w:color w:val="auto"/>
              </w:rPr>
            </w:pPr>
          </w:p>
        </w:tc>
        <w:tc>
          <w:tcPr>
            <w:tcW w:w="380" w:type="dxa"/>
            <w:vAlign w:val="bottom"/>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9260" w:type="dxa"/>
            <w:vAlign w:val="bottom"/>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6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95" w:lineRule="exact"/>
        <w:rPr>
          <w:sz w:val="20"/>
          <w:szCs w:val="20"/>
          <w:color w:val="auto"/>
        </w:rPr>
      </w:pPr>
    </w:p>
    <w:p>
      <w:pPr>
        <w:ind w:left="400" w:right="60" w:hanging="395"/>
        <w:spacing w:after="0" w:line="261" w:lineRule="auto"/>
        <w:tabs>
          <w:tab w:leader="none" w:pos="385"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Incentive distribution rights represent a variable interest in distributions and thus are not expressed as a fixed percentage. Distributions with respect to the incentive distribution rights are classified as distributions with respect to equity interests.</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Assets and Operations</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Our sole revenue generating asset is our 22.8% limited partner interest in OpCo. We also own the general partner interest of OpCo. OpCo owns:</w:t>
      </w:r>
    </w:p>
    <w:p>
      <w:pPr>
        <w:spacing w:after="0" w:line="119" w:lineRule="exact"/>
        <w:rPr>
          <w:sz w:val="20"/>
          <w:szCs w:val="20"/>
          <w:color w:val="auto"/>
        </w:rPr>
      </w:pPr>
    </w:p>
    <w:p>
      <w:pPr>
        <w:ind w:left="640" w:right="600" w:hanging="319"/>
        <w:spacing w:after="0" w:line="261" w:lineRule="auto"/>
        <w:tabs>
          <w:tab w:leader="none" w:pos="636" w:val="left"/>
        </w:tabs>
        <w:numPr>
          <w:ilvl w:val="0"/>
          <w:numId w:val="6"/>
        </w:numPr>
        <w:rPr>
          <w:rFonts w:ascii="Arial" w:cs="Arial" w:eastAsia="Arial" w:hAnsi="Arial"/>
          <w:sz w:val="18"/>
          <w:szCs w:val="18"/>
          <w:color w:val="auto"/>
        </w:rPr>
      </w:pPr>
      <w:r>
        <w:rPr>
          <w:rFonts w:ascii="Arial" w:cs="Arial" w:eastAsia="Arial" w:hAnsi="Arial"/>
          <w:sz w:val="18"/>
          <w:szCs w:val="18"/>
          <w:color w:val="auto"/>
        </w:rPr>
        <w:t>two ethylene production facilities at Westlake's Lake Charles, Louisiana site ("Petro 1" and "Petro 2," collectively referred to as "Lake Charles Olefins"), with an annual combined capacity of approximately 3.0 billion pounds;</w:t>
      </w:r>
    </w:p>
    <w:p>
      <w:pPr>
        <w:spacing w:after="0" w:line="62" w:lineRule="exact"/>
        <w:rPr>
          <w:rFonts w:ascii="Arial" w:cs="Arial" w:eastAsia="Arial" w:hAnsi="Arial"/>
          <w:sz w:val="18"/>
          <w:szCs w:val="18"/>
          <w:color w:val="auto"/>
        </w:rPr>
      </w:pPr>
    </w:p>
    <w:p>
      <w:pPr>
        <w:ind w:left="640" w:right="440" w:hanging="319"/>
        <w:spacing w:after="0" w:line="261" w:lineRule="auto"/>
        <w:tabs>
          <w:tab w:leader="none" w:pos="636" w:val="left"/>
        </w:tabs>
        <w:numPr>
          <w:ilvl w:val="0"/>
          <w:numId w:val="6"/>
        </w:numPr>
        <w:rPr>
          <w:rFonts w:ascii="Arial" w:cs="Arial" w:eastAsia="Arial" w:hAnsi="Arial"/>
          <w:sz w:val="18"/>
          <w:szCs w:val="18"/>
          <w:color w:val="auto"/>
        </w:rPr>
      </w:pPr>
      <w:r>
        <w:rPr>
          <w:rFonts w:ascii="Arial" w:cs="Arial" w:eastAsia="Arial" w:hAnsi="Arial"/>
          <w:sz w:val="18"/>
          <w:szCs w:val="18"/>
          <w:color w:val="auto"/>
        </w:rPr>
        <w:t>one ethylene production facility at Westlake's Calvert City, Kentucky site ("Calvert City Olefins"), with an annual capacity of approximately 730 million pounds; and</w:t>
      </w:r>
    </w:p>
    <w:p>
      <w:pPr>
        <w:spacing w:after="0" w:line="49" w:lineRule="exact"/>
        <w:rPr>
          <w:rFonts w:ascii="Arial" w:cs="Arial" w:eastAsia="Arial" w:hAnsi="Arial"/>
          <w:sz w:val="18"/>
          <w:szCs w:val="18"/>
          <w:color w:val="auto"/>
        </w:rPr>
      </w:pPr>
    </w:p>
    <w:p>
      <w:pPr>
        <w:ind w:left="640" w:right="340" w:hanging="319"/>
        <w:spacing w:after="0" w:line="261" w:lineRule="auto"/>
        <w:tabs>
          <w:tab w:leader="none" w:pos="636" w:val="left"/>
        </w:tabs>
        <w:numPr>
          <w:ilvl w:val="0"/>
          <w:numId w:val="6"/>
        </w:numPr>
        <w:rPr>
          <w:rFonts w:ascii="Arial" w:cs="Arial" w:eastAsia="Arial" w:hAnsi="Arial"/>
          <w:sz w:val="18"/>
          <w:szCs w:val="18"/>
          <w:color w:val="auto"/>
        </w:rPr>
      </w:pPr>
      <w:r>
        <w:rPr>
          <w:rFonts w:ascii="Arial" w:cs="Arial" w:eastAsia="Arial" w:hAnsi="Arial"/>
          <w:sz w:val="18"/>
          <w:szCs w:val="18"/>
          <w:color w:val="auto"/>
        </w:rPr>
        <w:t>a 200-mile common carrier ethylene pipeline that runs from Mont Belvieu, Texas to the Longview, Texas chemical site, which includes Westlake's Longview PE production facility (the "Longview Pipeline").</w:t>
      </w:r>
    </w:p>
    <w:p>
      <w:pPr>
        <w:spacing w:after="0" w:line="129" w:lineRule="exact"/>
        <w:rPr>
          <w:sz w:val="20"/>
          <w:szCs w:val="20"/>
          <w:color w:val="auto"/>
        </w:rPr>
      </w:pPr>
    </w:p>
    <w:p>
      <w:pPr>
        <w:ind w:right="240" w:firstLine="395"/>
        <w:spacing w:after="0" w:line="261" w:lineRule="auto"/>
        <w:rPr>
          <w:sz w:val="20"/>
          <w:szCs w:val="20"/>
          <w:color w:val="auto"/>
        </w:rPr>
      </w:pPr>
      <w:r>
        <w:rPr>
          <w:rFonts w:ascii="Arial" w:cs="Arial" w:eastAsia="Arial" w:hAnsi="Arial"/>
          <w:sz w:val="18"/>
          <w:szCs w:val="18"/>
          <w:color w:val="auto"/>
        </w:rPr>
        <w:t>As the owner of the general partner interest of OpCo, we control all aspects of the management of OpCo, including its cash distribution policy. See "— OpCo's Assets."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OpCo's Assets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Ethylene Production Facilities</w:t>
      </w:r>
    </w:p>
    <w:p>
      <w:pPr>
        <w:spacing w:after="0" w:line="83" w:lineRule="exact"/>
        <w:rPr>
          <w:sz w:val="20"/>
          <w:szCs w:val="20"/>
          <w:color w:val="auto"/>
        </w:rPr>
      </w:pPr>
    </w:p>
    <w:p>
      <w:pPr>
        <w:ind w:firstLine="395"/>
        <w:spacing w:after="0" w:line="248" w:lineRule="auto"/>
        <w:rPr>
          <w:sz w:val="20"/>
          <w:szCs w:val="20"/>
          <w:color w:val="auto"/>
        </w:rPr>
      </w:pPr>
      <w:r>
        <w:rPr>
          <w:rFonts w:ascii="Arial" w:cs="Arial" w:eastAsia="Arial" w:hAnsi="Arial"/>
          <w:sz w:val="18"/>
          <w:szCs w:val="18"/>
          <w:color w:val="auto"/>
        </w:rPr>
        <w:t>OpCo operates three ethylene production facilities that are situated on real property leased to OpCo by Westlake pursuant to two 50-year site lease agreements. See "Our Agreements with Westlake—Site Lease Agreements" for a description of the site leases. Ethylene can be produced from either NGL feedstocks, such as ethane, propane and butane, or from petroleum-derived feedstocks, such as naphtha. Lake Charles Olefins and Calvert City Olefins use primarily ethane as their feedstock. Calvert City Olefins can also use propane as a feedstock and Petro 2 can also use an ethane/propane mix, propane, butane or naphtha as a feedstock.</w:t>
      </w:r>
    </w:p>
    <w:p>
      <w:pPr>
        <w:spacing w:after="0" w:line="14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provides information regarding OpCo's ethylene production facilities as of December 31, 2022:</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92"/>
              </w:rPr>
              <w:t>Annual</w:t>
            </w:r>
          </w:p>
        </w:tc>
        <w:tc>
          <w:tcPr>
            <w:tcW w:w="1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4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9"/>
              </w:rPr>
              <w:t>Production</w:t>
            </w:r>
          </w:p>
        </w:tc>
        <w:tc>
          <w:tcPr>
            <w:tcW w:w="1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80" w:type="dxa"/>
            <w:vAlign w:val="bottom"/>
          </w:tcPr>
          <w:p>
            <w:pPr>
              <w:jc w:val="right"/>
              <w:ind w:right="322"/>
              <w:spacing w:after="0" w:line="135" w:lineRule="exact"/>
              <w:rPr>
                <w:sz w:val="20"/>
                <w:szCs w:val="20"/>
                <w:color w:val="auto"/>
              </w:rPr>
            </w:pPr>
            <w:r>
              <w:rPr>
                <w:rFonts w:ascii="Arial" w:cs="Arial" w:eastAsia="Arial" w:hAnsi="Arial"/>
                <w:sz w:val="14"/>
                <w:szCs w:val="14"/>
                <w:b w:val="1"/>
                <w:bCs w:val="1"/>
                <w:color w:val="auto"/>
              </w:rPr>
              <w:t>Capacity</w:t>
            </w:r>
          </w:p>
        </w:tc>
        <w:tc>
          <w:tcPr>
            <w:tcW w:w="120" w:type="dxa"/>
            <w:vAlign w:val="bottom"/>
          </w:tcPr>
          <w:p>
            <w:pPr>
              <w:spacing w:after="0"/>
              <w:rPr>
                <w:sz w:val="11"/>
                <w:szCs w:val="11"/>
                <w:color w:val="auto"/>
              </w:rPr>
            </w:pPr>
          </w:p>
        </w:tc>
        <w:tc>
          <w:tcPr>
            <w:tcW w:w="3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Primary Uses of</w:t>
            </w:r>
          </w:p>
        </w:tc>
        <w:tc>
          <w:tcPr>
            <w:tcW w:w="0" w:type="dxa"/>
            <w:vAlign w:val="bottom"/>
          </w:tcPr>
          <w:p>
            <w:pPr>
              <w:spacing w:after="0"/>
              <w:rPr>
                <w:sz w:val="1"/>
                <w:szCs w:val="1"/>
                <w:color w:val="auto"/>
              </w:rPr>
            </w:pPr>
          </w:p>
        </w:tc>
      </w:tr>
      <w:tr>
        <w:trPr>
          <w:trHeight w:val="145"/>
        </w:trPr>
        <w:tc>
          <w:tcPr>
            <w:tcW w:w="42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Plant Location (Description)</w:t>
            </w:r>
          </w:p>
        </w:tc>
        <w:tc>
          <w:tcPr>
            <w:tcW w:w="120" w:type="dxa"/>
            <w:vAlign w:val="bottom"/>
            <w:vMerge w:val="restart"/>
          </w:tcPr>
          <w:p>
            <w:pPr>
              <w:spacing w:after="0"/>
              <w:rPr>
                <w:sz w:val="12"/>
                <w:szCs w:val="12"/>
                <w:color w:val="auto"/>
              </w:rPr>
            </w:pPr>
          </w:p>
        </w:tc>
        <w:tc>
          <w:tcPr>
            <w:tcW w:w="13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8"/>
              </w:rPr>
              <w:t>(millions of</w:t>
            </w:r>
          </w:p>
        </w:tc>
        <w:tc>
          <w:tcPr>
            <w:tcW w:w="120" w:type="dxa"/>
            <w:vAlign w:val="bottom"/>
          </w:tcPr>
          <w:p>
            <w:pPr>
              <w:spacing w:after="0"/>
              <w:rPr>
                <w:sz w:val="12"/>
                <w:szCs w:val="12"/>
                <w:color w:val="auto"/>
              </w:rPr>
            </w:pPr>
          </w:p>
        </w:tc>
        <w:tc>
          <w:tcPr>
            <w:tcW w:w="380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Feedstock</w:t>
            </w:r>
          </w:p>
        </w:tc>
        <w:tc>
          <w:tcPr>
            <w:tcW w:w="100" w:type="dxa"/>
            <w:vAlign w:val="bottom"/>
            <w:vMerge w:val="restart"/>
          </w:tcPr>
          <w:p>
            <w:pPr>
              <w:spacing w:after="0"/>
              <w:rPr>
                <w:sz w:val="12"/>
                <w:szCs w:val="12"/>
                <w:color w:val="auto"/>
              </w:rPr>
            </w:pPr>
          </w:p>
        </w:tc>
        <w:tc>
          <w:tcPr>
            <w:tcW w:w="14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4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pounds)</w:t>
            </w:r>
          </w:p>
        </w:tc>
        <w:tc>
          <w:tcPr>
            <w:tcW w:w="120" w:type="dxa"/>
            <w:vAlign w:val="bottom"/>
            <w:tcBorders>
              <w:bottom w:val="single" w:sz="8" w:color="CCEEFF"/>
            </w:tcBorders>
          </w:tcPr>
          <w:p>
            <w:pPr>
              <w:spacing w:after="0"/>
              <w:rPr>
                <w:sz w:val="16"/>
                <w:szCs w:val="16"/>
                <w:color w:val="auto"/>
              </w:rPr>
            </w:pPr>
          </w:p>
        </w:tc>
        <w:tc>
          <w:tcPr>
            <w:tcW w:w="3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Ethylene</w:t>
            </w:r>
          </w:p>
        </w:tc>
        <w:tc>
          <w:tcPr>
            <w:tcW w:w="0" w:type="dxa"/>
            <w:vAlign w:val="bottom"/>
          </w:tcPr>
          <w:p>
            <w:pPr>
              <w:spacing w:after="0"/>
              <w:rPr>
                <w:sz w:val="1"/>
                <w:szCs w:val="1"/>
                <w:color w:val="auto"/>
              </w:rPr>
            </w:pPr>
          </w:p>
        </w:tc>
      </w:tr>
      <w:tr>
        <w:trPr>
          <w:trHeight w:val="222"/>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Lake Charles, Louisiana (Petro 1)</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Ethane</w:t>
            </w:r>
          </w:p>
        </w:tc>
        <w:tc>
          <w:tcPr>
            <w:tcW w:w="1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 and PVC</w:t>
            </w:r>
          </w:p>
        </w:tc>
        <w:tc>
          <w:tcPr>
            <w:tcW w:w="0" w:type="dxa"/>
            <w:vAlign w:val="bottom"/>
          </w:tcPr>
          <w:p>
            <w:pPr>
              <w:spacing w:after="0"/>
              <w:rPr>
                <w:sz w:val="1"/>
                <w:szCs w:val="1"/>
                <w:color w:val="auto"/>
              </w:rPr>
            </w:pPr>
          </w:p>
        </w:tc>
      </w:tr>
      <w:tr>
        <w:trPr>
          <w:trHeight w:val="172"/>
        </w:trPr>
        <w:tc>
          <w:tcPr>
            <w:tcW w:w="4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900" w:type="dxa"/>
            <w:vAlign w:val="bottom"/>
            <w:gridSpan w:val="2"/>
          </w:tcPr>
          <w:p>
            <w:pPr>
              <w:ind w:left="20"/>
              <w:spacing w:after="0" w:line="172" w:lineRule="exact"/>
              <w:rPr>
                <w:sz w:val="20"/>
                <w:szCs w:val="20"/>
                <w:color w:val="auto"/>
              </w:rPr>
            </w:pPr>
            <w:r>
              <w:rPr>
                <w:rFonts w:ascii="Arial" w:cs="Arial" w:eastAsia="Arial" w:hAnsi="Arial"/>
                <w:sz w:val="18"/>
                <w:szCs w:val="18"/>
                <w:color w:val="auto"/>
              </w:rPr>
              <w:t>Ethane, ethane/propane mix, propane,</w:t>
            </w:r>
          </w:p>
        </w:tc>
        <w:tc>
          <w:tcPr>
            <w:tcW w:w="1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380" w:type="dxa"/>
            <w:vAlign w:val="bottom"/>
            <w:gridSpan w:val="2"/>
          </w:tcPr>
          <w:p>
            <w:pPr>
              <w:ind w:left="20"/>
              <w:spacing w:after="0"/>
              <w:rPr>
                <w:sz w:val="20"/>
                <w:szCs w:val="20"/>
                <w:color w:val="auto"/>
              </w:rPr>
            </w:pPr>
            <w:r>
              <w:rPr>
                <w:rFonts w:ascii="Arial" w:cs="Arial" w:eastAsia="Arial" w:hAnsi="Arial"/>
                <w:sz w:val="18"/>
                <w:szCs w:val="18"/>
                <w:color w:val="auto"/>
              </w:rPr>
              <w:t>Lake Charles, Louisiana (Petro 2)</w:t>
            </w:r>
          </w:p>
        </w:tc>
        <w:tc>
          <w:tcPr>
            <w:tcW w:w="1380" w:type="dxa"/>
            <w:vAlign w:val="bottom"/>
          </w:tcPr>
          <w:p>
            <w:pPr>
              <w:jc w:val="right"/>
              <w:spacing w:after="0"/>
              <w:rPr>
                <w:sz w:val="20"/>
                <w:szCs w:val="20"/>
                <w:color w:val="auto"/>
              </w:rPr>
            </w:pPr>
            <w:r>
              <w:rPr>
                <w:rFonts w:ascii="Arial" w:cs="Arial" w:eastAsia="Arial" w:hAnsi="Arial"/>
                <w:sz w:val="18"/>
                <w:szCs w:val="18"/>
                <w:color w:val="auto"/>
              </w:rPr>
              <w:t>1,490</w:t>
            </w:r>
          </w:p>
        </w:tc>
        <w:tc>
          <w:tcPr>
            <w:tcW w:w="120" w:type="dxa"/>
            <w:vAlign w:val="bottom"/>
          </w:tcPr>
          <w:p>
            <w:pPr>
              <w:spacing w:after="0"/>
              <w:rPr>
                <w:sz w:val="20"/>
                <w:szCs w:val="20"/>
                <w:color w:val="auto"/>
              </w:rPr>
            </w:pPr>
          </w:p>
        </w:tc>
        <w:tc>
          <w:tcPr>
            <w:tcW w:w="3900" w:type="dxa"/>
            <w:vAlign w:val="bottom"/>
            <w:gridSpan w:val="2"/>
          </w:tcPr>
          <w:p>
            <w:pPr>
              <w:ind w:left="140"/>
              <w:spacing w:after="0"/>
              <w:rPr>
                <w:sz w:val="20"/>
                <w:szCs w:val="20"/>
                <w:color w:val="auto"/>
              </w:rPr>
            </w:pPr>
            <w:r>
              <w:rPr>
                <w:rFonts w:ascii="Arial" w:cs="Arial" w:eastAsia="Arial" w:hAnsi="Arial"/>
                <w:sz w:val="18"/>
                <w:szCs w:val="18"/>
                <w:color w:val="auto"/>
              </w:rPr>
              <w:t>butane or naphtha</w:t>
            </w:r>
          </w:p>
        </w:tc>
        <w:tc>
          <w:tcPr>
            <w:tcW w:w="1460" w:type="dxa"/>
            <w:vAlign w:val="bottom"/>
          </w:tcPr>
          <w:p>
            <w:pPr>
              <w:ind w:left="20"/>
              <w:spacing w:after="0"/>
              <w:rPr>
                <w:sz w:val="20"/>
                <w:szCs w:val="20"/>
                <w:color w:val="auto"/>
              </w:rPr>
            </w:pPr>
            <w:r>
              <w:rPr>
                <w:rFonts w:ascii="Arial" w:cs="Arial" w:eastAsia="Arial" w:hAnsi="Arial"/>
                <w:sz w:val="18"/>
                <w:szCs w:val="18"/>
                <w:color w:val="auto"/>
              </w:rPr>
              <w:t>PE and PVC</w:t>
            </w:r>
          </w:p>
        </w:tc>
        <w:tc>
          <w:tcPr>
            <w:tcW w:w="0" w:type="dxa"/>
            <w:vAlign w:val="bottom"/>
          </w:tcPr>
          <w:p>
            <w:pPr>
              <w:spacing w:after="0"/>
              <w:rPr>
                <w:sz w:val="1"/>
                <w:szCs w:val="1"/>
                <w:color w:val="auto"/>
              </w:rPr>
            </w:pPr>
          </w:p>
        </w:tc>
      </w:tr>
      <w:tr>
        <w:trPr>
          <w:trHeight w:val="224"/>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Calvert City, Kentucky (Calvert City Olefins)</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w:t>
            </w:r>
          </w:p>
        </w:tc>
        <w:tc>
          <w:tcPr>
            <w:tcW w:w="120" w:type="dxa"/>
            <w:vAlign w:val="bottom"/>
            <w:shd w:val="clear" w:color="auto" w:fill="CCEEFF"/>
          </w:tcPr>
          <w:p>
            <w:pPr>
              <w:spacing w:after="0"/>
              <w:rPr>
                <w:sz w:val="19"/>
                <w:szCs w:val="19"/>
                <w:color w:val="auto"/>
              </w:rPr>
            </w:pPr>
          </w:p>
        </w:tc>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Ethane or propane</w:t>
            </w:r>
          </w:p>
        </w:tc>
        <w:tc>
          <w:tcPr>
            <w:tcW w:w="1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PVC</w:t>
            </w:r>
          </w:p>
        </w:tc>
        <w:tc>
          <w:tcPr>
            <w:tcW w:w="0" w:type="dxa"/>
            <w:vAlign w:val="bottom"/>
          </w:tcPr>
          <w:p>
            <w:pPr>
              <w:spacing w:after="0"/>
              <w:rPr>
                <w:sz w:val="1"/>
                <w:szCs w:val="1"/>
                <w:color w:val="auto"/>
              </w:rPr>
            </w:pPr>
          </w:p>
        </w:tc>
      </w:tr>
      <w:tr>
        <w:trPr>
          <w:trHeight w:val="217"/>
        </w:trPr>
        <w:tc>
          <w:tcPr>
            <w:tcW w:w="438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3,720</w:t>
            </w:r>
          </w:p>
        </w:tc>
        <w:tc>
          <w:tcPr>
            <w:tcW w:w="1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Lake Charles Olefins</w:t>
      </w:r>
    </w:p>
    <w:p>
      <w:pPr>
        <w:spacing w:after="0" w:line="96" w:lineRule="exact"/>
        <w:rPr>
          <w:sz w:val="20"/>
          <w:szCs w:val="20"/>
          <w:color w:val="auto"/>
        </w:rPr>
      </w:pPr>
    </w:p>
    <w:p>
      <w:pPr>
        <w:ind w:right="20" w:firstLine="395"/>
        <w:spacing w:after="0" w:line="324" w:lineRule="auto"/>
        <w:rPr>
          <w:sz w:val="20"/>
          <w:szCs w:val="20"/>
          <w:color w:val="auto"/>
        </w:rPr>
      </w:pPr>
      <w:r>
        <w:rPr>
          <w:rFonts w:ascii="Arial" w:cs="Arial" w:eastAsia="Arial" w:hAnsi="Arial"/>
          <w:sz w:val="16"/>
          <w:szCs w:val="16"/>
          <w:color w:val="auto"/>
        </w:rPr>
        <w:t>Two of OpCo's ethylene production facilities, which we refer to as Petro 1 and Petro 2 and, collectively, as Lake Charles Olefins, are located at Westlake's Lake Charles site. The combined capacity of these two ethylene production facilities is approximately 3.0 billion pounds per year.</w:t>
      </w:r>
    </w:p>
    <w:p>
      <w:pPr>
        <w:spacing w:after="0" w:line="82" w:lineRule="exact"/>
        <w:rPr>
          <w:sz w:val="20"/>
          <w:szCs w:val="20"/>
          <w:color w:val="auto"/>
        </w:rPr>
      </w:pPr>
    </w:p>
    <w:p>
      <w:pPr>
        <w:ind w:firstLine="395"/>
        <w:spacing w:after="0" w:line="250" w:lineRule="auto"/>
        <w:rPr>
          <w:sz w:val="20"/>
          <w:szCs w:val="20"/>
          <w:color w:val="auto"/>
        </w:rPr>
      </w:pPr>
      <w:r>
        <w:rPr>
          <w:rFonts w:ascii="Arial" w:cs="Arial" w:eastAsia="Arial" w:hAnsi="Arial"/>
          <w:sz w:val="18"/>
          <w:szCs w:val="18"/>
          <w:color w:val="auto"/>
        </w:rPr>
        <w:t>Within Westlake's Lake Charles site, Petro 1 and Petro 2 are connected by pipeline systems to Westlake's polyethylene plants. Westlake may use the ethylene it purchases from OpCo at its Lake Charles facilities or transfer it to its Geismar facility or its Longview facility, either through physical transportation or via exchange transactions. Westlake may also use the ethylene it purchases from OpCo with chlorine to produce ethylene dichloride and transport it via barge to Westlake's Calvert City site.</w:t>
      </w:r>
    </w:p>
    <w:p>
      <w:pPr>
        <w:spacing w:after="0" w:line="138" w:lineRule="exact"/>
        <w:rPr>
          <w:sz w:val="20"/>
          <w:szCs w:val="20"/>
          <w:color w:val="auto"/>
        </w:rPr>
      </w:pPr>
    </w:p>
    <w:p>
      <w:pPr>
        <w:ind w:right="180" w:firstLine="395"/>
        <w:spacing w:after="0" w:line="261" w:lineRule="auto"/>
        <w:rPr>
          <w:sz w:val="20"/>
          <w:szCs w:val="20"/>
          <w:color w:val="auto"/>
        </w:rPr>
      </w:pPr>
      <w:r>
        <w:rPr>
          <w:rFonts w:ascii="Arial" w:cs="Arial" w:eastAsia="Arial" w:hAnsi="Arial"/>
          <w:sz w:val="18"/>
          <w:szCs w:val="18"/>
          <w:color w:val="auto"/>
        </w:rPr>
        <w:t>In addition, OpCo produces ethylene co-products including chemical grade propylene, crude butadiene, pyrolysis gasoline and hydrogen. OpCo sells its output of these co-products to external customers.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Calvert City Olefins</w:t>
      </w:r>
    </w:p>
    <w:p>
      <w:pPr>
        <w:spacing w:after="0" w:line="83" w:lineRule="exact"/>
        <w:rPr>
          <w:sz w:val="20"/>
          <w:szCs w:val="20"/>
          <w:color w:val="auto"/>
        </w:rPr>
      </w:pPr>
    </w:p>
    <w:p>
      <w:pPr>
        <w:ind w:right="140" w:firstLine="395"/>
        <w:spacing w:after="0" w:line="261" w:lineRule="auto"/>
        <w:rPr>
          <w:sz w:val="20"/>
          <w:szCs w:val="20"/>
          <w:color w:val="auto"/>
        </w:rPr>
      </w:pPr>
      <w:r>
        <w:rPr>
          <w:rFonts w:ascii="Arial" w:cs="Arial" w:eastAsia="Arial" w:hAnsi="Arial"/>
          <w:sz w:val="18"/>
          <w:szCs w:val="18"/>
          <w:color w:val="auto"/>
        </w:rPr>
        <w:t>One of OpCo's ethylene production facilities is located at Westlake's Calvert City site, which we refer to as Calvert City Olefins. The capacity of Calvert City Olefins is approximately 730 million pounds per year.</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Pipeline</w:t>
      </w:r>
    </w:p>
    <w:p>
      <w:pPr>
        <w:spacing w:after="0" w:line="83" w:lineRule="exact"/>
        <w:rPr>
          <w:sz w:val="20"/>
          <w:szCs w:val="20"/>
          <w:color w:val="auto"/>
        </w:rPr>
      </w:pPr>
    </w:p>
    <w:p>
      <w:pPr>
        <w:jc w:val="both"/>
        <w:ind w:right="40" w:firstLine="395"/>
        <w:spacing w:after="0" w:line="248" w:lineRule="auto"/>
        <w:rPr>
          <w:sz w:val="20"/>
          <w:szCs w:val="20"/>
          <w:color w:val="auto"/>
        </w:rPr>
      </w:pPr>
      <w:r>
        <w:rPr>
          <w:rFonts w:ascii="Arial" w:cs="Arial" w:eastAsia="Arial" w:hAnsi="Arial"/>
          <w:sz w:val="18"/>
          <w:szCs w:val="18"/>
          <w:color w:val="auto"/>
        </w:rPr>
        <w:t>OpCo owns a 200-mile 10-inch diameter ethylene pipeline system that connects the Equistar Pipeline, the Flint Hills Pipeline and the Lone Star Storage Facility in Mont Belvieu to the Longview, Texas chemical site, which includes Westlake's Longview PE production facility. The system has a capacity of 3.5 million pounds per day of ethylene and is operated as a common carrier pipeline by Buckeye Development &amp; Logistics I LLC. As a common carrier intrastate pipeline in Texas, the system is subject to rate regulation under the Texas Utilities Code, as implemented by the Texas Railroad Commission, or the TRRC, and has a tariff on file with the TRRC.</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Technology</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OpCo has perpetual and paid-up licenses for steam cracking and process recovery technology used at its ethylene plants.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Agreements with Westlake</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Except as otherwise indicated, the agreements described below became effective on August 4, 2014, concurrent with the closing of the IPO.</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Ethylene Sales Agreement</w:t>
      </w:r>
    </w:p>
    <w:p>
      <w:pPr>
        <w:spacing w:after="0" w:line="83" w:lineRule="exact"/>
        <w:rPr>
          <w:sz w:val="20"/>
          <w:szCs w:val="20"/>
          <w:color w:val="auto"/>
        </w:rPr>
      </w:pPr>
    </w:p>
    <w:p>
      <w:pPr>
        <w:ind w:firstLine="395"/>
        <w:spacing w:after="0" w:line="280" w:lineRule="auto"/>
        <w:rPr>
          <w:sz w:val="20"/>
          <w:szCs w:val="20"/>
          <w:color w:val="auto"/>
        </w:rPr>
      </w:pPr>
      <w:r>
        <w:rPr>
          <w:rFonts w:ascii="Arial" w:cs="Arial" w:eastAsia="Arial" w:hAnsi="Arial"/>
          <w:sz w:val="16"/>
          <w:szCs w:val="16"/>
          <w:color w:val="auto"/>
        </w:rPr>
        <w:t>OpCo and Westlake are parties to the Ethylene Sales Agreement, which has an initial term through December 31, 2026 and automatic 12-month renewal periods until terminated at the end of the initial term or any renewal term on 12-months' notice. The Ethylene Sales Agreement requires Westlake to purchase OpCo's planned ethylene production each year, subject to certain exceptions and a maximum commitment of 3.8 billion pounds per year, less product sold by OpCo to third parties equal to approximately 5% of the annual output. If OpCo's actual production is in excess of planned ethylene production, Westlake has the option to purchase up to 95% of production in excess of planned production. Westlake's purchase price for ethylene under the Ethylene Sales Agreement includes a $0.10 per pound margin, the total costs incurred by OpCo for the feedstock and natural gas to produce each pound of ethylene (subject to a usage cap and a floor), and estimated operating costs, maintenance capital expenditures and other turnaround expenditures, less net proceeds from co-products sales. This purchase price is not designed to cover capital expenditures for expansion. Variable costs not incurred by OpCo due to a deficiency in purchases by Westlake are rebated to Westlake. Under specified circumstances, unrecovered costs may be carried forward for recovery in subsequent years.</w:t>
      </w:r>
    </w:p>
    <w:p>
      <w:pPr>
        <w:spacing w:after="0" w:line="121" w:lineRule="exact"/>
        <w:rPr>
          <w:sz w:val="20"/>
          <w:szCs w:val="20"/>
          <w:color w:val="auto"/>
        </w:rPr>
      </w:pPr>
    </w:p>
    <w:p>
      <w:pPr>
        <w:ind w:right="60" w:firstLine="395"/>
        <w:spacing w:after="0" w:line="299" w:lineRule="auto"/>
        <w:rPr>
          <w:sz w:val="20"/>
          <w:szCs w:val="20"/>
          <w:color w:val="auto"/>
        </w:rPr>
      </w:pPr>
      <w:r>
        <w:rPr>
          <w:rFonts w:ascii="Arial" w:cs="Arial" w:eastAsia="Arial" w:hAnsi="Arial"/>
          <w:sz w:val="16"/>
          <w:szCs w:val="16"/>
          <w:color w:val="auto"/>
        </w:rPr>
        <w:t>Certain of the pricing components that make up the price for ethylene sold under the Ethylene Sales Agreement are modified to reflect the portion of OpCo's production capacity that is used to process Westlake's purge gas instead of producing ethylene. Costs specific to the processing of Westlake's purge gas are recovered under the Services and Secondment Agreement (as described below), and not the Ethylene Sales Agreement.</w:t>
      </w:r>
    </w:p>
    <w:p>
      <w:pPr>
        <w:spacing w:after="0" w:line="102" w:lineRule="exact"/>
        <w:rPr>
          <w:sz w:val="20"/>
          <w:szCs w:val="20"/>
          <w:color w:val="auto"/>
        </w:rPr>
      </w:pPr>
    </w:p>
    <w:p>
      <w:pPr>
        <w:ind w:right="460" w:firstLine="395"/>
        <w:spacing w:after="0" w:line="261" w:lineRule="auto"/>
        <w:rPr>
          <w:sz w:val="20"/>
          <w:szCs w:val="20"/>
          <w:color w:val="auto"/>
        </w:rPr>
      </w:pPr>
      <w:r>
        <w:rPr>
          <w:rFonts w:ascii="Arial" w:cs="Arial" w:eastAsia="Arial" w:hAnsi="Arial"/>
          <w:sz w:val="18"/>
          <w:szCs w:val="18"/>
          <w:color w:val="auto"/>
        </w:rPr>
        <w:t>Under the Ethylene Sales Agreement, OpCo has the option to curtail up to approximately 5% of its ethylene production annually in the event OpCo reasonably determines that its sales of such ethylene to third parties during the relevant period would be uneconomic.</w:t>
      </w:r>
    </w:p>
    <w:p>
      <w:pPr>
        <w:spacing w:after="0" w:line="129" w:lineRule="exact"/>
        <w:rPr>
          <w:sz w:val="20"/>
          <w:szCs w:val="20"/>
          <w:color w:val="auto"/>
        </w:rPr>
      </w:pPr>
    </w:p>
    <w:p>
      <w:pPr>
        <w:ind w:right="20" w:firstLine="395"/>
        <w:spacing w:after="0" w:line="247" w:lineRule="auto"/>
        <w:rPr>
          <w:sz w:val="20"/>
          <w:szCs w:val="20"/>
          <w:color w:val="auto"/>
        </w:rPr>
      </w:pPr>
      <w:r>
        <w:rPr>
          <w:rFonts w:ascii="Arial" w:cs="Arial" w:eastAsia="Arial" w:hAnsi="Arial"/>
          <w:sz w:val="18"/>
          <w:szCs w:val="18"/>
          <w:color w:val="auto"/>
        </w:rPr>
        <w:t>Pursuant to the Ethylene Sales Agreement, Westlake's obligation to pay for the annual minimum commitment (95% of OpCo's budgeted ethylene production), which is measured on an annual basis, is not reduced for a force majeure event lasting fewer than 45 consecutive days. In the event of a force majeure event, the Partnership recognizes buyer deficiency fees representing fixed margin and unavoided operating and maintenance capital expenditures and maintenance expenses per pound of volume committed by Westlake during the force majeure period. In the event Westlake purchases less than its annual commitment, we recognize buyer deficiency fees representing fixed margin and all expenses and expenditures incurred per pound of volume committed but not taken by Westlake. Payment for the buyer deficiency fee is scheduled to be received by the Partnership after the conclusion of the year in which the force majeure event occurred.</w:t>
      </w:r>
    </w:p>
    <w:p>
      <w:pPr>
        <w:spacing w:after="0" w:line="141" w:lineRule="exact"/>
        <w:rPr>
          <w:sz w:val="20"/>
          <w:szCs w:val="20"/>
          <w:color w:val="auto"/>
        </w:rPr>
      </w:pPr>
    </w:p>
    <w:p>
      <w:pPr>
        <w:ind w:right="180" w:firstLine="395"/>
        <w:spacing w:after="0" w:line="250" w:lineRule="auto"/>
        <w:rPr>
          <w:sz w:val="20"/>
          <w:szCs w:val="20"/>
          <w:color w:val="auto"/>
        </w:rPr>
      </w:pPr>
      <w:r>
        <w:rPr>
          <w:rFonts w:ascii="Arial" w:cs="Arial" w:eastAsia="Arial" w:hAnsi="Arial"/>
          <w:sz w:val="18"/>
          <w:szCs w:val="18"/>
          <w:color w:val="auto"/>
        </w:rPr>
        <w:t>Under the Ethylene Sales Agreement, if production costs billed to Westlake on an annual basis are less than 95% of the actual production costs incurred by OpCo during the contract year, OpCo is entitled to recover the shortfall in such production costs (proportionate to the volume sold to Westlake) in the subsequent year ("Shortfall"). The Shortfall is generally recognized during the period in which the related operating, maintenance or turnaround activities occur.</w:t>
      </w:r>
    </w:p>
    <w:p>
      <w:pPr>
        <w:spacing w:after="0" w:line="138" w:lineRule="exact"/>
        <w:rPr>
          <w:sz w:val="20"/>
          <w:szCs w:val="20"/>
          <w:color w:val="auto"/>
        </w:rPr>
      </w:pPr>
    </w:p>
    <w:p>
      <w:pPr>
        <w:ind w:right="320" w:firstLine="395"/>
        <w:spacing w:after="0" w:line="252" w:lineRule="auto"/>
        <w:rPr>
          <w:sz w:val="20"/>
          <w:szCs w:val="20"/>
          <w:color w:val="auto"/>
        </w:rPr>
      </w:pPr>
      <w:r>
        <w:rPr>
          <w:rFonts w:ascii="Arial" w:cs="Arial" w:eastAsia="Arial" w:hAnsi="Arial"/>
          <w:sz w:val="18"/>
          <w:szCs w:val="18"/>
          <w:color w:val="auto"/>
        </w:rPr>
        <w:t>The Ethylene Sales Agreement provides that, if compliance with any law adopted or modified following our IPO results in OpCo incurring additional costs in excess of $500,000 in any contract year, OpCo is entitled to charge Westlake a monthly surcharge following efforts to mitigate the effects of such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Feedstock Supply Agreement</w:t>
      </w:r>
    </w:p>
    <w:p>
      <w:pPr>
        <w:spacing w:after="0" w:line="83" w:lineRule="exact"/>
        <w:rPr>
          <w:sz w:val="20"/>
          <w:szCs w:val="20"/>
          <w:color w:val="auto"/>
        </w:rPr>
      </w:pPr>
    </w:p>
    <w:p>
      <w:pPr>
        <w:ind w:firstLine="395"/>
        <w:spacing w:after="0" w:line="291" w:lineRule="auto"/>
        <w:rPr>
          <w:sz w:val="20"/>
          <w:szCs w:val="20"/>
          <w:color w:val="auto"/>
        </w:rPr>
      </w:pPr>
      <w:r>
        <w:rPr>
          <w:rFonts w:ascii="Arial" w:cs="Arial" w:eastAsia="Arial" w:hAnsi="Arial"/>
          <w:sz w:val="16"/>
          <w:szCs w:val="16"/>
          <w:color w:val="auto"/>
        </w:rPr>
        <w:t>OpCo and Westlake are parties to the Feedstock Supply Agreement, which has an initial term through December 31, 2026 and automatic 12-month renewal periods until terminated at the end of the initial term or any renewal term on 12-months' notice. Under the Feedstock Supply Agreement, Westlake sells OpCo ethane and other feedstock in amounts sufficient for OpCo to produce the ethylene to be sold under the Ethylene Sales Agreement. The price at which ethane and feedstock is sold includes an indexed price for spot gas liquids at Mont Belvieu and applicable transportation, storage and other costs.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and Secondment Agreement</w:t>
      </w:r>
    </w:p>
    <w:p>
      <w:pPr>
        <w:spacing w:after="0" w:line="96" w:lineRule="exact"/>
        <w:rPr>
          <w:sz w:val="20"/>
          <w:szCs w:val="20"/>
          <w:color w:val="auto"/>
        </w:rPr>
      </w:pPr>
    </w:p>
    <w:p>
      <w:pPr>
        <w:ind w:right="160" w:firstLine="395"/>
        <w:spacing w:after="0" w:line="299" w:lineRule="auto"/>
        <w:rPr>
          <w:sz w:val="20"/>
          <w:szCs w:val="20"/>
          <w:color w:val="auto"/>
        </w:rPr>
      </w:pPr>
      <w:r>
        <w:rPr>
          <w:rFonts w:ascii="Arial" w:cs="Arial" w:eastAsia="Arial" w:hAnsi="Arial"/>
          <w:sz w:val="16"/>
          <w:szCs w:val="16"/>
          <w:color w:val="auto"/>
        </w:rPr>
        <w:t>OpCo and Westlake are parties to the Services and Secondment Agreement, pursuant to which OpCo provides Westlake with various utilities and utility services in exchange for Westlake providing OpCo with various utility services, comprehensive operating services for OpCo's units, services for the maintenance and operation of the common facilities and seconded employees to perform all services required under the agreement.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Site Lease Agreements</w:t>
      </w:r>
    </w:p>
    <w:p>
      <w:pPr>
        <w:spacing w:after="0" w:line="96" w:lineRule="exact"/>
        <w:rPr>
          <w:sz w:val="20"/>
          <w:szCs w:val="20"/>
          <w:color w:val="auto"/>
        </w:rPr>
      </w:pPr>
    </w:p>
    <w:p>
      <w:pPr>
        <w:ind w:right="40" w:firstLine="395"/>
        <w:spacing w:after="0" w:line="281" w:lineRule="auto"/>
        <w:rPr>
          <w:sz w:val="20"/>
          <w:szCs w:val="20"/>
          <w:color w:val="auto"/>
        </w:rPr>
      </w:pPr>
      <w:r>
        <w:rPr>
          <w:rFonts w:ascii="Arial" w:cs="Arial" w:eastAsia="Arial" w:hAnsi="Arial"/>
          <w:sz w:val="16"/>
          <w:szCs w:val="16"/>
          <w:color w:val="auto"/>
        </w:rPr>
        <w:t>OpCo and Westlake are parties to two 50-year site lease agreements (the "Site Leases"). Under the Site Leases, OpCo leases the real property underlying Calvert City Olefins and Lake Charles Olefins and is granted certain use and access rights related thereto, for a base rental amount of $1 per year per site. Each of the Site Leases is terminable by the lessor upon the occurrence of certain events of default or by OpCo if Calvert City Olefins or Lake Charles Olefins, as applicable, is destroyed by casualty. Pursuant to the Site Leases, Westlake has the right to restore and repurchase the units for fair market value if OpCo fails to expeditiously restore Calvert City Olefins or Lake Charles Olefins, as applicable, following a casualty loss. Subject to the foregoing repurchase right, OpCo may remove its ethylene production facilities and other related improvements for up to one year after expiration or termination of the applicable Site Lease, so long as such removal can be accomplished without material damage or harm to Westlake's property or operations and provided that any assets that are not timely removed by OpCo will be deemed to have been surrendered to Westlake.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Omnibus Agreement</w:t>
      </w:r>
    </w:p>
    <w:p>
      <w:pPr>
        <w:spacing w:after="0" w:line="83" w:lineRule="exact"/>
        <w:rPr>
          <w:sz w:val="20"/>
          <w:szCs w:val="20"/>
          <w:color w:val="auto"/>
        </w:rPr>
      </w:pPr>
    </w:p>
    <w:p>
      <w:pPr>
        <w:ind w:firstLine="395"/>
        <w:spacing w:after="0" w:line="284" w:lineRule="auto"/>
        <w:rPr>
          <w:sz w:val="20"/>
          <w:szCs w:val="20"/>
          <w:color w:val="auto"/>
        </w:rPr>
      </w:pPr>
      <w:r>
        <w:rPr>
          <w:rFonts w:ascii="Arial" w:cs="Arial" w:eastAsia="Arial" w:hAnsi="Arial"/>
          <w:sz w:val="16"/>
          <w:szCs w:val="16"/>
          <w:color w:val="auto"/>
        </w:rPr>
        <w:t>We, OpCo and Westlake are parties to the Omnibus Agreement, pursuant to which we granted Westlake, among other things, a right of first refusal on any proposed transfer of (1) our equity interests in OpCo, (2) the ethylene production facilities that serve Westlake's other facilities or (3) certain other assets we may acquire from Westlake. The Omnibus Agreement also provides for reimbursement to Westlake for the provision of various administrative services and direct expenses incurred on our behalf and in connection with the operation of our business. Under the Omnibus Agreement, Westlake will indemnify us against certain environmental and other losses, and we will indemnify Westlake against certain environmental and other losses for which Westlake is not otherwise obligated to indemnify us and certain other losses and liabilities to the extent resulting from the provision of services by Westlake to us.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Agreement</w:t>
      </w:r>
    </w:p>
    <w:p>
      <w:pPr>
        <w:spacing w:after="0" w:line="96" w:lineRule="exact"/>
        <w:rPr>
          <w:sz w:val="20"/>
          <w:szCs w:val="20"/>
          <w:color w:val="auto"/>
        </w:rPr>
      </w:pPr>
    </w:p>
    <w:p>
      <w:pPr>
        <w:jc w:val="both"/>
        <w:ind w:right="40" w:firstLine="395"/>
        <w:spacing w:after="0" w:line="327" w:lineRule="auto"/>
        <w:rPr>
          <w:sz w:val="20"/>
          <w:szCs w:val="20"/>
          <w:color w:val="auto"/>
        </w:rPr>
      </w:pPr>
      <w:r>
        <w:rPr>
          <w:rFonts w:ascii="Arial" w:cs="Arial" w:eastAsia="Arial" w:hAnsi="Arial"/>
          <w:sz w:val="15"/>
          <w:szCs w:val="15"/>
          <w:color w:val="auto"/>
        </w:rPr>
        <w:t>OpCo and Westlake are parties to an exchange agreement, which had an initial term through August 1, 2015 and continues on an annual basis unless and until terminated by either party. Under the exchange agreement, OpCo may require Westlake to deliver up to 200 million pounds of ethylene for OpCo per year from the Site Leases to an ethylene hub in Mont Belvieu, Texas, for which OpCo would be required to pay Westlake an exchange fee of $0.006 per pound.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OpCo Partnership Agreement</w:t>
      </w:r>
    </w:p>
    <w:p>
      <w:pPr>
        <w:spacing w:after="0" w:line="96" w:lineRule="exact"/>
        <w:rPr>
          <w:sz w:val="20"/>
          <w:szCs w:val="20"/>
          <w:color w:val="auto"/>
        </w:rPr>
      </w:pPr>
    </w:p>
    <w:p>
      <w:pPr>
        <w:ind w:right="80" w:firstLine="395"/>
        <w:spacing w:after="0" w:line="299" w:lineRule="auto"/>
        <w:rPr>
          <w:sz w:val="20"/>
          <w:szCs w:val="20"/>
          <w:color w:val="auto"/>
        </w:rPr>
      </w:pPr>
      <w:r>
        <w:rPr>
          <w:rFonts w:ascii="Arial" w:cs="Arial" w:eastAsia="Arial" w:hAnsi="Arial"/>
          <w:sz w:val="16"/>
          <w:szCs w:val="16"/>
          <w:color w:val="auto"/>
        </w:rPr>
        <w:t>We, OpCo GP and Westlake are parties to an agreement of limited partnership for OpCo (the "OpCo LP Agreement"). The OpCo LP Agreement governs the ownership and management of OpCo and designates OpCo GP as the general partner of OpCo. OpCo GP generally has complete authority to manage OpCo's business and affairs. We control OpCo GP, as its sole member, subject to certain approval rights held by Westlake.</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Management Agreement</w:t>
      </w:r>
    </w:p>
    <w:p>
      <w:pPr>
        <w:spacing w:after="0" w:line="83" w:lineRule="exact"/>
        <w:rPr>
          <w:sz w:val="20"/>
          <w:szCs w:val="20"/>
          <w:color w:val="auto"/>
        </w:rPr>
      </w:pPr>
    </w:p>
    <w:p>
      <w:pPr>
        <w:ind w:right="20" w:firstLine="395"/>
        <w:spacing w:after="0" w:line="327" w:lineRule="auto"/>
        <w:rPr>
          <w:sz w:val="20"/>
          <w:szCs w:val="20"/>
          <w:color w:val="auto"/>
        </w:rPr>
      </w:pPr>
      <w:r>
        <w:rPr>
          <w:rFonts w:ascii="Arial" w:cs="Arial" w:eastAsia="Arial" w:hAnsi="Arial"/>
          <w:sz w:val="15"/>
          <w:szCs w:val="15"/>
          <w:color w:val="auto"/>
        </w:rPr>
        <w:t>On August 1, 2017, we, OpCo and Westlake executed an Investment Management Agreement that authorizes Westlake to invest the Partnership's and OpCo's excess cash with Westlake for durations of up to a maximum of nine months. Per the terms of the Investment Management Agreement, the Partnership earns a market return plus five basis points and Westlake provides daily availability of the invested cash to meet any liquidity needs of the Partnership or OpCo.</w:t>
      </w:r>
    </w:p>
    <w:p>
      <w:pPr>
        <w:spacing w:after="0" w:line="84" w:lineRule="exact"/>
        <w:rPr>
          <w:sz w:val="20"/>
          <w:szCs w:val="20"/>
          <w:color w:val="auto"/>
        </w:rPr>
      </w:pPr>
    </w:p>
    <w:p>
      <w:pPr>
        <w:ind w:right="40" w:firstLine="395"/>
        <w:spacing w:after="0" w:line="252" w:lineRule="auto"/>
        <w:rPr>
          <w:sz w:val="20"/>
          <w:szCs w:val="20"/>
          <w:color w:val="auto"/>
        </w:rPr>
      </w:pPr>
      <w:r>
        <w:rPr>
          <w:rFonts w:ascii="Arial" w:cs="Arial" w:eastAsia="Arial" w:hAnsi="Arial"/>
          <w:sz w:val="18"/>
          <w:szCs w:val="18"/>
          <w:color w:val="auto"/>
        </w:rPr>
        <w:t>See "Liquidity and Capital Resources" in Item 7. "Management's Discussion and Analysis of Financial Condition and Results of Operations" for a discussion of the Partnership's and OpCo's debt agreements with Westlake and "Interest Rate Risk" in Item 7A. "Quantitative and Qualitative Disclosures about Market Risk" for a discussion of the Partnership's interest rate contract with Westlake.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w:t>
      </w:r>
    </w:p>
    <w:p>
      <w:pPr>
        <w:spacing w:after="0" w:line="102" w:lineRule="exact"/>
        <w:rPr>
          <w:sz w:val="20"/>
          <w:szCs w:val="20"/>
          <w:color w:val="auto"/>
        </w:rPr>
      </w:pPr>
    </w:p>
    <w:p>
      <w:pPr>
        <w:ind w:right="40" w:firstLine="395"/>
        <w:spacing w:after="0" w:line="247" w:lineRule="auto"/>
        <w:rPr>
          <w:sz w:val="20"/>
          <w:szCs w:val="20"/>
          <w:color w:val="auto"/>
        </w:rPr>
      </w:pPr>
      <w:r>
        <w:rPr>
          <w:rFonts w:ascii="Arial" w:cs="Arial" w:eastAsia="Arial" w:hAnsi="Arial"/>
          <w:sz w:val="18"/>
          <w:szCs w:val="18"/>
          <w:color w:val="auto"/>
        </w:rPr>
        <w:t>As is common in our industry, we and OpCo are subject to environmental laws and regulations related to the use, storage, handling, generation, transportation, emission, discharge, disposal and remediation of, and exposure to, hazardous and non-hazardous substances and wastes in all of the jurisdictions in which we do business. National, state or provincial and local standards regulating air, water and land quality affect substantially all of our manufacturing locations. Compliance with such laws and regulations has required and will continue to require capital expenditures and increased operating costs. Pursuant to our arrangement with Westlake, Westlake will indemnify us for liabilities that occurred or existed (in connection with compliance with such laws and regulations) prior to August 4, 2014.</w:t>
      </w:r>
    </w:p>
    <w:p>
      <w:pPr>
        <w:spacing w:after="0" w:line="143" w:lineRule="exact"/>
        <w:rPr>
          <w:sz w:val="20"/>
          <w:szCs w:val="20"/>
          <w:color w:val="auto"/>
        </w:rPr>
      </w:pPr>
    </w:p>
    <w:p>
      <w:pPr>
        <w:ind w:right="120" w:firstLine="395"/>
        <w:spacing w:after="0" w:line="279" w:lineRule="auto"/>
        <w:rPr>
          <w:sz w:val="20"/>
          <w:szCs w:val="20"/>
          <w:color w:val="auto"/>
        </w:rPr>
      </w:pPr>
      <w:r>
        <w:rPr>
          <w:rFonts w:ascii="Arial" w:cs="Arial" w:eastAsia="Arial" w:hAnsi="Arial"/>
          <w:sz w:val="16"/>
          <w:szCs w:val="16"/>
          <w:color w:val="auto"/>
        </w:rPr>
        <w:t>It is our policy to comply with all environmental, health and safety requirements in the jurisdictions in which we and OpCo operate and to provide safe and environmentally sound workplaces for our employees. In some cases, compliance can be achieved only by incurring capital expenditures. In 2022, OpCo incurred capital expenditures of $1.8 million related to environmental compliance. We estimate that OpCo will make capital expenditures of approximately $3.4 million in 2023 and $3.2 million in 2024, respectively, related to environmental compliance. Additionally, in 2023 and 2024, capital expenditures of approximately $41.5 million and $9.1 million, respectively, are expected to be paid in connection with corrective actions required by the Environmental Protection Agency (the "EPA") to resolve the flare enforcement matter discussed below. Pursuant to the Omnibus Agreement, Westlake has paid and will continue to pay for all such corrective actions. See "Business—Our Agreements with Westlake—</w:t>
      </w:r>
      <w:r>
        <w:rPr>
          <w:rFonts w:ascii="Arial" w:cs="Arial" w:eastAsia="Arial" w:hAnsi="Arial"/>
          <w:sz w:val="16"/>
          <w:szCs w:val="16"/>
          <w:i w:val="1"/>
          <w:iCs w:val="1"/>
          <w:color w:val="auto"/>
        </w:rPr>
        <w:t>Omnibus Agreement</w:t>
      </w:r>
      <w:r>
        <w:rPr>
          <w:rFonts w:ascii="Arial" w:cs="Arial" w:eastAsia="Arial" w:hAnsi="Arial"/>
          <w:sz w:val="16"/>
          <w:szCs w:val="16"/>
          <w:color w:val="auto"/>
        </w:rPr>
        <w:t xml:space="preserve">." We anticipate that stringent environmental regulations will continue to be imposed on us and the industry in general. Under the Ethylene Sales Agreement, we may be entitled to charge Westlake a monthly surcharge as a result of complying with certain changes in law occurring after our IPO. See "Business—Our Agreements with Westlake— </w:t>
      </w:r>
      <w:r>
        <w:rPr>
          <w:rFonts w:ascii="Arial" w:cs="Arial" w:eastAsia="Arial" w:hAnsi="Arial"/>
          <w:sz w:val="16"/>
          <w:szCs w:val="16"/>
          <w:i w:val="1"/>
          <w:iCs w:val="1"/>
          <w:color w:val="auto"/>
        </w:rPr>
        <w:t>Ethylene Sales Agreement.</w:t>
      </w:r>
      <w:r>
        <w:rPr>
          <w:rFonts w:ascii="Arial" w:cs="Arial" w:eastAsia="Arial" w:hAnsi="Arial"/>
          <w:sz w:val="16"/>
          <w:szCs w:val="16"/>
          <w:color w:val="auto"/>
        </w:rPr>
        <w:t>" Although we cannot predict with certainty future expenditures, management believes that our current spending trends for</w:t>
      </w:r>
      <w:r>
        <w:rPr>
          <w:rFonts w:ascii="Arial" w:cs="Arial" w:eastAsia="Arial" w:hAnsi="Arial"/>
          <w:sz w:val="16"/>
          <w:szCs w:val="16"/>
          <w:i w:val="1"/>
          <w:iCs w:val="1"/>
          <w:color w:val="auto"/>
        </w:rPr>
        <w:t xml:space="preserve"> </w:t>
      </w:r>
      <w:r>
        <w:rPr>
          <w:rFonts w:ascii="Arial" w:cs="Arial" w:eastAsia="Arial" w:hAnsi="Arial"/>
          <w:sz w:val="16"/>
          <w:szCs w:val="16"/>
          <w:color w:val="auto"/>
        </w:rPr>
        <w:t>environmental compliance will continue.</w:t>
      </w:r>
    </w:p>
    <w:p>
      <w:pPr>
        <w:spacing w:after="0" w:line="121" w:lineRule="exact"/>
        <w:rPr>
          <w:sz w:val="20"/>
          <w:szCs w:val="20"/>
          <w:color w:val="auto"/>
        </w:rPr>
      </w:pPr>
    </w:p>
    <w:p>
      <w:pPr>
        <w:ind w:firstLine="395"/>
        <w:spacing w:after="0" w:line="278" w:lineRule="auto"/>
        <w:rPr>
          <w:sz w:val="20"/>
          <w:szCs w:val="20"/>
          <w:color w:val="auto"/>
        </w:rPr>
      </w:pPr>
      <w:r>
        <w:rPr>
          <w:rFonts w:ascii="Arial" w:cs="Arial" w:eastAsia="Arial" w:hAnsi="Arial"/>
          <w:sz w:val="16"/>
          <w:szCs w:val="16"/>
          <w:i w:val="1"/>
          <w:iCs w:val="1"/>
          <w:color w:val="auto"/>
        </w:rPr>
        <w:t>Flare Modifications</w:t>
      </w:r>
      <w:r>
        <w:rPr>
          <w:rFonts w:ascii="Arial" w:cs="Arial" w:eastAsia="Arial" w:hAnsi="Arial"/>
          <w:sz w:val="16"/>
          <w:szCs w:val="16"/>
          <w:color w:val="auto"/>
        </w:rPr>
        <w:t>. For several years, the EPA has been conducting an enforcement initiative against petroleum refineries and petrochemical plants with</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to emissions from flares. On April 21, 2014, Westlake received a Clean Air Act Section 114 Information Request from the EPA, which sought information regarding flares at the Calvert City and Lake Charles facilities. The EPA informed Westlake that the information provided led it to believe that some of the flares were out of compliance with applicable standards. In June 2022, the Department of Justice announced that certain subsidiaries of Westlake, including OpCo, the EPA and state environmental agencies had reached agreement on a consent decree resolving this matter. The consent decree requires OpCo and other Westlake subsidiaries to install flare gas recovery units, implement fence line monitoring, install and operate flare monitoring and control equipment to meet certain performance standards, and pay a civil penalty of $1 million. Implementation of the requirements under the decree is estimated to cost approximately $110 million, which includes capital expenditures associated with installation of the flare gas recovery units that are required to be installed at our Calvert City and Lake Charles facilities. The capital expenditures and other costs required to comply with the consent decree have either been incurred in 2021 and 2022 or will be incurred over the course of 2023 and 2024. The consent decree was entered by the court and became effective in October 2022. Westlake has paid all penalties required under the consent decree and has planned, budgeted for and scheduled all compliance requirements going forward. As discussed above, Westlake is expected to fully indemnify us for such costs. While the final consent decree does provide for stipulated penalties if certain requirements are not met, we do not believe that any stipulated penalties, if incurred and assessed, will have a material adverse effect on our financial condition, results of operations or cash flows.</w:t>
      </w:r>
    </w:p>
    <w:p>
      <w:pPr>
        <w:spacing w:after="0" w:line="122" w:lineRule="exact"/>
        <w:rPr>
          <w:sz w:val="20"/>
          <w:szCs w:val="20"/>
          <w:color w:val="auto"/>
        </w:rPr>
      </w:pPr>
    </w:p>
    <w:p>
      <w:pPr>
        <w:jc w:val="both"/>
        <w:ind w:right="40" w:firstLine="395"/>
        <w:spacing w:after="0" w:line="252" w:lineRule="auto"/>
        <w:rPr>
          <w:sz w:val="20"/>
          <w:szCs w:val="20"/>
          <w:color w:val="auto"/>
        </w:rPr>
      </w:pPr>
      <w:r>
        <w:rPr>
          <w:rFonts w:ascii="Arial" w:cs="Arial" w:eastAsia="Arial" w:hAnsi="Arial"/>
          <w:sz w:val="18"/>
          <w:szCs w:val="18"/>
          <w:i w:val="1"/>
          <w:iCs w:val="1"/>
          <w:color w:val="auto"/>
        </w:rPr>
        <w:t xml:space="preserve">Flash Fire at Petro 2. </w:t>
      </w:r>
      <w:r>
        <w:rPr>
          <w:rFonts w:ascii="Arial" w:cs="Arial" w:eastAsia="Arial" w:hAnsi="Arial"/>
          <w:sz w:val="18"/>
          <w:szCs w:val="18"/>
          <w:color w:val="auto"/>
        </w:rPr>
        <w:t>There are lawsuits pending in connection with the flash fire at the quench tower that occurred in September 2021 during the Petro 2</w:t>
      </w:r>
      <w:r>
        <w:rPr>
          <w:rFonts w:ascii="Arial" w:cs="Arial" w:eastAsia="Arial" w:hAnsi="Arial"/>
          <w:sz w:val="18"/>
          <w:szCs w:val="18"/>
          <w:i w:val="1"/>
          <w:iCs w:val="1"/>
          <w:color w:val="auto"/>
        </w:rPr>
        <w:t xml:space="preserve"> </w:t>
      </w:r>
      <w:r>
        <w:rPr>
          <w:rFonts w:ascii="Arial" w:cs="Arial" w:eastAsia="Arial" w:hAnsi="Arial"/>
          <w:sz w:val="18"/>
          <w:szCs w:val="18"/>
          <w:color w:val="auto"/>
        </w:rPr>
        <w:t>turnaround, which are described in Note 16 to the consolidated financial statements included in "Item 8. Financial Statements and Supplementary Data" of this Form 10-K. We expect insurance to cover most of the costs associated with these lawsuits.</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Also, see the discussion of our environmental matters contained in "Item 1A. Risk Factors" and "Item 3. Legal Proceedings" below.</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Capital</w:t>
      </w:r>
    </w:p>
    <w:p>
      <w:pPr>
        <w:spacing w:after="0" w:line="89" w:lineRule="exact"/>
        <w:rPr>
          <w:sz w:val="20"/>
          <w:szCs w:val="20"/>
          <w:color w:val="auto"/>
        </w:rPr>
      </w:pPr>
    </w:p>
    <w:p>
      <w:pPr>
        <w:ind w:firstLine="395"/>
        <w:spacing w:after="0" w:line="247" w:lineRule="auto"/>
        <w:rPr>
          <w:sz w:val="20"/>
          <w:szCs w:val="20"/>
          <w:color w:val="auto"/>
        </w:rPr>
      </w:pPr>
      <w:r>
        <w:rPr>
          <w:rFonts w:ascii="Arial" w:cs="Arial" w:eastAsia="Arial" w:hAnsi="Arial"/>
          <w:sz w:val="18"/>
          <w:szCs w:val="18"/>
          <w:color w:val="auto"/>
        </w:rPr>
        <w:t>Neither we nor OpCo has any employees. Under the Services and Secondment Agreement with Westlake, Westlake seconds employees to OpCo to allow OpCo to operate its facilities, and we sometimes refer to these individuals, for drafting convenience only, as our employees because they provide services directly to us. Such seconded employees are under OpCo's control while they work on OpCo's facilities. As of December 31, 2022, 148 employees were seconded to OpCo. Of these, 25 are covered by collective bargaining agreements that expire on November 1, 2024. There have been no strikes, lockouts or work stoppages at OpCo's facilities. We believe that Westlake's relationship with the local union officials and bargaining committees is open and positive. Westlake is responsible for human capital management policies, including any human capital measures and objectives that management focuses on in managing the business.</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02" w:lineRule="exact"/>
        <w:rPr>
          <w:sz w:val="20"/>
          <w:szCs w:val="20"/>
          <w:color w:val="auto"/>
        </w:rPr>
      </w:pPr>
    </w:p>
    <w:p>
      <w:pPr>
        <w:ind w:right="160" w:firstLine="395"/>
        <w:spacing w:after="0" w:line="248" w:lineRule="auto"/>
        <w:rPr>
          <w:sz w:val="20"/>
          <w:szCs w:val="20"/>
          <w:color w:val="auto"/>
        </w:rPr>
      </w:pPr>
      <w:r>
        <w:rPr>
          <w:rFonts w:ascii="Arial" w:cs="Arial" w:eastAsia="Arial" w:hAnsi="Arial"/>
          <w:sz w:val="18"/>
          <w:szCs w:val="18"/>
          <w:color w:val="auto"/>
        </w:rPr>
        <w:t>In the ordinary conduct of our business, we and Westlake and our and Westlake's subsidiaries, including OpCo, are subject to periodic lawsuits, investigations and claims, including environmental claims and employee related matters. Although we cannot predict with certainty the ultimate resolution of lawsuits, investigations and claims asserted against us, we do not believe that any currently pending legal proceeding or proceedings to which we or Westlake or any of our or Westlake's subsidiaries, including OpCo, are a party will have a material adverse effect on our business, results of operations, cash flows or financial condition.</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02" w:lineRule="exact"/>
        <w:rPr>
          <w:sz w:val="20"/>
          <w:szCs w:val="20"/>
          <w:color w:val="auto"/>
        </w:rPr>
      </w:pPr>
    </w:p>
    <w:p>
      <w:pPr>
        <w:ind w:right="100" w:firstLine="395"/>
        <w:spacing w:after="0" w:line="327" w:lineRule="auto"/>
        <w:rPr>
          <w:sz w:val="20"/>
          <w:szCs w:val="20"/>
          <w:color w:val="auto"/>
        </w:rPr>
      </w:pPr>
      <w:r>
        <w:rPr>
          <w:rFonts w:ascii="Arial" w:cs="Arial" w:eastAsia="Arial" w:hAnsi="Arial"/>
          <w:sz w:val="15"/>
          <w:szCs w:val="15"/>
          <w:color w:val="auto"/>
        </w:rPr>
        <w:t>Due to the Ethylene Sales Agreement and integration with Westlake, OpCo does not directly compete with other ethylene producers for 95% of the planned volumes it produces. It is only on the 5% of planned ethylene volumes and any excess volumes not sold to Westlake where OpCo competes with other regional merchant ethylene producers, including LyondellBasell Industries, N.V., Shell Chemical Company, BASF Corporation and Motiva Enterprises LLC.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89" w:lineRule="exact"/>
        <w:rPr>
          <w:sz w:val="20"/>
          <w:szCs w:val="20"/>
          <w:color w:val="auto"/>
        </w:rPr>
      </w:pPr>
    </w:p>
    <w:p>
      <w:pPr>
        <w:ind w:right="80" w:firstLine="395"/>
        <w:spacing w:after="0" w:line="287" w:lineRule="auto"/>
        <w:rPr>
          <w:sz w:val="20"/>
          <w:szCs w:val="20"/>
          <w:color w:val="auto"/>
        </w:rPr>
      </w:pPr>
      <w:r>
        <w:rPr>
          <w:rFonts w:ascii="Arial" w:cs="Arial" w:eastAsia="Arial" w:hAnsi="Arial"/>
          <w:sz w:val="16"/>
          <w:szCs w:val="16"/>
          <w:color w:val="auto"/>
        </w:rPr>
        <w:t>Our website address is www.wlkpartners.com</w:t>
      </w:r>
      <w:r>
        <w:rPr>
          <w:rFonts w:ascii="Arial" w:cs="Arial" w:eastAsia="Arial" w:hAnsi="Arial"/>
          <w:sz w:val="16"/>
          <w:szCs w:val="16"/>
          <w:i w:val="1"/>
          <w:iCs w:val="1"/>
          <w:color w:val="auto"/>
        </w:rPr>
        <w:t>.</w:t>
      </w:r>
      <w:r>
        <w:rPr>
          <w:rFonts w:ascii="Arial" w:cs="Arial" w:eastAsia="Arial" w:hAnsi="Arial"/>
          <w:sz w:val="16"/>
          <w:szCs w:val="16"/>
          <w:color w:val="auto"/>
        </w:rPr>
        <w:t xml:space="preserve"> Our website content is available for information purposes only. It should not be relied upon for investment purposes, nor is it incorporated by reference in this Form 10-K. We make available on this website under "Investor Relations/SEC Filings," free of charge, our annual reports on Form 10-K, quarterly reports on Form 10-Q, current reports on Form 8-K and amendments to those materials as soon as reasonably practicable after we electronically file those materials with, or furnish those materials to, the Securities Exchange Commission (the "SEC"). The SEC also maintains a website at www.sec.gov that contains reports, proxy statements and other information regarding SEC registrants, including us.</w:t>
      </w:r>
    </w:p>
    <w:p>
      <w:pPr>
        <w:spacing w:after="0" w:line="111" w:lineRule="exact"/>
        <w:rPr>
          <w:sz w:val="20"/>
          <w:szCs w:val="20"/>
          <w:color w:val="auto"/>
        </w:rPr>
      </w:pPr>
    </w:p>
    <w:p>
      <w:pPr>
        <w:ind w:right="120" w:firstLine="395"/>
        <w:spacing w:after="0" w:line="324" w:lineRule="auto"/>
        <w:rPr>
          <w:sz w:val="20"/>
          <w:szCs w:val="20"/>
          <w:color w:val="auto"/>
        </w:rPr>
      </w:pPr>
      <w:r>
        <w:rPr>
          <w:rFonts w:ascii="Arial" w:cs="Arial" w:eastAsia="Arial" w:hAnsi="Arial"/>
          <w:sz w:val="16"/>
          <w:szCs w:val="16"/>
          <w:color w:val="auto"/>
        </w:rPr>
        <w:t>We intend to satisfy the requirement under Item 5.05 of Form 8-K to disclose any amendments to our Code of Ethics and any waiver from a provision of our Code of Ethics by posting such information on our website at www.wlkpartners.com under "Investor Relations/Corporate Governance."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02" w:lineRule="exact"/>
        <w:rPr>
          <w:sz w:val="20"/>
          <w:szCs w:val="20"/>
          <w:color w:val="auto"/>
        </w:rPr>
      </w:pPr>
    </w:p>
    <w:p>
      <w:pPr>
        <w:ind w:right="180" w:firstLine="395"/>
        <w:spacing w:after="0" w:line="291" w:lineRule="auto"/>
        <w:rPr>
          <w:sz w:val="20"/>
          <w:szCs w:val="20"/>
          <w:color w:val="auto"/>
        </w:rPr>
      </w:pPr>
      <w:r>
        <w:rPr>
          <w:rFonts w:ascii="Arial" w:cs="Arial" w:eastAsia="Arial" w:hAnsi="Arial"/>
          <w:sz w:val="16"/>
          <w:szCs w:val="16"/>
          <w:color w:val="auto"/>
        </w:rPr>
        <w:t>Limited partner interests are inherently different from the capital stock of a corporation, although many of the business risks to which we are subject are similar to those that would be faced by a corporation engaged in a similar business. Security holders and potential investors should carefully consider the following risk factors together with all of the other information included in this report. If any of the following risks were actually to occur, our business, financial condition, results of operations or cash flows could be materially adversely affected.</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 Summary</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Inherent in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Operational Relationship with Westlake</w:t>
      </w:r>
    </w:p>
    <w:p>
      <w:pPr>
        <w:spacing w:after="0" w:line="201" w:lineRule="exact"/>
        <w:rPr>
          <w:sz w:val="20"/>
          <w:szCs w:val="20"/>
          <w:color w:val="auto"/>
        </w:rPr>
      </w:pPr>
    </w:p>
    <w:p>
      <w:pPr>
        <w:ind w:left="640" w:right="20" w:hanging="319"/>
        <w:spacing w:after="0" w:line="241" w:lineRule="auto"/>
        <w:tabs>
          <w:tab w:leader="none" w:pos="635" w:val="left"/>
        </w:tabs>
        <w:numPr>
          <w:ilvl w:val="0"/>
          <w:numId w:val="7"/>
        </w:numPr>
        <w:rPr>
          <w:rFonts w:ascii="Arial" w:cs="Arial" w:eastAsia="Arial" w:hAnsi="Arial"/>
          <w:sz w:val="21"/>
          <w:szCs w:val="21"/>
          <w:color w:val="auto"/>
        </w:rPr>
      </w:pPr>
      <w:r>
        <w:rPr>
          <w:rFonts w:ascii="Arial" w:cs="Arial" w:eastAsia="Arial" w:hAnsi="Arial"/>
          <w:sz w:val="18"/>
          <w:szCs w:val="18"/>
          <w:color w:val="auto"/>
        </w:rPr>
        <w:t>We are substantially dependent on Westlake for our cash flows. If Westlake does not pay us under the terms of the Ethylene Sales Agreement or if our assets fail to perform as intended, we may not have sufficient cash from operations following the establishment of cash reserves and payment of costs and expenses, including cost reimbursements to our general partner and its affiliates, to enable us to pay the minimum quarterly distribution to our unitholders.</w:t>
      </w:r>
    </w:p>
    <w:p>
      <w:pPr>
        <w:spacing w:after="0" w:line="28" w:lineRule="exact"/>
        <w:rPr>
          <w:rFonts w:ascii="Arial" w:cs="Arial" w:eastAsia="Arial" w:hAnsi="Arial"/>
          <w:sz w:val="21"/>
          <w:szCs w:val="21"/>
          <w:color w:val="auto"/>
        </w:rPr>
      </w:pPr>
    </w:p>
    <w:p>
      <w:pPr>
        <w:ind w:left="640" w:right="120" w:hanging="319"/>
        <w:spacing w:after="0" w:line="282" w:lineRule="auto"/>
        <w:tabs>
          <w:tab w:leader="none" w:pos="635" w:val="left"/>
        </w:tabs>
        <w:numPr>
          <w:ilvl w:val="0"/>
          <w:numId w:val="7"/>
        </w:numPr>
        <w:rPr>
          <w:rFonts w:ascii="Arial" w:cs="Arial" w:eastAsia="Arial" w:hAnsi="Arial"/>
          <w:sz w:val="18"/>
          <w:szCs w:val="18"/>
          <w:color w:val="auto"/>
        </w:rPr>
      </w:pPr>
      <w:r>
        <w:rPr>
          <w:rFonts w:ascii="Arial" w:cs="Arial" w:eastAsia="Arial" w:hAnsi="Arial"/>
          <w:sz w:val="15"/>
          <w:szCs w:val="15"/>
          <w:color w:val="auto"/>
        </w:rPr>
        <w:t>OpCo is subject to the credit risk of Westlake on a substantial majority of its revenues, and Westlake's leverage and creditworthiness could adversely affect our ability to make distributions to our unitholders. The impact and effects of public health crises, pandemics and epidemics, including the ongoing coronavirus (COVID-19) pandemic, could materially adversely affect Westlake's business, financial condition and results of operations.</w:t>
      </w:r>
    </w:p>
    <w:p>
      <w:pPr>
        <w:spacing w:after="0" w:line="3" w:lineRule="exact"/>
        <w:rPr>
          <w:rFonts w:ascii="Arial" w:cs="Arial" w:eastAsia="Arial" w:hAnsi="Arial"/>
          <w:sz w:val="18"/>
          <w:szCs w:val="18"/>
          <w:color w:val="auto"/>
        </w:rPr>
      </w:pPr>
    </w:p>
    <w:p>
      <w:pPr>
        <w:ind w:left="640" w:hanging="319"/>
        <w:spacing w:after="0"/>
        <w:tabs>
          <w:tab w:leader="none" w:pos="640" w:val="left"/>
        </w:tabs>
        <w:numPr>
          <w:ilvl w:val="0"/>
          <w:numId w:val="7"/>
        </w:numPr>
        <w:rPr>
          <w:rFonts w:ascii="Arial" w:cs="Arial" w:eastAsia="Arial" w:hAnsi="Arial"/>
          <w:sz w:val="21"/>
          <w:szCs w:val="21"/>
          <w:color w:val="auto"/>
        </w:rPr>
      </w:pPr>
      <w:r>
        <w:rPr>
          <w:rFonts w:ascii="Arial" w:cs="Arial" w:eastAsia="Arial" w:hAnsi="Arial"/>
          <w:sz w:val="18"/>
          <w:szCs w:val="18"/>
          <w:color w:val="auto"/>
        </w:rPr>
        <w:t>OpCo is a restricted subsidiary under certain indentures governing Westlake's senior notes.</w:t>
      </w:r>
    </w:p>
    <w:p>
      <w:pPr>
        <w:spacing w:after="0" w:line="27" w:lineRule="exact"/>
        <w:rPr>
          <w:rFonts w:ascii="Arial" w:cs="Arial" w:eastAsia="Arial" w:hAnsi="Arial"/>
          <w:sz w:val="21"/>
          <w:szCs w:val="21"/>
          <w:color w:val="auto"/>
        </w:rPr>
      </w:pPr>
    </w:p>
    <w:p>
      <w:pPr>
        <w:ind w:left="640" w:right="280" w:hanging="319"/>
        <w:spacing w:after="0" w:line="231" w:lineRule="auto"/>
        <w:tabs>
          <w:tab w:leader="none" w:pos="635" w:val="left"/>
        </w:tabs>
        <w:numPr>
          <w:ilvl w:val="0"/>
          <w:numId w:val="7"/>
        </w:numPr>
        <w:rPr>
          <w:rFonts w:ascii="Arial" w:cs="Arial" w:eastAsia="Arial" w:hAnsi="Arial"/>
          <w:sz w:val="21"/>
          <w:szCs w:val="21"/>
          <w:color w:val="auto"/>
        </w:rPr>
      </w:pPr>
      <w:r>
        <w:rPr>
          <w:rFonts w:ascii="Arial" w:cs="Arial" w:eastAsia="Arial" w:hAnsi="Arial"/>
          <w:sz w:val="18"/>
          <w:szCs w:val="18"/>
          <w:color w:val="auto"/>
        </w:rPr>
        <w:t>The ethylene sales price charged under the Ethylene Sales Agreement is designed to permit OpCo to cover the substantial majority of its operating costs, but not our public partnership and other OpCo costs, which reduce our net operating profit.</w:t>
      </w:r>
    </w:p>
    <w:p>
      <w:pPr>
        <w:spacing w:after="0" w:line="28" w:lineRule="exact"/>
        <w:rPr>
          <w:rFonts w:ascii="Arial" w:cs="Arial" w:eastAsia="Arial" w:hAnsi="Arial"/>
          <w:sz w:val="21"/>
          <w:szCs w:val="21"/>
          <w:color w:val="auto"/>
        </w:rPr>
      </w:pPr>
    </w:p>
    <w:p>
      <w:pPr>
        <w:ind w:left="640" w:right="180" w:hanging="319"/>
        <w:spacing w:after="0" w:line="235" w:lineRule="auto"/>
        <w:tabs>
          <w:tab w:leader="none" w:pos="635" w:val="left"/>
        </w:tabs>
        <w:numPr>
          <w:ilvl w:val="0"/>
          <w:numId w:val="7"/>
        </w:numPr>
        <w:rPr>
          <w:rFonts w:ascii="Arial" w:cs="Arial" w:eastAsia="Arial" w:hAnsi="Arial"/>
          <w:sz w:val="21"/>
          <w:szCs w:val="21"/>
          <w:color w:val="auto"/>
        </w:rPr>
      </w:pPr>
      <w:r>
        <w:rPr>
          <w:rFonts w:ascii="Arial" w:cs="Arial" w:eastAsia="Arial" w:hAnsi="Arial"/>
          <w:sz w:val="18"/>
          <w:szCs w:val="18"/>
          <w:color w:val="auto"/>
        </w:rPr>
        <w:t>If OpCo is unable to renew or extend the Ethylene Sales Agreement beyond the initial 12-year term or the other agreements with Westlake upon expiration of these agreements, our ability to make distributions in the future could be materially adversely affected and the value of our units could decline.</w:t>
      </w:r>
    </w:p>
    <w:p>
      <w:pPr>
        <w:spacing w:after="0" w:line="29" w:lineRule="exact"/>
        <w:rPr>
          <w:rFonts w:ascii="Arial" w:cs="Arial" w:eastAsia="Arial" w:hAnsi="Arial"/>
          <w:sz w:val="21"/>
          <w:szCs w:val="21"/>
          <w:color w:val="auto"/>
        </w:rPr>
      </w:pPr>
    </w:p>
    <w:p>
      <w:pPr>
        <w:jc w:val="both"/>
        <w:ind w:left="640" w:right="180" w:hanging="319"/>
        <w:spacing w:after="0" w:line="251" w:lineRule="auto"/>
        <w:tabs>
          <w:tab w:leader="none" w:pos="635" w:val="left"/>
        </w:tabs>
        <w:numPr>
          <w:ilvl w:val="0"/>
          <w:numId w:val="7"/>
        </w:numPr>
        <w:rPr>
          <w:rFonts w:ascii="Arial" w:cs="Arial" w:eastAsia="Arial" w:hAnsi="Arial"/>
          <w:sz w:val="20"/>
          <w:szCs w:val="20"/>
          <w:color w:val="auto"/>
        </w:rPr>
      </w:pPr>
      <w:r>
        <w:rPr>
          <w:rFonts w:ascii="Arial" w:cs="Arial" w:eastAsia="Arial" w:hAnsi="Arial"/>
          <w:sz w:val="17"/>
          <w:szCs w:val="17"/>
          <w:color w:val="auto"/>
        </w:rPr>
        <w:t>OpCo has the right to use the real property underlying Lake Charles Olefins and Calvert City Olefins pursuant to two, 50-year site lease agreements with Westlake. If OpCo is not able to renew the site lease agreements or if the site lease agreements are terminated by Westlake, OpCo may have to relocate Lake Charles Olefins and Calvert City Olefins, abandon the assets or sell the assets to Westlake.</w:t>
      </w:r>
    </w:p>
    <w:p>
      <w:pPr>
        <w:spacing w:after="0" w:line="2" w:lineRule="exact"/>
        <w:rPr>
          <w:rFonts w:ascii="Arial" w:cs="Arial" w:eastAsia="Arial" w:hAnsi="Arial"/>
          <w:sz w:val="20"/>
          <w:szCs w:val="20"/>
          <w:color w:val="auto"/>
        </w:rPr>
      </w:pPr>
    </w:p>
    <w:p>
      <w:pPr>
        <w:ind w:left="640" w:hanging="319"/>
        <w:spacing w:after="0"/>
        <w:tabs>
          <w:tab w:leader="none" w:pos="640" w:val="left"/>
        </w:tabs>
        <w:numPr>
          <w:ilvl w:val="0"/>
          <w:numId w:val="7"/>
        </w:numPr>
        <w:rPr>
          <w:rFonts w:ascii="Arial" w:cs="Arial" w:eastAsia="Arial" w:hAnsi="Arial"/>
          <w:sz w:val="21"/>
          <w:szCs w:val="21"/>
          <w:color w:val="auto"/>
        </w:rPr>
      </w:pPr>
      <w:r>
        <w:rPr>
          <w:rFonts w:ascii="Arial" w:cs="Arial" w:eastAsia="Arial" w:hAnsi="Arial"/>
          <w:sz w:val="18"/>
          <w:szCs w:val="18"/>
          <w:color w:val="auto"/>
        </w:rPr>
        <w:t>OpCo depends upon Westlake for numerous services and for its labor force.</w:t>
      </w:r>
    </w:p>
    <w:p>
      <w:pPr>
        <w:spacing w:after="0" w:line="40" w:lineRule="exact"/>
        <w:rPr>
          <w:rFonts w:ascii="Arial" w:cs="Arial" w:eastAsia="Arial" w:hAnsi="Arial"/>
          <w:sz w:val="21"/>
          <w:szCs w:val="21"/>
          <w:color w:val="auto"/>
        </w:rPr>
      </w:pPr>
    </w:p>
    <w:p>
      <w:pPr>
        <w:ind w:left="640" w:right="120" w:hanging="319"/>
        <w:spacing w:after="0" w:line="279" w:lineRule="auto"/>
        <w:tabs>
          <w:tab w:leader="none" w:pos="635" w:val="left"/>
        </w:tabs>
        <w:numPr>
          <w:ilvl w:val="0"/>
          <w:numId w:val="7"/>
        </w:numPr>
        <w:rPr>
          <w:rFonts w:ascii="Arial" w:cs="Arial" w:eastAsia="Arial" w:hAnsi="Arial"/>
          <w:sz w:val="19"/>
          <w:szCs w:val="19"/>
          <w:color w:val="auto"/>
        </w:rPr>
      </w:pPr>
      <w:r>
        <w:rPr>
          <w:rFonts w:ascii="Arial" w:cs="Arial" w:eastAsia="Arial" w:hAnsi="Arial"/>
          <w:sz w:val="16"/>
          <w:szCs w:val="16"/>
          <w:color w:val="auto"/>
        </w:rPr>
        <w:t>Cost reimbursements due to our general partner and Westlake for services provided to us or on our behalf reduce our earnings and therefore our cash available for distribution to our unitholders. The amount and timing of such reimbursements are determined by our general partner.</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Operations</w:t>
      </w:r>
    </w:p>
    <w:p>
      <w:pPr>
        <w:spacing w:after="0" w:line="201" w:lineRule="exact"/>
        <w:rPr>
          <w:sz w:val="20"/>
          <w:szCs w:val="20"/>
          <w:color w:val="auto"/>
        </w:rPr>
      </w:pPr>
    </w:p>
    <w:p>
      <w:pPr>
        <w:ind w:left="640" w:right="20" w:hanging="319"/>
        <w:spacing w:after="0" w:line="244" w:lineRule="auto"/>
        <w:tabs>
          <w:tab w:leader="none" w:pos="635" w:val="left"/>
        </w:tabs>
        <w:numPr>
          <w:ilvl w:val="0"/>
          <w:numId w:val="8"/>
        </w:numPr>
        <w:rPr>
          <w:rFonts w:ascii="Arial" w:cs="Arial" w:eastAsia="Arial" w:hAnsi="Arial"/>
          <w:sz w:val="20"/>
          <w:szCs w:val="20"/>
          <w:color w:val="auto"/>
        </w:rPr>
      </w:pPr>
      <w:r>
        <w:rPr>
          <w:rFonts w:ascii="Arial" w:cs="Arial" w:eastAsia="Arial" w:hAnsi="Arial"/>
          <w:sz w:val="17"/>
          <w:szCs w:val="17"/>
          <w:color w:val="auto"/>
        </w:rPr>
        <w:t>Substantially all of OpCo's sales are generated at three facilities located at two sites. Any adverse developments at any of these facilities or sites could have a material adverse effect on our results of operations and therefore our ability to distribute cash to unitholders.</w:t>
      </w:r>
    </w:p>
    <w:p>
      <w:pPr>
        <w:spacing w:after="0" w:line="14" w:lineRule="exact"/>
        <w:rPr>
          <w:rFonts w:ascii="Arial" w:cs="Arial" w:eastAsia="Arial" w:hAnsi="Arial"/>
          <w:sz w:val="20"/>
          <w:szCs w:val="20"/>
          <w:color w:val="auto"/>
        </w:rPr>
      </w:pPr>
    </w:p>
    <w:p>
      <w:pPr>
        <w:ind w:left="640" w:hanging="319"/>
        <w:spacing w:after="0" w:line="231" w:lineRule="auto"/>
        <w:tabs>
          <w:tab w:leader="none" w:pos="635" w:val="left"/>
        </w:tabs>
        <w:numPr>
          <w:ilvl w:val="0"/>
          <w:numId w:val="8"/>
        </w:numPr>
        <w:rPr>
          <w:rFonts w:ascii="Arial" w:cs="Arial" w:eastAsia="Arial" w:hAnsi="Arial"/>
          <w:sz w:val="21"/>
          <w:szCs w:val="21"/>
          <w:color w:val="auto"/>
        </w:rPr>
      </w:pPr>
      <w:r>
        <w:rPr>
          <w:rFonts w:ascii="Arial" w:cs="Arial" w:eastAsia="Arial" w:hAnsi="Arial"/>
          <w:sz w:val="18"/>
          <w:szCs w:val="18"/>
          <w:color w:val="auto"/>
        </w:rPr>
        <w:t>The amount of cash we have available for distribution to holders of our units depends primarily on our cash flow and not solely on profitability, which may prevent us from making cash distributions during periods when we record net income.</w:t>
      </w:r>
    </w:p>
    <w:p>
      <w:pPr>
        <w:spacing w:after="0" w:line="28" w:lineRule="exact"/>
        <w:rPr>
          <w:rFonts w:ascii="Arial" w:cs="Arial" w:eastAsia="Arial" w:hAnsi="Arial"/>
          <w:sz w:val="21"/>
          <w:szCs w:val="21"/>
          <w:color w:val="auto"/>
        </w:rPr>
      </w:pPr>
    </w:p>
    <w:p>
      <w:pPr>
        <w:ind w:left="640" w:right="160" w:hanging="319"/>
        <w:spacing w:after="0" w:line="231" w:lineRule="auto"/>
        <w:tabs>
          <w:tab w:leader="none" w:pos="635" w:val="left"/>
        </w:tabs>
        <w:numPr>
          <w:ilvl w:val="0"/>
          <w:numId w:val="8"/>
        </w:numPr>
        <w:rPr>
          <w:rFonts w:ascii="Arial" w:cs="Arial" w:eastAsia="Arial" w:hAnsi="Arial"/>
          <w:sz w:val="21"/>
          <w:szCs w:val="21"/>
          <w:color w:val="auto"/>
        </w:rPr>
      </w:pPr>
      <w:r>
        <w:rPr>
          <w:rFonts w:ascii="Arial" w:cs="Arial" w:eastAsia="Arial" w:hAnsi="Arial"/>
          <w:sz w:val="18"/>
          <w:szCs w:val="18"/>
          <w:color w:val="auto"/>
        </w:rPr>
        <w:t>If we are unable to make acquisitions from Westlake or third parties on economically acceptable terms, our future growth would be limited, and any acquisitions we make may reduce, rather than increase, our cash generated from operations on a per unit basis.</w:t>
      </w:r>
    </w:p>
    <w:p>
      <w:pPr>
        <w:spacing w:after="0" w:line="1" w:lineRule="exact"/>
        <w:rPr>
          <w:rFonts w:ascii="Arial" w:cs="Arial" w:eastAsia="Arial" w:hAnsi="Arial"/>
          <w:sz w:val="21"/>
          <w:szCs w:val="21"/>
          <w:color w:val="auto"/>
        </w:rPr>
      </w:pPr>
    </w:p>
    <w:p>
      <w:pPr>
        <w:ind w:left="640" w:hanging="319"/>
        <w:spacing w:after="0" w:line="235" w:lineRule="auto"/>
        <w:tabs>
          <w:tab w:leader="none" w:pos="640" w:val="left"/>
        </w:tabs>
        <w:numPr>
          <w:ilvl w:val="0"/>
          <w:numId w:val="8"/>
        </w:numPr>
        <w:rPr>
          <w:rFonts w:ascii="Arial" w:cs="Arial" w:eastAsia="Arial" w:hAnsi="Arial"/>
          <w:sz w:val="21"/>
          <w:szCs w:val="21"/>
          <w:color w:val="auto"/>
        </w:rPr>
      </w:pPr>
      <w:r>
        <w:rPr>
          <w:rFonts w:ascii="Arial" w:cs="Arial" w:eastAsia="Arial" w:hAnsi="Arial"/>
          <w:sz w:val="18"/>
          <w:szCs w:val="18"/>
          <w:color w:val="auto"/>
        </w:rPr>
        <w:t>Our operations and assets are subject to climate-related risks and uncertainties.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Relating to Our Partnership Structure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General Partner</w:t>
      </w:r>
    </w:p>
    <w:p>
      <w:pPr>
        <w:spacing w:after="0" w:line="201" w:lineRule="exact"/>
        <w:rPr>
          <w:sz w:val="20"/>
          <w:szCs w:val="20"/>
          <w:color w:val="auto"/>
        </w:rPr>
      </w:pPr>
    </w:p>
    <w:p>
      <w:pPr>
        <w:jc w:val="both"/>
        <w:ind w:left="640" w:right="100" w:hanging="319"/>
        <w:spacing w:after="0"/>
        <w:tabs>
          <w:tab w:leader="none" w:pos="635" w:val="left"/>
        </w:tabs>
        <w:numPr>
          <w:ilvl w:val="0"/>
          <w:numId w:val="9"/>
        </w:numPr>
        <w:rPr>
          <w:rFonts w:ascii="Arial" w:cs="Arial" w:eastAsia="Arial" w:hAnsi="Arial"/>
          <w:sz w:val="21"/>
          <w:szCs w:val="21"/>
          <w:color w:val="auto"/>
        </w:rPr>
      </w:pPr>
      <w:r>
        <w:rPr>
          <w:rFonts w:ascii="Arial" w:cs="Arial" w:eastAsia="Arial" w:hAnsi="Arial"/>
          <w:sz w:val="18"/>
          <w:szCs w:val="18"/>
          <w:color w:val="auto"/>
        </w:rPr>
        <w:t>Westlake owns and controls our general partner, which has sole responsibility for conducting our business and managing our operations. Our general partner and its affiliates, including Westlake, may have conflicts of interest with us and have limited duties, and they may favor their own interests to our detriment and that of our unitholders.</w:t>
      </w:r>
    </w:p>
    <w:p>
      <w:pPr>
        <w:spacing w:after="0" w:line="1" w:lineRule="exact"/>
        <w:rPr>
          <w:rFonts w:ascii="Arial" w:cs="Arial" w:eastAsia="Arial" w:hAnsi="Arial"/>
          <w:sz w:val="21"/>
          <w:szCs w:val="21"/>
          <w:color w:val="auto"/>
        </w:rPr>
      </w:pPr>
    </w:p>
    <w:p>
      <w:pPr>
        <w:ind w:left="640" w:hanging="319"/>
        <w:spacing w:after="0" w:line="235" w:lineRule="auto"/>
        <w:tabs>
          <w:tab w:leader="none" w:pos="640" w:val="left"/>
        </w:tabs>
        <w:numPr>
          <w:ilvl w:val="0"/>
          <w:numId w:val="9"/>
        </w:numPr>
        <w:rPr>
          <w:rFonts w:ascii="Arial" w:cs="Arial" w:eastAsia="Arial" w:hAnsi="Arial"/>
          <w:sz w:val="21"/>
          <w:szCs w:val="21"/>
          <w:color w:val="auto"/>
        </w:rPr>
      </w:pPr>
      <w:r>
        <w:rPr>
          <w:rFonts w:ascii="Arial" w:cs="Arial" w:eastAsia="Arial" w:hAnsi="Arial"/>
          <w:sz w:val="18"/>
          <w:szCs w:val="18"/>
          <w:color w:val="auto"/>
        </w:rPr>
        <w:t>Our general partner has limited its liability regarding our obligations.</w:t>
      </w:r>
    </w:p>
    <w:p>
      <w:pPr>
        <w:spacing w:after="0" w:line="10" w:lineRule="exact"/>
        <w:rPr>
          <w:rFonts w:ascii="Arial" w:cs="Arial" w:eastAsia="Arial" w:hAnsi="Arial"/>
          <w:sz w:val="21"/>
          <w:szCs w:val="21"/>
          <w:color w:val="auto"/>
        </w:rPr>
      </w:pPr>
    </w:p>
    <w:p>
      <w:pPr>
        <w:ind w:left="640" w:hanging="319"/>
        <w:spacing w:after="0" w:line="238" w:lineRule="auto"/>
        <w:tabs>
          <w:tab w:leader="none" w:pos="640" w:val="left"/>
        </w:tabs>
        <w:numPr>
          <w:ilvl w:val="0"/>
          <w:numId w:val="9"/>
        </w:numPr>
        <w:rPr>
          <w:rFonts w:ascii="Arial" w:cs="Arial" w:eastAsia="Arial" w:hAnsi="Arial"/>
          <w:sz w:val="21"/>
          <w:szCs w:val="21"/>
          <w:color w:val="auto"/>
        </w:rPr>
      </w:pPr>
      <w:r>
        <w:rPr>
          <w:rFonts w:ascii="Arial" w:cs="Arial" w:eastAsia="Arial" w:hAnsi="Arial"/>
          <w:sz w:val="18"/>
          <w:szCs w:val="18"/>
          <w:color w:val="auto"/>
        </w:rPr>
        <w:t>Our partnership agreement replaces our general partner's fiduciary duties to holders of our units.</w:t>
      </w:r>
    </w:p>
    <w:p>
      <w:pPr>
        <w:spacing w:after="0" w:line="200" w:lineRule="exact"/>
        <w:rPr>
          <w:sz w:val="20"/>
          <w:szCs w:val="20"/>
          <w:color w:val="auto"/>
        </w:rPr>
      </w:pPr>
    </w:p>
    <w:p>
      <w:pPr>
        <w:spacing w:after="0" w:line="3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40" w:hanging="319"/>
        <w:spacing w:after="0"/>
        <w:tabs>
          <w:tab w:leader="none" w:pos="640" w:val="left"/>
        </w:tabs>
        <w:numPr>
          <w:ilvl w:val="0"/>
          <w:numId w:val="10"/>
        </w:numPr>
        <w:rPr>
          <w:rFonts w:ascii="Arial" w:cs="Arial" w:eastAsia="Arial" w:hAnsi="Arial"/>
          <w:sz w:val="21"/>
          <w:szCs w:val="21"/>
          <w:color w:val="auto"/>
        </w:rPr>
      </w:pPr>
      <w:r>
        <w:rPr>
          <w:rFonts w:ascii="Arial" w:cs="Arial" w:eastAsia="Arial" w:hAnsi="Arial"/>
          <w:sz w:val="18"/>
          <w:szCs w:val="18"/>
          <w:color w:val="auto"/>
        </w:rPr>
        <w:t>Westlake and other affiliates of our general partner may compete with us.</w:t>
      </w:r>
    </w:p>
    <w:p>
      <w:pPr>
        <w:spacing w:after="0" w:line="27" w:lineRule="exact"/>
        <w:rPr>
          <w:rFonts w:ascii="Arial" w:cs="Arial" w:eastAsia="Arial" w:hAnsi="Arial"/>
          <w:sz w:val="21"/>
          <w:szCs w:val="21"/>
          <w:color w:val="auto"/>
        </w:rPr>
      </w:pPr>
    </w:p>
    <w:p>
      <w:pPr>
        <w:ind w:left="640" w:hanging="319"/>
        <w:spacing w:after="0" w:line="231" w:lineRule="auto"/>
        <w:tabs>
          <w:tab w:leader="none" w:pos="635" w:val="left"/>
        </w:tabs>
        <w:numPr>
          <w:ilvl w:val="0"/>
          <w:numId w:val="10"/>
        </w:numPr>
        <w:rPr>
          <w:rFonts w:ascii="Arial" w:cs="Arial" w:eastAsia="Arial" w:hAnsi="Arial"/>
          <w:sz w:val="21"/>
          <w:szCs w:val="21"/>
          <w:color w:val="auto"/>
        </w:rPr>
      </w:pPr>
      <w:r>
        <w:rPr>
          <w:rFonts w:ascii="Arial" w:cs="Arial" w:eastAsia="Arial" w:hAnsi="Arial"/>
          <w:sz w:val="18"/>
          <w:szCs w:val="18"/>
          <w:color w:val="auto"/>
        </w:rPr>
        <w:t>Holders of our common units have limited voting rights and are not entitled to elect our general partner or its directors, which could reduce the price at which our common units trade.</w:t>
      </w:r>
    </w:p>
    <w:p>
      <w:pPr>
        <w:spacing w:after="0" w:line="9" w:lineRule="exact"/>
        <w:rPr>
          <w:rFonts w:ascii="Arial" w:cs="Arial" w:eastAsia="Arial" w:hAnsi="Arial"/>
          <w:sz w:val="21"/>
          <w:szCs w:val="21"/>
          <w:color w:val="auto"/>
        </w:rPr>
      </w:pPr>
    </w:p>
    <w:p>
      <w:pPr>
        <w:ind w:left="640" w:hanging="319"/>
        <w:spacing w:after="0"/>
        <w:tabs>
          <w:tab w:leader="none" w:pos="640" w:val="left"/>
        </w:tabs>
        <w:numPr>
          <w:ilvl w:val="0"/>
          <w:numId w:val="10"/>
        </w:numPr>
        <w:rPr>
          <w:rFonts w:ascii="Arial" w:cs="Arial" w:eastAsia="Arial" w:hAnsi="Arial"/>
          <w:sz w:val="21"/>
          <w:szCs w:val="21"/>
          <w:color w:val="auto"/>
        </w:rPr>
      </w:pPr>
      <w:r>
        <w:rPr>
          <w:rFonts w:ascii="Arial" w:cs="Arial" w:eastAsia="Arial" w:hAnsi="Arial"/>
          <w:sz w:val="18"/>
          <w:szCs w:val="18"/>
          <w:color w:val="auto"/>
        </w:rPr>
        <w:t>Even if holders of our common units are dissatisfied, they cannot currently remove our general partner without its consent.</w:t>
      </w:r>
    </w:p>
    <w:p>
      <w:pPr>
        <w:spacing w:after="0" w:line="21" w:lineRule="exact"/>
        <w:rPr>
          <w:rFonts w:ascii="Arial" w:cs="Arial" w:eastAsia="Arial" w:hAnsi="Arial"/>
          <w:sz w:val="21"/>
          <w:szCs w:val="21"/>
          <w:color w:val="auto"/>
        </w:rPr>
      </w:pPr>
    </w:p>
    <w:p>
      <w:pPr>
        <w:ind w:left="640" w:hanging="319"/>
        <w:spacing w:after="0"/>
        <w:tabs>
          <w:tab w:leader="none" w:pos="640" w:val="left"/>
        </w:tabs>
        <w:numPr>
          <w:ilvl w:val="0"/>
          <w:numId w:val="10"/>
        </w:numPr>
        <w:rPr>
          <w:rFonts w:ascii="Arial" w:cs="Arial" w:eastAsia="Arial" w:hAnsi="Arial"/>
          <w:sz w:val="21"/>
          <w:szCs w:val="21"/>
          <w:color w:val="auto"/>
        </w:rPr>
      </w:pPr>
      <w:r>
        <w:rPr>
          <w:rFonts w:ascii="Arial" w:cs="Arial" w:eastAsia="Arial" w:hAnsi="Arial"/>
          <w:sz w:val="18"/>
          <w:szCs w:val="18"/>
          <w:color w:val="auto"/>
        </w:rPr>
        <w:t>Control of our general partner may be transferred to a third party without unitholder consent.</w:t>
      </w:r>
    </w:p>
    <w:p>
      <w:pPr>
        <w:spacing w:after="0" w:line="10" w:lineRule="exact"/>
        <w:rPr>
          <w:rFonts w:ascii="Arial" w:cs="Arial" w:eastAsia="Arial" w:hAnsi="Arial"/>
          <w:sz w:val="21"/>
          <w:szCs w:val="21"/>
          <w:color w:val="auto"/>
        </w:rPr>
      </w:pPr>
    </w:p>
    <w:p>
      <w:pPr>
        <w:ind w:left="640" w:hanging="319"/>
        <w:spacing w:after="0" w:line="238" w:lineRule="auto"/>
        <w:tabs>
          <w:tab w:leader="none" w:pos="640" w:val="left"/>
        </w:tabs>
        <w:numPr>
          <w:ilvl w:val="0"/>
          <w:numId w:val="10"/>
        </w:numPr>
        <w:rPr>
          <w:rFonts w:ascii="Arial" w:cs="Arial" w:eastAsia="Arial" w:hAnsi="Arial"/>
          <w:sz w:val="21"/>
          <w:szCs w:val="21"/>
          <w:color w:val="auto"/>
        </w:rPr>
      </w:pPr>
      <w:r>
        <w:rPr>
          <w:rFonts w:ascii="Arial" w:cs="Arial" w:eastAsia="Arial" w:hAnsi="Arial"/>
          <w:sz w:val="18"/>
          <w:szCs w:val="18"/>
          <w:color w:val="auto"/>
        </w:rPr>
        <w:t>Our general partner has a call right that may require unitholders to sell their common units at an undesirable time or price.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Distributions to Unitholders</w:t>
      </w:r>
    </w:p>
    <w:p>
      <w:pPr>
        <w:spacing w:after="0" w:line="201" w:lineRule="exact"/>
        <w:rPr>
          <w:sz w:val="20"/>
          <w:szCs w:val="20"/>
          <w:color w:val="auto"/>
        </w:rPr>
      </w:pPr>
    </w:p>
    <w:p>
      <w:pPr>
        <w:ind w:left="640" w:hanging="319"/>
        <w:spacing w:after="0" w:line="231" w:lineRule="auto"/>
        <w:tabs>
          <w:tab w:leader="none" w:pos="635" w:val="left"/>
        </w:tabs>
        <w:numPr>
          <w:ilvl w:val="0"/>
          <w:numId w:val="11"/>
        </w:numPr>
        <w:rPr>
          <w:rFonts w:ascii="Arial" w:cs="Arial" w:eastAsia="Arial" w:hAnsi="Arial"/>
          <w:sz w:val="21"/>
          <w:szCs w:val="21"/>
          <w:color w:val="auto"/>
        </w:rPr>
      </w:pPr>
      <w:r>
        <w:rPr>
          <w:rFonts w:ascii="Arial" w:cs="Arial" w:eastAsia="Arial" w:hAnsi="Arial"/>
          <w:sz w:val="18"/>
          <w:szCs w:val="18"/>
          <w:color w:val="auto"/>
        </w:rPr>
        <w:t>The board of directors may modify or revoke our cash distribution policy at any time at its discretion. Our partnership agreement does not require us to pay any distributions at all.</w:t>
      </w:r>
    </w:p>
    <w:p>
      <w:pPr>
        <w:spacing w:after="0" w:line="21" w:lineRule="exact"/>
        <w:rPr>
          <w:rFonts w:ascii="Arial" w:cs="Arial" w:eastAsia="Arial" w:hAnsi="Arial"/>
          <w:sz w:val="21"/>
          <w:szCs w:val="21"/>
          <w:color w:val="auto"/>
        </w:rPr>
      </w:pPr>
    </w:p>
    <w:p>
      <w:pPr>
        <w:ind w:left="640" w:hanging="319"/>
        <w:spacing w:after="0"/>
        <w:tabs>
          <w:tab w:leader="none" w:pos="640" w:val="left"/>
        </w:tabs>
        <w:numPr>
          <w:ilvl w:val="0"/>
          <w:numId w:val="11"/>
        </w:numPr>
        <w:rPr>
          <w:rFonts w:ascii="Arial" w:cs="Arial" w:eastAsia="Arial" w:hAnsi="Arial"/>
          <w:sz w:val="20"/>
          <w:szCs w:val="20"/>
          <w:color w:val="auto"/>
        </w:rPr>
      </w:pPr>
      <w:r>
        <w:rPr>
          <w:rFonts w:ascii="Arial" w:cs="Arial" w:eastAsia="Arial" w:hAnsi="Arial"/>
          <w:sz w:val="17"/>
          <w:szCs w:val="17"/>
          <w:color w:val="auto"/>
        </w:rPr>
        <w:t>We expect to distribute a significant portion of our available cash to our partners, which could limit our ability to grow and make acquisitions.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Ownership of Our Common Units</w:t>
      </w:r>
    </w:p>
    <w:p>
      <w:pPr>
        <w:spacing w:after="0" w:line="182" w:lineRule="exact"/>
        <w:rPr>
          <w:sz w:val="20"/>
          <w:szCs w:val="20"/>
          <w:color w:val="auto"/>
        </w:rPr>
      </w:pPr>
    </w:p>
    <w:p>
      <w:pPr>
        <w:ind w:left="640" w:hanging="319"/>
        <w:spacing w:after="0"/>
        <w:tabs>
          <w:tab w:leader="none" w:pos="640" w:val="left"/>
        </w:tabs>
        <w:numPr>
          <w:ilvl w:val="0"/>
          <w:numId w:val="12"/>
        </w:numPr>
        <w:rPr>
          <w:rFonts w:ascii="Arial" w:cs="Arial" w:eastAsia="Arial" w:hAnsi="Arial"/>
          <w:sz w:val="21"/>
          <w:szCs w:val="21"/>
          <w:color w:val="auto"/>
        </w:rPr>
      </w:pPr>
      <w:r>
        <w:rPr>
          <w:rFonts w:ascii="Arial" w:cs="Arial" w:eastAsia="Arial" w:hAnsi="Arial"/>
          <w:sz w:val="18"/>
          <w:szCs w:val="18"/>
          <w:color w:val="auto"/>
        </w:rPr>
        <w:t>We may issue additional units without unitholder approval, which would dilute existing unitholder ownership interests.</w:t>
      </w:r>
    </w:p>
    <w:p>
      <w:pPr>
        <w:spacing w:after="0" w:line="40" w:lineRule="exact"/>
        <w:rPr>
          <w:rFonts w:ascii="Arial" w:cs="Arial" w:eastAsia="Arial" w:hAnsi="Arial"/>
          <w:sz w:val="21"/>
          <w:szCs w:val="21"/>
          <w:color w:val="auto"/>
        </w:rPr>
      </w:pPr>
    </w:p>
    <w:p>
      <w:pPr>
        <w:ind w:left="640" w:right="540" w:hanging="319"/>
        <w:spacing w:after="0" w:line="231" w:lineRule="auto"/>
        <w:tabs>
          <w:tab w:leader="none" w:pos="635" w:val="left"/>
        </w:tabs>
        <w:numPr>
          <w:ilvl w:val="0"/>
          <w:numId w:val="12"/>
        </w:numPr>
        <w:rPr>
          <w:rFonts w:ascii="Arial" w:cs="Arial" w:eastAsia="Arial" w:hAnsi="Arial"/>
          <w:sz w:val="21"/>
          <w:szCs w:val="21"/>
          <w:color w:val="auto"/>
        </w:rPr>
      </w:pPr>
      <w:r>
        <w:rPr>
          <w:rFonts w:ascii="Arial" w:cs="Arial" w:eastAsia="Arial" w:hAnsi="Arial"/>
          <w:sz w:val="18"/>
          <w:szCs w:val="18"/>
          <w:color w:val="auto"/>
        </w:rPr>
        <w:t>The market price of our common units could be adversely affected by sales of substantial amounts of our common units in the public or private markets, including sales by Westlake or other large holders.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Risks</w:t>
      </w:r>
    </w:p>
    <w:p>
      <w:pPr>
        <w:spacing w:after="0" w:line="201" w:lineRule="exact"/>
        <w:rPr>
          <w:sz w:val="20"/>
          <w:szCs w:val="20"/>
          <w:color w:val="auto"/>
        </w:rPr>
      </w:pPr>
    </w:p>
    <w:p>
      <w:pPr>
        <w:ind w:left="640" w:right="100" w:hanging="319"/>
        <w:spacing w:after="0" w:line="241" w:lineRule="auto"/>
        <w:tabs>
          <w:tab w:leader="none" w:pos="635" w:val="left"/>
        </w:tabs>
        <w:numPr>
          <w:ilvl w:val="0"/>
          <w:numId w:val="13"/>
        </w:numPr>
        <w:rPr>
          <w:rFonts w:ascii="Arial" w:cs="Arial" w:eastAsia="Arial" w:hAnsi="Arial"/>
          <w:sz w:val="21"/>
          <w:szCs w:val="21"/>
          <w:color w:val="auto"/>
        </w:rPr>
      </w:pPr>
      <w:r>
        <w:rPr>
          <w:rFonts w:ascii="Arial" w:cs="Arial" w:eastAsia="Arial" w:hAnsi="Arial"/>
          <w:sz w:val="18"/>
          <w:szCs w:val="18"/>
          <w:color w:val="auto"/>
        </w:rPr>
        <w:t>Our tax treatment depends on our status as a partnership for U.S. federal income tax purposes, and not being subject to a material amount of entity-level taxation. Our cash available for distribution to unitholders may be substantially reduced if we become subject to entity-level taxation as a result of the Internal Revenue Service ("IRS") treating us as a corporation or legislative, judicial or administrative changes, and may also be reduced by any audit adjustments if imposed directly on the partnership.</w:t>
      </w:r>
    </w:p>
    <w:p>
      <w:pPr>
        <w:spacing w:after="0" w:line="28" w:lineRule="exact"/>
        <w:rPr>
          <w:rFonts w:ascii="Arial" w:cs="Arial" w:eastAsia="Arial" w:hAnsi="Arial"/>
          <w:sz w:val="21"/>
          <w:szCs w:val="21"/>
          <w:color w:val="auto"/>
        </w:rPr>
      </w:pPr>
    </w:p>
    <w:p>
      <w:pPr>
        <w:ind w:left="640" w:right="200" w:hanging="319"/>
        <w:spacing w:after="0" w:line="235" w:lineRule="auto"/>
        <w:tabs>
          <w:tab w:leader="none" w:pos="635" w:val="left"/>
        </w:tabs>
        <w:numPr>
          <w:ilvl w:val="0"/>
          <w:numId w:val="13"/>
        </w:numPr>
        <w:rPr>
          <w:rFonts w:ascii="Arial" w:cs="Arial" w:eastAsia="Arial" w:hAnsi="Arial"/>
          <w:sz w:val="21"/>
          <w:szCs w:val="21"/>
          <w:color w:val="auto"/>
        </w:rPr>
      </w:pPr>
      <w:r>
        <w:rPr>
          <w:rFonts w:ascii="Arial" w:cs="Arial" w:eastAsia="Arial" w:hAnsi="Arial"/>
          <w:sz w:val="18"/>
          <w:szCs w:val="18"/>
          <w:color w:val="auto"/>
        </w:rPr>
        <w:t>Even if unitholders do not receive any cash distributions from us, unitholders will be required to pay taxes on their share of our taxable income. A unitholder's share of our taxable income may be increased as a result of the IRS successfully contesting any of the U.S. federal income tax positions we take.</w:t>
      </w:r>
    </w:p>
    <w:p>
      <w:pPr>
        <w:spacing w:after="0" w:line="29" w:lineRule="exact"/>
        <w:rPr>
          <w:rFonts w:ascii="Arial" w:cs="Arial" w:eastAsia="Arial" w:hAnsi="Arial"/>
          <w:sz w:val="21"/>
          <w:szCs w:val="21"/>
          <w:color w:val="auto"/>
        </w:rPr>
      </w:pPr>
    </w:p>
    <w:p>
      <w:pPr>
        <w:ind w:left="640" w:right="260" w:hanging="319"/>
        <w:spacing w:after="0" w:line="231" w:lineRule="auto"/>
        <w:tabs>
          <w:tab w:leader="none" w:pos="635" w:val="left"/>
        </w:tabs>
        <w:numPr>
          <w:ilvl w:val="0"/>
          <w:numId w:val="13"/>
        </w:numPr>
        <w:rPr>
          <w:rFonts w:ascii="Arial" w:cs="Arial" w:eastAsia="Arial" w:hAnsi="Arial"/>
          <w:sz w:val="21"/>
          <w:szCs w:val="21"/>
          <w:color w:val="auto"/>
        </w:rPr>
      </w:pPr>
      <w:r>
        <w:rPr>
          <w:rFonts w:ascii="Arial" w:cs="Arial" w:eastAsia="Arial" w:hAnsi="Arial"/>
          <w:sz w:val="18"/>
          <w:szCs w:val="18"/>
          <w:color w:val="auto"/>
        </w:rPr>
        <w:t>Tax-exempt entities and non-U.S. unitholders face unique tax issues from owning our common units that may result in adverse tax consequences to them.</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Risks Inherent in Our Business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Operational Relationship with Westlake</w:t>
      </w:r>
    </w:p>
    <w:p>
      <w:pPr>
        <w:spacing w:after="0" w:line="240" w:lineRule="exact"/>
        <w:rPr>
          <w:sz w:val="20"/>
          <w:szCs w:val="20"/>
          <w:color w:val="auto"/>
        </w:rPr>
      </w:pPr>
    </w:p>
    <w:p>
      <w:pPr>
        <w:spacing w:after="0" w:line="327" w:lineRule="auto"/>
        <w:rPr>
          <w:sz w:val="20"/>
          <w:szCs w:val="20"/>
          <w:color w:val="auto"/>
        </w:rPr>
      </w:pPr>
      <w:r>
        <w:rPr>
          <w:rFonts w:ascii="Arial" w:cs="Arial" w:eastAsia="Arial" w:hAnsi="Arial"/>
          <w:sz w:val="15"/>
          <w:szCs w:val="15"/>
          <w:b w:val="1"/>
          <w:bCs w:val="1"/>
          <w:i w:val="1"/>
          <w:iCs w:val="1"/>
          <w:color w:val="auto"/>
        </w:rPr>
        <w:t>We are substantially dependent on Westlake for our cash flows. If Westlake does not pay us under the terms of the Ethylene Sales Agreement or if our assets fail to perform as intended, we may not have sufficient cash from operations following the establishment of cash reserves and payment of costs and expenses, including cost reimbursements to our general partner and its affiliates, to enable us to pay the minimum quarterly distribution to our unitholders.</w:t>
      </w:r>
    </w:p>
    <w:p>
      <w:pPr>
        <w:spacing w:after="0" w:line="19" w:lineRule="exact"/>
        <w:rPr>
          <w:sz w:val="20"/>
          <w:szCs w:val="20"/>
          <w:color w:val="auto"/>
        </w:rPr>
      </w:pPr>
    </w:p>
    <w:p>
      <w:pPr>
        <w:ind w:right="80" w:firstLine="395"/>
        <w:spacing w:after="0" w:line="279" w:lineRule="auto"/>
        <w:rPr>
          <w:sz w:val="20"/>
          <w:szCs w:val="20"/>
          <w:color w:val="auto"/>
        </w:rPr>
      </w:pPr>
      <w:r>
        <w:rPr>
          <w:rFonts w:ascii="Arial" w:cs="Arial" w:eastAsia="Arial" w:hAnsi="Arial"/>
          <w:sz w:val="16"/>
          <w:szCs w:val="16"/>
          <w:color w:val="auto"/>
        </w:rPr>
        <w:t>Currently, all of our cash flow is generated from cash distributions from OpCo, and a substantial majority of OpCo's cash flow is generated from payments by Westlake under the Ethylene Sales Agreement. Westlake's obligations to purchase ethylene under the Ethylene Sales Agreement may be temporarily suspended to the extent OpCo is unable to perform its obligations caused by any of certain events outside the reasonable control of OpCo. Such events include, for example, acts of God or calamities which affect the operation of OpCo's facilities; certain labor difficulties (whether or not the demands of the employees are within the power of OpCo to concede); and governmental orders or laws. In addition, Westlake is not obligated to purchase ethylene with respect to any period during which OpCo's facilities are not operating due to scheduled or unscheduled maintenance or turnarounds other than under certain circumstances relating to the occurrence of force majeure. We expect that each of OpCo's facilities will have a turnaround approximately once every five years and will not operate for typically between 30 and 60 days during each turnaround by itself. However, the duration of a turnaround by itself may be longer than expected or may cost more than originally estimated. Furthermore, expansions may also coincide with turnarounds, which may complicate and delay the completion of such turnarounds. A suspension of Westlake's obligations under the Ethylene Sales Agreement, including during periods where OpCo's facilities are not operating due to scheduled or unscheduled maintenance or turnarounds, would reduce OpCo's revenues and cash flows, and could materially adversely affect our ability to make distributions to our unitholders.</w:t>
      </w:r>
    </w:p>
    <w:p>
      <w:pPr>
        <w:spacing w:after="0" w:line="118" w:lineRule="exact"/>
        <w:rPr>
          <w:sz w:val="20"/>
          <w:szCs w:val="20"/>
          <w:color w:val="auto"/>
        </w:rPr>
      </w:pPr>
    </w:p>
    <w:p>
      <w:pPr>
        <w:ind w:right="60" w:firstLine="395"/>
        <w:spacing w:after="0" w:line="279" w:lineRule="auto"/>
        <w:rPr>
          <w:sz w:val="20"/>
          <w:szCs w:val="20"/>
          <w:color w:val="auto"/>
        </w:rPr>
      </w:pPr>
      <w:r>
        <w:rPr>
          <w:rFonts w:ascii="Arial" w:cs="Arial" w:eastAsia="Arial" w:hAnsi="Arial"/>
          <w:sz w:val="16"/>
          <w:szCs w:val="16"/>
          <w:color w:val="auto"/>
        </w:rPr>
        <w:t>Westlake may be unable to generate enough cash flow from operations to meet its minimum obligations under the Ethylene Sales Agreement if its business is adversely impacted by competition, operational problems, general adverse economic conditions or the inability to obtain feedstock. For example, lower prices of crude oil, such as the prices experienced from the third quarter of 2014 through 2020 led to a reduction in the cost advantage for natural gas liquids-based ethylene derivatives in North America, such as Westlake's, as compared to naphtha-based ethylene derivatives. As a result, Westlake's margins and cash flows were negatively impacted. If Westlake were unable to meet its minimum payment obligations to OpCo as a result of any one or more of these factors, our ability to make distributions to our unitholders would be reduced or eliminated. The level of payments made by Westlake will depend upon its ability to pay its minimum obligations under the Ethylene Sales Agreement and its ability and election to increase volumes above the minimums specified in the Ethylene Sales Agreement, which in turn are dependent upon, among other things, the level of production at Westlake's other facilities. If Westlake is unable to generate sufficient cash flow from its operations to meet its obligations, or otherwise defaults on its obligations, under the Ethylene Sales Agreement, OpCo will not have sufficient available cash to distribute to us to enable us to pay the minimum quarterly distribution, which will fluctuate from quarter to quarter based on the following factors, some of which are beyond our control:</w:t>
      </w:r>
    </w:p>
    <w:p>
      <w:pPr>
        <w:spacing w:after="0" w:line="55" w:lineRule="exact"/>
        <w:rPr>
          <w:sz w:val="20"/>
          <w:szCs w:val="20"/>
          <w:color w:val="auto"/>
        </w:rPr>
      </w:pPr>
    </w:p>
    <w:p>
      <w:pPr>
        <w:ind w:left="640" w:right="340" w:hanging="319"/>
        <w:spacing w:after="0" w:line="261" w:lineRule="auto"/>
        <w:tabs>
          <w:tab w:leader="none" w:pos="636"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severe financial hardship or bankruptcy of Westlake or one of our other customers, or the occurrence of other events affecting our ability to collect payments from Westlake or our other customers, including any of our customers' default;</w:t>
      </w:r>
    </w:p>
    <w:p>
      <w:pPr>
        <w:spacing w:after="0" w:line="49" w:lineRule="exact"/>
        <w:rPr>
          <w:rFonts w:ascii="Arial" w:cs="Arial" w:eastAsia="Arial" w:hAnsi="Arial"/>
          <w:sz w:val="18"/>
          <w:szCs w:val="18"/>
          <w:color w:val="auto"/>
        </w:rPr>
      </w:pPr>
    </w:p>
    <w:p>
      <w:pPr>
        <w:ind w:left="640" w:right="660" w:hanging="319"/>
        <w:spacing w:after="0" w:line="261" w:lineRule="auto"/>
        <w:tabs>
          <w:tab w:leader="none" w:pos="636" w:val="left"/>
        </w:tabs>
        <w:numPr>
          <w:ilvl w:val="0"/>
          <w:numId w:val="14"/>
        </w:numPr>
        <w:rPr>
          <w:rFonts w:ascii="Arial" w:cs="Arial" w:eastAsia="Arial" w:hAnsi="Arial"/>
          <w:sz w:val="18"/>
          <w:szCs w:val="18"/>
          <w:color w:val="auto"/>
        </w:rPr>
      </w:pPr>
      <w:r>
        <w:rPr>
          <w:rFonts w:ascii="Arial" w:cs="Arial" w:eastAsia="Arial" w:hAnsi="Arial"/>
          <w:sz w:val="18"/>
          <w:szCs w:val="18"/>
          <w:color w:val="auto"/>
        </w:rPr>
        <w:t>volatility and cyclical downturns in the chemicals industry and other industries which materially and adversely impact Westlake and our other customers;</w:t>
      </w:r>
    </w:p>
    <w:p>
      <w:pPr>
        <w:spacing w:after="0" w:line="62" w:lineRule="exact"/>
        <w:rPr>
          <w:rFonts w:ascii="Arial" w:cs="Arial" w:eastAsia="Arial" w:hAnsi="Arial"/>
          <w:sz w:val="18"/>
          <w:szCs w:val="18"/>
          <w:color w:val="auto"/>
        </w:rPr>
      </w:pPr>
    </w:p>
    <w:p>
      <w:pPr>
        <w:ind w:left="640" w:hanging="319"/>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Westlake's inability to perform, or any other default on its obligations, under the Ethylene Sales Agreement;</w:t>
      </w:r>
    </w:p>
    <w:p>
      <w:pPr>
        <w:spacing w:after="0" w:line="95" w:lineRule="exact"/>
        <w:rPr>
          <w:rFonts w:ascii="Arial" w:cs="Arial" w:eastAsia="Arial" w:hAnsi="Arial"/>
          <w:sz w:val="18"/>
          <w:szCs w:val="18"/>
          <w:color w:val="auto"/>
        </w:rPr>
      </w:pPr>
    </w:p>
    <w:p>
      <w:pPr>
        <w:ind w:left="640" w:right="260" w:hanging="319"/>
        <w:spacing w:after="0" w:line="261" w:lineRule="auto"/>
        <w:tabs>
          <w:tab w:leader="none" w:pos="636"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age of, and changes in the reliability, efficiency and capacity of the various equipment and operating facilities used in OpCo's operations, and in the operations of Westlake and our other customers, business partners and/or suppliers;</w:t>
      </w:r>
    </w:p>
    <w:p>
      <w:pPr>
        <w:spacing w:after="0" w:line="49" w:lineRule="exact"/>
        <w:rPr>
          <w:rFonts w:ascii="Arial" w:cs="Arial" w:eastAsia="Arial" w:hAnsi="Arial"/>
          <w:sz w:val="18"/>
          <w:szCs w:val="18"/>
          <w:color w:val="auto"/>
        </w:rPr>
      </w:pPr>
    </w:p>
    <w:p>
      <w:pPr>
        <w:ind w:left="640" w:hanging="319"/>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cost of environmental remediation at OpCo's facilities not covered by Westlake or third parties;</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expected operating levels of OpCo's assets;</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OpCo's ability to meet minimum volume requirements, yield standards and ethylene quality requirements in the Ethylene Sales Agreement;</w:t>
      </w:r>
    </w:p>
    <w:p>
      <w:pPr>
        <w:spacing w:after="0" w:line="105" w:lineRule="exact"/>
        <w:rPr>
          <w:rFonts w:ascii="Arial" w:cs="Arial" w:eastAsia="Arial" w:hAnsi="Arial"/>
          <w:sz w:val="16"/>
          <w:szCs w:val="16"/>
          <w:color w:val="auto"/>
        </w:rPr>
      </w:pPr>
    </w:p>
    <w:p>
      <w:pPr>
        <w:ind w:left="640" w:right="100" w:hanging="319"/>
        <w:spacing w:after="0" w:line="261" w:lineRule="auto"/>
        <w:tabs>
          <w:tab w:leader="none" w:pos="636" w:val="left"/>
        </w:tabs>
        <w:numPr>
          <w:ilvl w:val="0"/>
          <w:numId w:val="14"/>
        </w:numPr>
        <w:rPr>
          <w:rFonts w:ascii="Arial" w:cs="Arial" w:eastAsia="Arial" w:hAnsi="Arial"/>
          <w:sz w:val="18"/>
          <w:szCs w:val="18"/>
          <w:color w:val="auto"/>
        </w:rPr>
      </w:pPr>
      <w:r>
        <w:rPr>
          <w:rFonts w:ascii="Arial" w:cs="Arial" w:eastAsia="Arial" w:hAnsi="Arial"/>
          <w:sz w:val="18"/>
          <w:szCs w:val="18"/>
          <w:color w:val="auto"/>
        </w:rPr>
        <w:t>OpCo's ability to renew the Ethylene Sales Agreement or to enter into new, long-term agreements for the sale of ethylene under terms similar or more favorable;</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40" w:right="20" w:hanging="319"/>
        <w:spacing w:after="0" w:line="299" w:lineRule="auto"/>
        <w:tabs>
          <w:tab w:leader="none" w:pos="636"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in the marketplace that may affect supply and demand for ethane or ethylene, including decreased availability of ethane (which may result from greater restrictions on hydraulic fracturing, any reduction in hydraulic fracturing due to low crude oil prices or exports of natural gas liquids from the United States, for example), increased production of ethylene or export of ethane or ethylene from the United States;</w:t>
      </w:r>
    </w:p>
    <w:p>
      <w:pPr>
        <w:spacing w:after="0" w:line="22" w:lineRule="exact"/>
        <w:rPr>
          <w:rFonts w:ascii="Arial" w:cs="Arial" w:eastAsia="Arial" w:hAnsi="Arial"/>
          <w:sz w:val="16"/>
          <w:szCs w:val="16"/>
          <w:color w:val="auto"/>
        </w:rPr>
      </w:pPr>
    </w:p>
    <w:p>
      <w:pPr>
        <w:ind w:left="640" w:hanging="319"/>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overall levels of production, production capacity, pricing and/or margins for ethylene;</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OpCo's ability to secure adequate supplies of ethane, other feedstocks and natural gas from Westlake or third parties;</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need to use higher priced or less attractive feedstock due to the unavailability of ethane;</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effects of pipeline, railroad, barge, truck and other transportation performance and costs, including any transportation disruptions;</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availability and cost of labor;</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risks related to employees and workplace safety;</w:t>
      </w:r>
    </w:p>
    <w:p>
      <w:pPr>
        <w:spacing w:after="0" w:line="82" w:lineRule="exact"/>
        <w:rPr>
          <w:rFonts w:ascii="Arial" w:cs="Arial" w:eastAsia="Arial" w:hAnsi="Arial"/>
          <w:sz w:val="18"/>
          <w:szCs w:val="18"/>
          <w:color w:val="auto"/>
        </w:rPr>
      </w:pPr>
    </w:p>
    <w:p>
      <w:pPr>
        <w:ind w:left="640" w:right="500" w:hanging="319"/>
        <w:spacing w:after="0" w:line="261" w:lineRule="auto"/>
        <w:tabs>
          <w:tab w:leader="none" w:pos="636"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effects of adverse events relating to the operation of OpCo's facilities and to the transportation and storage of hazardous materials (including equipment malfunction, explosions, fires, spills and the effects of severe weather conditions);</w:t>
      </w:r>
    </w:p>
    <w:p>
      <w:pPr>
        <w:spacing w:after="0" w:line="62" w:lineRule="exact"/>
        <w:rPr>
          <w:rFonts w:ascii="Arial" w:cs="Arial" w:eastAsia="Arial" w:hAnsi="Arial"/>
          <w:sz w:val="18"/>
          <w:szCs w:val="18"/>
          <w:color w:val="auto"/>
        </w:rPr>
      </w:pPr>
    </w:p>
    <w:p>
      <w:pPr>
        <w:ind w:left="640" w:hanging="319"/>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product specifications for the ethylene that we produce;</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in insurance markets and the level, types and costs of coverage available, and the financial ability of our insurers to meet their obligations;</w:t>
      </w:r>
    </w:p>
    <w:p>
      <w:pPr>
        <w:spacing w:after="0" w:line="105" w:lineRule="exact"/>
        <w:rPr>
          <w:rFonts w:ascii="Arial" w:cs="Arial" w:eastAsia="Arial" w:hAnsi="Arial"/>
          <w:sz w:val="16"/>
          <w:szCs w:val="16"/>
          <w:color w:val="auto"/>
        </w:rPr>
      </w:pPr>
    </w:p>
    <w:p>
      <w:pPr>
        <w:ind w:left="640" w:hanging="319"/>
        <w:spacing w:after="0"/>
        <w:tabs>
          <w:tab w:leader="none" w:pos="6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changes in, or new, statutes, regulations or governmental policies by federal, state and local authorities with respect to protection of the environment;</w:t>
      </w:r>
    </w:p>
    <w:p>
      <w:pPr>
        <w:spacing w:after="0" w:line="118" w:lineRule="exact"/>
        <w:rPr>
          <w:rFonts w:ascii="Arial" w:cs="Arial" w:eastAsia="Arial" w:hAnsi="Arial"/>
          <w:sz w:val="16"/>
          <w:szCs w:val="16"/>
          <w:color w:val="auto"/>
        </w:rPr>
      </w:pPr>
    </w:p>
    <w:p>
      <w:pPr>
        <w:ind w:left="640" w:hanging="319"/>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accounting rules and/or tax laws or their interpretations;</w:t>
      </w:r>
    </w:p>
    <w:p>
      <w:pPr>
        <w:spacing w:after="0" w:line="95" w:lineRule="exact"/>
        <w:rPr>
          <w:rFonts w:ascii="Arial" w:cs="Arial" w:eastAsia="Arial" w:hAnsi="Arial"/>
          <w:sz w:val="18"/>
          <w:szCs w:val="18"/>
          <w:color w:val="auto"/>
        </w:rPr>
      </w:pPr>
    </w:p>
    <w:p>
      <w:pPr>
        <w:ind w:left="640" w:right="460" w:hanging="319"/>
        <w:spacing w:after="0" w:line="261" w:lineRule="auto"/>
        <w:tabs>
          <w:tab w:leader="none" w:pos="636" w:val="left"/>
        </w:tabs>
        <w:numPr>
          <w:ilvl w:val="0"/>
          <w:numId w:val="15"/>
        </w:numPr>
        <w:rPr>
          <w:rFonts w:ascii="Arial" w:cs="Arial" w:eastAsia="Arial" w:hAnsi="Arial"/>
          <w:sz w:val="18"/>
          <w:szCs w:val="18"/>
          <w:color w:val="auto"/>
        </w:rPr>
      </w:pPr>
      <w:r>
        <w:rPr>
          <w:rFonts w:ascii="Arial" w:cs="Arial" w:eastAsia="Arial" w:hAnsi="Arial"/>
          <w:sz w:val="18"/>
          <w:szCs w:val="18"/>
          <w:color w:val="auto"/>
        </w:rPr>
        <w:t>nonperformance or force majeure by, or disputes with or changes in contract terms with, Westlake, our other major customers, suppliers, dealers, distributors or other business partners; and</w:t>
      </w:r>
    </w:p>
    <w:p>
      <w:pPr>
        <w:spacing w:after="0" w:line="49" w:lineRule="exact"/>
        <w:rPr>
          <w:rFonts w:ascii="Arial" w:cs="Arial" w:eastAsia="Arial" w:hAnsi="Arial"/>
          <w:sz w:val="18"/>
          <w:szCs w:val="18"/>
          <w:color w:val="auto"/>
        </w:rPr>
      </w:pPr>
    </w:p>
    <w:p>
      <w:pPr>
        <w:ind w:left="640" w:hanging="319"/>
        <w:spacing w:after="0"/>
        <w:tabs>
          <w:tab w:leader="none" w:pos="6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or new, statutes, regulations, governmental policies and taxes, or their interpretations.</w:t>
      </w:r>
    </w:p>
    <w:p>
      <w:pPr>
        <w:spacing w:after="0" w:line="161"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addition, the actual amount of cash we will have available for distribution will depend on other factors, including:</w:t>
      </w:r>
    </w:p>
    <w:p>
      <w:pPr>
        <w:spacing w:after="0" w:line="96" w:lineRule="exact"/>
        <w:rPr>
          <w:sz w:val="20"/>
          <w:szCs w:val="20"/>
          <w:color w:val="auto"/>
        </w:rPr>
      </w:pPr>
    </w:p>
    <w:p>
      <w:pPr>
        <w:ind w:left="640" w:right="100" w:hanging="319"/>
        <w:spacing w:after="0" w:line="299" w:lineRule="auto"/>
        <w:tabs>
          <w:tab w:leader="none" w:pos="636"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amount of cash we or OpCo are able to generate from sales of ethylene, and associated co-products, to third parties, which will be impacted by changes in prices for ethane (or other feedstocks), natural gas, ethylene and co-products and lower prices of crude oil, such as those experienced from the third quarter of 2014 through 2020, and could be less than the margin we earn from ethylene sales to Westlake;</w:t>
      </w:r>
    </w:p>
    <w:p>
      <w:pPr>
        <w:spacing w:after="0" w:line="36" w:lineRule="exact"/>
        <w:rPr>
          <w:rFonts w:ascii="Arial" w:cs="Arial" w:eastAsia="Arial" w:hAnsi="Arial"/>
          <w:sz w:val="16"/>
          <w:szCs w:val="16"/>
          <w:color w:val="auto"/>
        </w:rPr>
      </w:pPr>
    </w:p>
    <w:p>
      <w:pPr>
        <w:ind w:left="640" w:hanging="319"/>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level of capital expenditures we or OpCo make;</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acquisitions;</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construction costs;</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fluctuations in our or OpCo's working capital needs;</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or OpCo's ability to borrow funds (including under our or OpCo's revolving credit facilities) and access capital markets;</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or OpCo's debt service requirements and other liabilities;</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restrictions contained in our or OpCo's existing or future debt agreements; and</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 of cash reserves established by our general partner.</w:t>
      </w:r>
    </w:p>
    <w:p>
      <w:pPr>
        <w:spacing w:after="0" w:line="161" w:lineRule="exact"/>
        <w:rPr>
          <w:sz w:val="20"/>
          <w:szCs w:val="20"/>
          <w:color w:val="auto"/>
        </w:rPr>
      </w:pPr>
    </w:p>
    <w:p>
      <w:pPr>
        <w:jc w:val="both"/>
        <w:ind w:firstLine="395"/>
        <w:spacing w:after="0" w:line="250" w:lineRule="auto"/>
        <w:rPr>
          <w:sz w:val="20"/>
          <w:szCs w:val="20"/>
          <w:color w:val="auto"/>
        </w:rPr>
      </w:pPr>
      <w:r>
        <w:rPr>
          <w:rFonts w:ascii="Arial" w:cs="Arial" w:eastAsia="Arial" w:hAnsi="Arial"/>
          <w:sz w:val="18"/>
          <w:szCs w:val="18"/>
          <w:color w:val="auto"/>
        </w:rPr>
        <w:t>We will require a significant amount of cash to service our debt and OpCo's debt, including borrowings under our and OpCo's credit facilities with Westlake. Our ability to make payments on and refinance this debt will depend on our ability to generate cash in the future, which is subject to the same factors described above in connection with our ability to pay quarterly distributions to unitholders. Cash that is used to service debt will be unavailable for distributions to our unitholders.</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100"/>
        <w:spacing w:after="0" w:line="327" w:lineRule="auto"/>
        <w:rPr>
          <w:sz w:val="20"/>
          <w:szCs w:val="20"/>
          <w:color w:val="auto"/>
        </w:rPr>
      </w:pPr>
      <w:r>
        <w:rPr>
          <w:rFonts w:ascii="Arial" w:cs="Arial" w:eastAsia="Arial" w:hAnsi="Arial"/>
          <w:sz w:val="15"/>
          <w:szCs w:val="15"/>
          <w:b w:val="1"/>
          <w:bCs w:val="1"/>
          <w:i w:val="1"/>
          <w:iCs w:val="1"/>
          <w:color w:val="auto"/>
        </w:rPr>
        <w:t>OpCo is subject to the credit risk of Westlake on a substantial majority of its revenues, and Westlake's leverage and creditworthiness could adversely affect our ability to make distributions to our unitholders. The impact and effects of public health crises, pandemics and epidemics, including the ongoing coronavirus (COVID-19) pandemic, could materially adversely affect Westlake's business, financial condition and results of operations.</w:t>
      </w:r>
    </w:p>
    <w:p>
      <w:pPr>
        <w:spacing w:after="0" w:line="6" w:lineRule="exact"/>
        <w:rPr>
          <w:sz w:val="20"/>
          <w:szCs w:val="20"/>
          <w:color w:val="auto"/>
        </w:rPr>
      </w:pPr>
    </w:p>
    <w:p>
      <w:pPr>
        <w:ind w:firstLine="395"/>
        <w:spacing w:after="0" w:line="252" w:lineRule="auto"/>
        <w:rPr>
          <w:sz w:val="20"/>
          <w:szCs w:val="20"/>
          <w:color w:val="auto"/>
        </w:rPr>
      </w:pPr>
      <w:r>
        <w:rPr>
          <w:rFonts w:ascii="Arial" w:cs="Arial" w:eastAsia="Arial" w:hAnsi="Arial"/>
          <w:sz w:val="18"/>
          <w:szCs w:val="18"/>
          <w:color w:val="auto"/>
        </w:rPr>
        <w:t>Our ability to make distributions to unitholders is substantially dependent on Westlake's ability to meet its minimum contractual obligations under the Ethylene Sales Agreement. If Westlake defaults on its obligations, our ability to make distributions to our unitholders would be reduced or eliminated. Westlake has not pledged any assets to us as security for the performance of its obligations.</w:t>
      </w:r>
    </w:p>
    <w:p>
      <w:pPr>
        <w:spacing w:after="0" w:line="138" w:lineRule="exact"/>
        <w:rPr>
          <w:sz w:val="20"/>
          <w:szCs w:val="20"/>
          <w:color w:val="auto"/>
        </w:rPr>
      </w:pPr>
    </w:p>
    <w:p>
      <w:pPr>
        <w:ind w:right="460" w:firstLine="395"/>
        <w:spacing w:after="0" w:line="261" w:lineRule="auto"/>
        <w:rPr>
          <w:sz w:val="20"/>
          <w:szCs w:val="20"/>
          <w:color w:val="auto"/>
        </w:rPr>
      </w:pPr>
      <w:r>
        <w:rPr>
          <w:rFonts w:ascii="Arial" w:cs="Arial" w:eastAsia="Arial" w:hAnsi="Arial"/>
          <w:sz w:val="18"/>
          <w:szCs w:val="18"/>
          <w:color w:val="auto"/>
        </w:rPr>
        <w:t>Westlake has not agreed with us to limit its ability to incur indebtedness, pledge or sell assets or make investments, and we have no control over the amount of indebtedness Westlake incurs, the assets it pledges or sells or the investments it makes.</w:t>
      </w:r>
    </w:p>
    <w:p>
      <w:pPr>
        <w:spacing w:after="0" w:line="129" w:lineRule="exact"/>
        <w:rPr>
          <w:sz w:val="20"/>
          <w:szCs w:val="20"/>
          <w:color w:val="auto"/>
        </w:rPr>
      </w:pPr>
    </w:p>
    <w:p>
      <w:pPr>
        <w:ind w:right="100" w:firstLine="395"/>
        <w:spacing w:after="0" w:line="287" w:lineRule="auto"/>
        <w:rPr>
          <w:sz w:val="20"/>
          <w:szCs w:val="20"/>
          <w:color w:val="auto"/>
        </w:rPr>
      </w:pPr>
      <w:r>
        <w:rPr>
          <w:rFonts w:ascii="Arial" w:cs="Arial" w:eastAsia="Arial" w:hAnsi="Arial"/>
          <w:sz w:val="16"/>
          <w:szCs w:val="16"/>
          <w:color w:val="auto"/>
        </w:rPr>
        <w:t>Public health crises, pandemics and epidemics, such as the COVID-19 pandemic, could materially adversely affect Westlake's business, financial condition and results of operations. The COVID-19 pandemic at its peak resulted in authorities implementing numerous measures to try to contain the disease, such as travel bans and restrictions, quarantines, shelter-in-place orders and shutdowns, among others. There were widespread adverse impacts on the global economy, many of Westlake's facilities and its employees, customers and suppliers. We have also encountered supply chain constraints and disruptions and workforce availability issues as a result of COVID-19 related actions and vaccination requirements.</w:t>
      </w:r>
    </w:p>
    <w:p>
      <w:pPr>
        <w:spacing w:after="0" w:line="111" w:lineRule="exact"/>
        <w:rPr>
          <w:sz w:val="20"/>
          <w:szCs w:val="20"/>
          <w:color w:val="auto"/>
        </w:rPr>
      </w:pPr>
    </w:p>
    <w:p>
      <w:pPr>
        <w:ind w:right="160" w:firstLine="395"/>
        <w:spacing w:after="0" w:line="284" w:lineRule="auto"/>
        <w:rPr>
          <w:sz w:val="20"/>
          <w:szCs w:val="20"/>
          <w:color w:val="auto"/>
        </w:rPr>
      </w:pPr>
      <w:r>
        <w:rPr>
          <w:rFonts w:ascii="Arial" w:cs="Arial" w:eastAsia="Arial" w:hAnsi="Arial"/>
          <w:sz w:val="16"/>
          <w:szCs w:val="16"/>
          <w:color w:val="auto"/>
        </w:rPr>
        <w:t>At the peak of the COVID-19 pandemic, Westlake, which provides us operating services, modified certain business practices (including those related to employee travel, employee work locations and employee work practices), to conform to government restrictions and best practices encouraged by governmental and regulatory authorities. The ultimate extent of the impact of COVID-19 on Westlake's business, financial condition and results of operations will depend largely on future developments, including the resurgence and duration of COVID-19, the impact of governmental actions designed to prevent the spread of COVID-19 and the development, availability, timely distribution and acceptance of effective treatments and vaccines worldwide, all of which are highly uncertain and cannot be predicted with certainty at this time.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OpCo is a restricted subsidiary under certain indentures governing Westlake's senior notes.</w:t>
      </w:r>
    </w:p>
    <w:p>
      <w:pPr>
        <w:spacing w:after="0" w:line="96" w:lineRule="exact"/>
        <w:rPr>
          <w:sz w:val="20"/>
          <w:szCs w:val="20"/>
          <w:color w:val="auto"/>
        </w:rPr>
      </w:pPr>
    </w:p>
    <w:p>
      <w:pPr>
        <w:ind w:right="560" w:firstLine="395"/>
        <w:spacing w:after="0" w:line="261" w:lineRule="auto"/>
        <w:rPr>
          <w:sz w:val="20"/>
          <w:szCs w:val="20"/>
          <w:color w:val="auto"/>
        </w:rPr>
      </w:pPr>
      <w:r>
        <w:rPr>
          <w:rFonts w:ascii="Arial" w:cs="Arial" w:eastAsia="Arial" w:hAnsi="Arial"/>
          <w:sz w:val="18"/>
          <w:szCs w:val="18"/>
          <w:color w:val="auto"/>
        </w:rPr>
        <w:t>All of our cash is currently generated from cash distributions from OpCo. Certain indentures governing Westlake's senior notes impose significant operating and financial restrictions on OpCo. These restrictions limit OpCo's ability to:</w:t>
      </w:r>
    </w:p>
    <w:p>
      <w:pPr>
        <w:spacing w:after="0" w:line="50" w:lineRule="exact"/>
        <w:rPr>
          <w:sz w:val="20"/>
          <w:szCs w:val="20"/>
          <w:color w:val="auto"/>
        </w:rPr>
      </w:pPr>
    </w:p>
    <w:p>
      <w:pPr>
        <w:ind w:left="640" w:hanging="319"/>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create liens; and</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sell all or substantially all of its assets or consolidate or merge with or into other companies.</w:t>
      </w:r>
    </w:p>
    <w:p>
      <w:pPr>
        <w:spacing w:after="0" w:line="161" w:lineRule="exact"/>
        <w:rPr>
          <w:sz w:val="20"/>
          <w:szCs w:val="20"/>
          <w:color w:val="auto"/>
        </w:rPr>
      </w:pPr>
    </w:p>
    <w:p>
      <w:pPr>
        <w:ind w:right="40" w:firstLine="395"/>
        <w:spacing w:after="0" w:line="291" w:lineRule="auto"/>
        <w:rPr>
          <w:sz w:val="20"/>
          <w:szCs w:val="20"/>
          <w:color w:val="auto"/>
        </w:rPr>
      </w:pPr>
      <w:r>
        <w:rPr>
          <w:rFonts w:ascii="Arial" w:cs="Arial" w:eastAsia="Arial" w:hAnsi="Arial"/>
          <w:sz w:val="16"/>
          <w:szCs w:val="16"/>
          <w:color w:val="auto"/>
        </w:rPr>
        <w:t>These covenants may adversely affect OpCo's ability to finance future business opportunities. A breach of any of these covenants could result in a default in respect of the related debt. If a default occurred, the relevant lenders could elect to declare the debt, together with accrued interest and other fees, to be immediately due and payable and proceed against any collateral securing that debt, including OpCo and its assets. In addition, any acceleration of debt under Westlake's credit facility will constitute a default under some of Westlake's other debt, including the indentures governing its senior notes.</w:t>
      </w:r>
    </w:p>
    <w:p>
      <w:pPr>
        <w:spacing w:after="0" w:line="187"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b w:val="1"/>
          <w:bCs w:val="1"/>
          <w:i w:val="1"/>
          <w:iCs w:val="1"/>
          <w:color w:val="auto"/>
        </w:rPr>
        <w:t>The ethylene sales price charged under the Ethylene Sales Agreement is designed to permit OpCo to cover the substantial majority of its operating costs, but not our public partnership and other OpCo costs, which reduce our net operating profit.</w:t>
      </w:r>
    </w:p>
    <w:p>
      <w:pPr>
        <w:spacing w:after="0" w:line="63" w:lineRule="exact"/>
        <w:rPr>
          <w:sz w:val="20"/>
          <w:szCs w:val="20"/>
          <w:color w:val="auto"/>
        </w:rPr>
      </w:pPr>
    </w:p>
    <w:p>
      <w:pPr>
        <w:ind w:right="40" w:firstLine="395"/>
        <w:spacing w:after="0" w:line="247" w:lineRule="auto"/>
        <w:rPr>
          <w:sz w:val="20"/>
          <w:szCs w:val="20"/>
          <w:color w:val="auto"/>
        </w:rPr>
      </w:pPr>
      <w:r>
        <w:rPr>
          <w:rFonts w:ascii="Arial" w:cs="Arial" w:eastAsia="Arial" w:hAnsi="Arial"/>
          <w:sz w:val="18"/>
          <w:szCs w:val="18"/>
          <w:color w:val="auto"/>
        </w:rPr>
        <w:t>The purchase price under the Ethylene Sales Agreement is based on OpCo's actual ethane, other feedstock and natural gas costs and an annual estimate of other operating costs and maintenance capital expenditures and other turnaround expenditures. The price is designed to permit OpCo to recover the portion of its costs of feedstocks and other costs to operate the ethylene production facilities associated with the percentage of its production capacity purchased by Westlake and generate a fixed margin per pound of ethylene purchased by Westlake. The price is not designed to allow OpCo to recover any capital expenditures related to expansion, or operational efficiency. The ethylene sales price also does not increase to cover our public partnership costs. Both of these costs reduce our net operating profit.</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fee structure of the Ethylene Sales Agreement may limit OpCo's ability to take advantage of favorable market developments in the future.</w:t>
      </w:r>
    </w:p>
    <w:p>
      <w:pPr>
        <w:spacing w:after="0" w:line="106" w:lineRule="exact"/>
        <w:rPr>
          <w:sz w:val="20"/>
          <w:szCs w:val="20"/>
          <w:color w:val="auto"/>
        </w:rPr>
      </w:pPr>
    </w:p>
    <w:p>
      <w:pPr>
        <w:ind w:firstLine="395"/>
        <w:spacing w:after="0" w:line="287" w:lineRule="auto"/>
        <w:rPr>
          <w:sz w:val="20"/>
          <w:szCs w:val="20"/>
          <w:color w:val="auto"/>
        </w:rPr>
      </w:pPr>
      <w:r>
        <w:rPr>
          <w:rFonts w:ascii="Arial" w:cs="Arial" w:eastAsia="Arial" w:hAnsi="Arial"/>
          <w:sz w:val="16"/>
          <w:szCs w:val="16"/>
          <w:color w:val="auto"/>
        </w:rPr>
        <w:t>The Ethylene Sales Agreement sets a $0.10 per pound margin for a substantial majority of OpCo's ethylene production, limiting OpCo's ability to take advantage of potential decreased ethane and other feedstock prices, potential increased ethylene prices or other favorable market developments. Under these circumstances, OpCo may not be in a position to enable its partners, including us, to benefit from favorable market developments (including any potential ethylene price increase in the future) through increased distributions. In addition, under these circumstances, OpCo may be disadvantaged relative to those of its competitors that are in a better position to take advantage of favorable market developments.</w:t>
      </w:r>
    </w:p>
    <w:p>
      <w:pPr>
        <w:spacing w:after="0" w:line="203" w:lineRule="exact"/>
        <w:rPr>
          <w:sz w:val="20"/>
          <w:szCs w:val="20"/>
          <w:color w:val="auto"/>
        </w:rPr>
      </w:pPr>
    </w:p>
    <w:p>
      <w:pPr>
        <w:ind w:right="80"/>
        <w:spacing w:after="0" w:line="357" w:lineRule="auto"/>
        <w:rPr>
          <w:sz w:val="20"/>
          <w:szCs w:val="20"/>
          <w:color w:val="auto"/>
        </w:rPr>
      </w:pPr>
      <w:r>
        <w:rPr>
          <w:rFonts w:ascii="Arial" w:cs="Arial" w:eastAsia="Arial" w:hAnsi="Arial"/>
          <w:sz w:val="15"/>
          <w:szCs w:val="15"/>
          <w:b w:val="1"/>
          <w:bCs w:val="1"/>
          <w:i w:val="1"/>
          <w:iCs w:val="1"/>
          <w:color w:val="auto"/>
        </w:rPr>
        <w:t>If OpCo is unable to renew or extend the Ethylene Sales Agreement beyond the initial 12-year term or the other agreements with Westlake upon expiration of these agreements, our ability to make distributions in the future could be materially adversely affected and the value of our units could decline.</w:t>
      </w:r>
    </w:p>
    <w:p>
      <w:pPr>
        <w:ind w:right="60" w:firstLine="395"/>
        <w:spacing w:after="0" w:line="250" w:lineRule="auto"/>
        <w:rPr>
          <w:sz w:val="20"/>
          <w:szCs w:val="20"/>
          <w:color w:val="auto"/>
        </w:rPr>
      </w:pPr>
      <w:r>
        <w:rPr>
          <w:rFonts w:ascii="Arial" w:cs="Arial" w:eastAsia="Arial" w:hAnsi="Arial"/>
          <w:sz w:val="18"/>
          <w:szCs w:val="18"/>
          <w:color w:val="auto"/>
        </w:rPr>
        <w:t>Westlake's obligations under the Ethylene Sales Agreement, the Feedstock Supply Agreement and the related Services and Secondment Agreement will become terminable by either party commencing December 31, 2026. If OpCo were unable to reach agreement with Westlake on an extension or replacement of these agreements, then our ability to make distributions on our common units could be materially adversely affected and the value of our common units could decline.</w:t>
      </w:r>
    </w:p>
    <w:p>
      <w:pPr>
        <w:spacing w:after="0" w:line="217" w:lineRule="exact"/>
        <w:rPr>
          <w:sz w:val="20"/>
          <w:szCs w:val="20"/>
          <w:color w:val="auto"/>
        </w:rPr>
      </w:pPr>
    </w:p>
    <w:p>
      <w:pPr>
        <w:ind w:right="20"/>
        <w:spacing w:after="0" w:line="299" w:lineRule="auto"/>
        <w:rPr>
          <w:sz w:val="20"/>
          <w:szCs w:val="20"/>
          <w:color w:val="auto"/>
        </w:rPr>
      </w:pPr>
      <w:r>
        <w:rPr>
          <w:rFonts w:ascii="Arial" w:cs="Arial" w:eastAsia="Arial" w:hAnsi="Arial"/>
          <w:sz w:val="16"/>
          <w:szCs w:val="16"/>
          <w:b w:val="1"/>
          <w:bCs w:val="1"/>
          <w:i w:val="1"/>
          <w:iCs w:val="1"/>
          <w:color w:val="auto"/>
        </w:rPr>
        <w:t>OpCo has the right to use the real property underlying Lake Charles Olefins and Calvert City Olefins pursuant to two, 50-year site lease agreements with Westlake. If OpCo is not able to renew the site lease agreements or if the site lease agreements are terminated by Westlake, OpCo may have to relocate Lake Charles Olefins and Calvert City Olefins, abandon the assets or sell the assets to Westlake.</w:t>
      </w:r>
    </w:p>
    <w:p>
      <w:pPr>
        <w:spacing w:after="0" w:line="36" w:lineRule="exact"/>
        <w:rPr>
          <w:sz w:val="20"/>
          <w:szCs w:val="20"/>
          <w:color w:val="auto"/>
        </w:rPr>
      </w:pPr>
    </w:p>
    <w:p>
      <w:pPr>
        <w:ind w:right="160" w:firstLine="395"/>
        <w:spacing w:after="0" w:line="279" w:lineRule="auto"/>
        <w:rPr>
          <w:sz w:val="20"/>
          <w:szCs w:val="20"/>
          <w:color w:val="auto"/>
        </w:rPr>
      </w:pPr>
      <w:r>
        <w:rPr>
          <w:rFonts w:ascii="Arial" w:cs="Arial" w:eastAsia="Arial" w:hAnsi="Arial"/>
          <w:sz w:val="16"/>
          <w:szCs w:val="16"/>
          <w:color w:val="auto"/>
        </w:rPr>
        <w:t>Westlake has (1) leased to OpCo the real property underlying Lake Charles Olefins and Calvert City Olefins and (2) granted OpCo rights to access and use certain other portions of Westlake's facilities that are necessary to operate OpCo's units at such facilities. The site lease agreements each have a term of 50 years and may be renewed if agreed to by the parties. If an event of default with respect to bankruptcy of OpCo occurs, if Westlake terminates the Ethylene Sales Agreement in accordance with its provisions either for cause or due to a force majeure event, or if OpCo ceases to operate Lake Charles Olefins or Calvert City Olefins for six consecutive months (other than due to force majeure or construction following a casualty loss), Westlake may terminate the applicable site lease following notice and expiration of a cure period to remedy the default. In addition, if OpCo fails to act in good faith to expeditiously restore Lake Charles Olefins or Calvert City Olefins following a casualty loss, Westlake has the ability to terminate the applicable site lease agreement, to restore Lake Charles Olefins or Calvert City Olefins, as the case may be, and to purchase such ethylene production facilities at fair market value. If OpCo is unable to renew the site lease agreements or if Westlake terminates one or both of the site lease agreements, OpCo may have to relocate Lake Charles Olefins and Calvert City Olefins, abandon the assets or sell the assets to Westlake, the result of which may have a material adverse effect on our business, results of operations and financial condition.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OpCo depends upon Westlake for numerous services and for its labor force.</w:t>
      </w:r>
    </w:p>
    <w:p>
      <w:pPr>
        <w:spacing w:after="0" w:line="83" w:lineRule="exact"/>
        <w:rPr>
          <w:sz w:val="20"/>
          <w:szCs w:val="20"/>
          <w:color w:val="auto"/>
        </w:rPr>
      </w:pPr>
    </w:p>
    <w:p>
      <w:pPr>
        <w:ind w:right="20" w:firstLine="395"/>
        <w:spacing w:after="0" w:line="280" w:lineRule="auto"/>
        <w:rPr>
          <w:sz w:val="20"/>
          <w:szCs w:val="20"/>
          <w:color w:val="auto"/>
        </w:rPr>
      </w:pPr>
      <w:r>
        <w:rPr>
          <w:rFonts w:ascii="Arial" w:cs="Arial" w:eastAsia="Arial" w:hAnsi="Arial"/>
          <w:sz w:val="16"/>
          <w:szCs w:val="16"/>
          <w:color w:val="auto"/>
        </w:rPr>
        <w:t>Pursuant to the Services and Secondment Agreement, Westlake is obligated to provide OpCo operating services, utility access services and other key site services. Westlake provides the services of certain of its employees, who act as OpCo's agents in operating and maintaining OpCo's ethylene production facilities and other assets. If this agreement is terminated or if Westlake or its affiliates fail to satisfactorily provide these services or employees, OpCo would be required to hire labor, provide these services internally or find a third-party provider of these services. Any services or labor OpCo chooses to provide internally may not be as cost effective as those that Westlake or its affiliates provide, particularly in light of OpCo's lack of experience as an independent organization. If OpCo is required to obtain these services or labor from a third party, it may be unable to do so in a timely, efficient and cost-effective manner, the services or labor it receives may be inferior to or more costly than those that Westlake is currently providing, or such services and labor may be unavailable. Moreover, given the integration of OpCo's ethylene production facilities and Westlake's Lake Charles and Calvert City facilities, it may not be practical for us or for a third party to provide site services or labor for OpCo's ethylene production facilities separately.</w:t>
      </w: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OpCo's ability to receive greater cash flows from increased production may be limited by the Ethylene Sales Agreement.</w:t>
      </w:r>
    </w:p>
    <w:p>
      <w:pPr>
        <w:spacing w:after="0" w:line="83" w:lineRule="exact"/>
        <w:rPr>
          <w:sz w:val="20"/>
          <w:szCs w:val="20"/>
          <w:color w:val="auto"/>
        </w:rPr>
      </w:pPr>
    </w:p>
    <w:p>
      <w:pPr>
        <w:ind w:right="20" w:firstLine="395"/>
        <w:spacing w:after="0" w:line="282" w:lineRule="auto"/>
        <w:rPr>
          <w:sz w:val="20"/>
          <w:szCs w:val="20"/>
          <w:color w:val="auto"/>
        </w:rPr>
      </w:pPr>
      <w:r>
        <w:rPr>
          <w:rFonts w:ascii="Arial" w:cs="Arial" w:eastAsia="Arial" w:hAnsi="Arial"/>
          <w:sz w:val="16"/>
          <w:szCs w:val="16"/>
          <w:color w:val="auto"/>
        </w:rPr>
        <w:t>OpCo's ability to increase throughput volumes through its assets is constrained by the capacity limitations of those assets, which are currently operating at close to full capacity. OpCo's ability to increase its cash flow by selling ethylene to third parties may be limited by the Ethylene Sales Agreement. OpCo's ability to sell ethylene to third parties is limited to available excess capacity, since Westlake has the right to purchase the substantial majority of production from OpCo's facilities through its minimum purchase commitment and option to purchase additional ethylene under the Ethylene Sales Agreement. The Ethylene Sales Agreement provisions may prohibit OpCo from competing effectively for third party business for this excess production given the limited volumes available for sale. For example, so long as Westlake is not in default under the Ethylene Sales Agreement, Westlake has the right to purchase 95% of OpCo's production in excess of planned capacity.</w:t>
      </w:r>
    </w:p>
    <w:p>
      <w:pPr>
        <w:spacing w:after="0" w:line="210" w:lineRule="exact"/>
        <w:rPr>
          <w:sz w:val="20"/>
          <w:szCs w:val="20"/>
          <w:color w:val="auto"/>
        </w:rPr>
      </w:pPr>
    </w:p>
    <w:p>
      <w:pPr>
        <w:ind w:right="400"/>
        <w:spacing w:after="0" w:line="324" w:lineRule="auto"/>
        <w:rPr>
          <w:sz w:val="20"/>
          <w:szCs w:val="20"/>
          <w:color w:val="auto"/>
        </w:rPr>
      </w:pPr>
      <w:r>
        <w:rPr>
          <w:rFonts w:ascii="Arial" w:cs="Arial" w:eastAsia="Arial" w:hAnsi="Arial"/>
          <w:sz w:val="16"/>
          <w:szCs w:val="16"/>
          <w:b w:val="1"/>
          <w:bCs w:val="1"/>
          <w:i w:val="1"/>
          <w:iCs w:val="1"/>
          <w:color w:val="auto"/>
        </w:rPr>
        <w:t>Cost reimbursements due to our general partner and Westlake for services provided to us or on our behalf reduce our earnings and therefore our cash available for distribution to our unitholders. The amount and timing of such reimbursements are determined by our general partner.</w:t>
      </w:r>
    </w:p>
    <w:p>
      <w:pPr>
        <w:spacing w:after="0" w:line="16" w:lineRule="exact"/>
        <w:rPr>
          <w:sz w:val="20"/>
          <w:szCs w:val="20"/>
          <w:color w:val="auto"/>
        </w:rPr>
      </w:pPr>
    </w:p>
    <w:p>
      <w:pPr>
        <w:ind w:right="40" w:firstLine="395"/>
        <w:spacing w:after="0" w:line="282" w:lineRule="auto"/>
        <w:rPr>
          <w:sz w:val="20"/>
          <w:szCs w:val="20"/>
          <w:color w:val="auto"/>
        </w:rPr>
      </w:pPr>
      <w:r>
        <w:rPr>
          <w:rFonts w:ascii="Arial" w:cs="Arial" w:eastAsia="Arial" w:hAnsi="Arial"/>
          <w:sz w:val="16"/>
          <w:szCs w:val="16"/>
          <w:color w:val="auto"/>
        </w:rPr>
        <w:t>We are obligated under our partnership agreement to reimburse our general partner and its affiliates for all expenses they incur and payments they make on our behalf, including expenses we and OpCo incur under the services and secondment agreement and the omnibus agreement. Our partnership agreement does not set a limit on the amount of expenses for which our general partner and its affiliates may be reimbursed. These expenses include all expenses incurred under the services and secondment agreement and the omnibus agreement, including salary, bonus, incentive compensation and other amounts paid to persons who perform services for us or on our behalf and expenses allocated to our general partner by its affiliates. Our partnership agreement provides that our general partner determines the expenses that are allocable to us. The reimbursement of expenses and payment of fees, if any, to our general partner and its affiliates reduce the amount of our earnings and, thereby, our ability to distribute cash to our unitholders.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Operations</w:t>
      </w:r>
    </w:p>
    <w:p>
      <w:pPr>
        <w:spacing w:after="0" w:line="240" w:lineRule="exact"/>
        <w:rPr>
          <w:sz w:val="20"/>
          <w:szCs w:val="20"/>
          <w:color w:val="auto"/>
        </w:rPr>
      </w:pPr>
    </w:p>
    <w:p>
      <w:pPr>
        <w:ind w:right="100"/>
        <w:spacing w:after="0" w:line="324" w:lineRule="auto"/>
        <w:rPr>
          <w:sz w:val="20"/>
          <w:szCs w:val="20"/>
          <w:color w:val="auto"/>
        </w:rPr>
      </w:pPr>
      <w:r>
        <w:rPr>
          <w:rFonts w:ascii="Arial" w:cs="Arial" w:eastAsia="Arial" w:hAnsi="Arial"/>
          <w:sz w:val="16"/>
          <w:szCs w:val="16"/>
          <w:b w:val="1"/>
          <w:bCs w:val="1"/>
          <w:i w:val="1"/>
          <w:iCs w:val="1"/>
          <w:color w:val="auto"/>
        </w:rPr>
        <w:t>Substantially all of OpCo's sales are generated at three facilities located at two sites. Any adverse developments at any of these facilities or sites could have a material adverse effect on our results of operations and therefore our ability to distribute cash to unitholders.</w:t>
      </w:r>
    </w:p>
    <w:p>
      <w:pPr>
        <w:spacing w:after="0" w:line="16" w:lineRule="exact"/>
        <w:rPr>
          <w:sz w:val="20"/>
          <w:szCs w:val="20"/>
          <w:color w:val="auto"/>
        </w:rPr>
      </w:pPr>
    </w:p>
    <w:p>
      <w:pPr>
        <w:ind w:firstLine="395"/>
        <w:spacing w:after="0" w:line="287" w:lineRule="auto"/>
        <w:rPr>
          <w:sz w:val="20"/>
          <w:szCs w:val="20"/>
          <w:color w:val="auto"/>
        </w:rPr>
      </w:pPr>
      <w:r>
        <w:rPr>
          <w:rFonts w:ascii="Arial" w:cs="Arial" w:eastAsia="Arial" w:hAnsi="Arial"/>
          <w:sz w:val="16"/>
          <w:szCs w:val="16"/>
          <w:color w:val="auto"/>
        </w:rPr>
        <w:t>OpCo's operations are subject to significant hazards and risks inherent in ethylene production operations. These hazards and risks include, but are not limited to, equipment malfunction, explosions, fires and the effects of severe weather conditions, any of which could result in production and transportation difficulties and disruptions, pollution, personal injury or wrongful death claims and other damage to our properties and the property of others. There is also risk of mechanical failure of OpCo's facilities both in the normal course of operations and following unforeseen events. Any adverse developments at any of OpCo's facilities could have a material adverse effect on our results of operations and therefore our ability to distribute cash to unitholders.</w:t>
      </w:r>
    </w:p>
    <w:p>
      <w:pPr>
        <w:spacing w:after="0" w:line="111" w:lineRule="exact"/>
        <w:rPr>
          <w:sz w:val="20"/>
          <w:szCs w:val="20"/>
          <w:color w:val="auto"/>
        </w:rPr>
      </w:pPr>
    </w:p>
    <w:p>
      <w:pPr>
        <w:ind w:right="40" w:firstLine="395"/>
        <w:spacing w:after="0" w:line="248" w:lineRule="auto"/>
        <w:rPr>
          <w:sz w:val="20"/>
          <w:szCs w:val="20"/>
          <w:color w:val="auto"/>
        </w:rPr>
      </w:pPr>
      <w:r>
        <w:rPr>
          <w:rFonts w:ascii="Arial" w:cs="Arial" w:eastAsia="Arial" w:hAnsi="Arial"/>
          <w:sz w:val="18"/>
          <w:szCs w:val="18"/>
          <w:color w:val="auto"/>
        </w:rPr>
        <w:t>Because substantially all of OpCo's sales are generated at three facilities located at two sites, any such events at any facility or site could significantly disrupt OpCo's ethylene production and its ability to supply ethylene to its customers. For example, OpCo's Lake Charles facility was shut down for a significant period of time in the months of August, September and October 2020 in the aftermath of Hurricanes Laura and Delta. Any similar or other sustained disruption in OpCo's ability to meet its supply obligations under the Ethylene Sales Agreement could have a material adverse effect on our results of operations and therefore our ability to distribute cash to unitholders.</w:t>
      </w:r>
    </w:p>
    <w:p>
      <w:pPr>
        <w:spacing w:after="0" w:line="233"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The amount of cash we have available for distribution to holders of our units depends primarily on our cash flow and not solely on profitability, which may prevent us from making cash distributions during periods when we record net income.</w:t>
      </w:r>
    </w:p>
    <w:p>
      <w:pPr>
        <w:spacing w:after="0" w:line="50" w:lineRule="exact"/>
        <w:rPr>
          <w:sz w:val="20"/>
          <w:szCs w:val="20"/>
          <w:color w:val="auto"/>
        </w:rPr>
      </w:pPr>
    </w:p>
    <w:p>
      <w:pPr>
        <w:ind w:right="80" w:firstLine="395"/>
        <w:spacing w:after="0" w:line="248" w:lineRule="auto"/>
        <w:rPr>
          <w:sz w:val="20"/>
          <w:szCs w:val="20"/>
          <w:color w:val="auto"/>
        </w:rPr>
      </w:pPr>
      <w:r>
        <w:rPr>
          <w:rFonts w:ascii="Arial" w:cs="Arial" w:eastAsia="Arial" w:hAnsi="Arial"/>
          <w:sz w:val="18"/>
          <w:szCs w:val="18"/>
          <w:color w:val="auto"/>
        </w:rPr>
        <w:t>The amount of cash we have available for distribution depends primarily upon our cash flow, including cash flow from reserves and working capital or borrowings (including any under our and OpCo's credit facilities) and not solely on profitability, which will be affected by non-cash items. As a result, we may pay cash distributions during periods when we record net losses for financial accounting purposes and may be unable to pay cash distributions during periods when we record net income. We may be unable to access our and OpCo's revolving credit facilities when we do not have sufficient cash flows to pay cash distributions.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540"/>
        <w:spacing w:after="0" w:line="324" w:lineRule="auto"/>
        <w:rPr>
          <w:sz w:val="20"/>
          <w:szCs w:val="20"/>
          <w:color w:val="auto"/>
        </w:rPr>
      </w:pPr>
      <w:r>
        <w:rPr>
          <w:rFonts w:ascii="Arial" w:cs="Arial" w:eastAsia="Arial" w:hAnsi="Arial"/>
          <w:sz w:val="16"/>
          <w:szCs w:val="16"/>
          <w:b w:val="1"/>
          <w:bCs w:val="1"/>
          <w:i w:val="1"/>
          <w:iCs w:val="1"/>
          <w:color w:val="auto"/>
        </w:rPr>
        <w:t>If we are unable to make acquisitions from Westlake or third parties on economically acceptable terms, our future growth would be limited, and any acquisitions we make may reduce, rather than increase, our cash generated from operations on a per unit basis.</w:t>
      </w:r>
    </w:p>
    <w:p>
      <w:pPr>
        <w:spacing w:after="0" w:line="3" w:lineRule="exact"/>
        <w:rPr>
          <w:sz w:val="20"/>
          <w:szCs w:val="20"/>
          <w:color w:val="auto"/>
        </w:rPr>
      </w:pPr>
    </w:p>
    <w:p>
      <w:pPr>
        <w:ind w:firstLine="395"/>
        <w:spacing w:after="0" w:line="310" w:lineRule="auto"/>
        <w:rPr>
          <w:sz w:val="20"/>
          <w:szCs w:val="20"/>
          <w:color w:val="auto"/>
        </w:rPr>
      </w:pPr>
      <w:r>
        <w:rPr>
          <w:rFonts w:ascii="Arial" w:cs="Arial" w:eastAsia="Arial" w:hAnsi="Arial"/>
          <w:sz w:val="15"/>
          <w:szCs w:val="15"/>
          <w:color w:val="auto"/>
        </w:rPr>
        <w:t>Our strategy to grow our business and increase distributions to unitholders is dependent on our ability to make acquisitions that result in an increase in our cash distributions per unit. If we are unable to make acquisitions of additional interests in OpCo from Westlake on acceptable terms or we are unable to obtain financing for these acquisitions, our future growth and ability to increase distributions will be limited. In addition, we may be unable to make acquisitions from third parties as an alternative avenue to growth. Furthermore, even if we do consummate acquisitions that we believe will be accretive, they may in fact result in a decrease in our cash distributions per unit. Any acquisition involves potential risks, some of which are beyond our control, including, among other things:</w:t>
      </w:r>
    </w:p>
    <w:p>
      <w:pPr>
        <w:spacing w:after="0" w:line="31" w:lineRule="exact"/>
        <w:rPr>
          <w:sz w:val="20"/>
          <w:szCs w:val="20"/>
          <w:color w:val="auto"/>
        </w:rPr>
      </w:pPr>
    </w:p>
    <w:p>
      <w:pPr>
        <w:ind w:left="640" w:hanging="319"/>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mistaken assumptions about revenues and costs, including synergies;</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inability to successfully integrate the businesses we acquire;</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inability to hire, train or retain qualified personnel to manage and operate our business and newly acquired assets;</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assumption of unknown liabilities;</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limitations on rights to indemnity from the seller;</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mistaken assumptions about the overall costs of equity or debt;</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diversion of management's attention from other business concerns;</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unforeseen difficulties in connection with operating in new product areas or new geographic areas; and</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customer or key employee losses at the acquired businesses.</w:t>
      </w:r>
    </w:p>
    <w:p>
      <w:pPr>
        <w:spacing w:after="0" w:line="161" w:lineRule="exact"/>
        <w:rPr>
          <w:sz w:val="20"/>
          <w:szCs w:val="20"/>
          <w:color w:val="auto"/>
        </w:rPr>
      </w:pPr>
    </w:p>
    <w:p>
      <w:pPr>
        <w:ind w:right="460" w:firstLine="395"/>
        <w:spacing w:after="0" w:line="252" w:lineRule="auto"/>
        <w:rPr>
          <w:sz w:val="20"/>
          <w:szCs w:val="20"/>
          <w:color w:val="auto"/>
        </w:rPr>
      </w:pPr>
      <w:r>
        <w:rPr>
          <w:rFonts w:ascii="Arial" w:cs="Arial" w:eastAsia="Arial" w:hAnsi="Arial"/>
          <w:sz w:val="18"/>
          <w:szCs w:val="18"/>
          <w:color w:val="auto"/>
        </w:rPr>
        <w:t>If we consummate any future acquisitions, our capitalization and results of operations may change significantly, and unitholders will not have the opportunity to evaluate the economic, financial and other relevant information that we will consider in determining the application of our funds and other resources.</w:t>
      </w:r>
    </w:p>
    <w:p>
      <w:pPr>
        <w:spacing w:after="0" w:line="230"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b w:val="1"/>
          <w:bCs w:val="1"/>
          <w:i w:val="1"/>
          <w:iCs w:val="1"/>
          <w:color w:val="auto"/>
        </w:rPr>
        <w:t>Many of our assets have been in service for many years and require significant expenditures to maintain them. As a result, our maintenance or repair costs may increase in the future. In addition, while we establish cash reserves in order to cover turnaround expenditures, the amounts we reserve may not be sufficient to fully cover such expenditures.</w:t>
      </w:r>
    </w:p>
    <w:p>
      <w:pPr>
        <w:spacing w:after="0" w:line="72" w:lineRule="exact"/>
        <w:rPr>
          <w:sz w:val="20"/>
          <w:szCs w:val="20"/>
          <w:color w:val="auto"/>
        </w:rPr>
      </w:pPr>
    </w:p>
    <w:p>
      <w:pPr>
        <w:ind w:firstLine="395"/>
        <w:spacing w:after="0" w:line="316" w:lineRule="auto"/>
        <w:rPr>
          <w:sz w:val="20"/>
          <w:szCs w:val="20"/>
          <w:color w:val="auto"/>
        </w:rPr>
      </w:pPr>
      <w:r>
        <w:rPr>
          <w:rFonts w:ascii="Arial" w:cs="Arial" w:eastAsia="Arial" w:hAnsi="Arial"/>
          <w:sz w:val="15"/>
          <w:szCs w:val="15"/>
          <w:color w:val="auto"/>
        </w:rPr>
        <w:t>Many of the assets we use to produce ethylene are generally long-lived assets. As a result, some of those assets have been in service for many decades. The age and condition of these assets could result in increased maintenance or repair expenditures. In addition, while we establish certain cash reserves to cover our expected turnaround expenditures, the amounts we reserve may be insufficient to fully cover such expenditures. Any significant and unexpected increase in these expenditures could adversely affect our results of operations, financial position or cash flows, as well as our ability to pay cash distributions.</w:t>
      </w:r>
    </w:p>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production facilities process volatile and hazardous materials that subject us to operating risks that could adversely affect our operating results.</w:t>
      </w:r>
    </w:p>
    <w:p>
      <w:pPr>
        <w:spacing w:after="0" w:line="130" w:lineRule="exact"/>
        <w:rPr>
          <w:sz w:val="20"/>
          <w:szCs w:val="20"/>
          <w:color w:val="auto"/>
        </w:rPr>
      </w:pPr>
    </w:p>
    <w:p>
      <w:pPr>
        <w:ind w:right="520" w:firstLine="395"/>
        <w:spacing w:after="0" w:line="261" w:lineRule="auto"/>
        <w:rPr>
          <w:sz w:val="20"/>
          <w:szCs w:val="20"/>
          <w:color w:val="auto"/>
        </w:rPr>
      </w:pPr>
      <w:r>
        <w:rPr>
          <w:rFonts w:ascii="Arial" w:cs="Arial" w:eastAsia="Arial" w:hAnsi="Arial"/>
          <w:sz w:val="18"/>
          <w:szCs w:val="18"/>
          <w:color w:val="auto"/>
        </w:rPr>
        <w:t>Our operations are subject to the usual hazards associated with commodity chemical manufacturing and the related use, storage, transportation and disposal of feedstocks, products and wastes, including:</w:t>
      </w:r>
    </w:p>
    <w:p>
      <w:pPr>
        <w:spacing w:after="0" w:line="63" w:lineRule="exact"/>
        <w:rPr>
          <w:sz w:val="20"/>
          <w:szCs w:val="20"/>
          <w:color w:val="auto"/>
        </w:rPr>
      </w:pPr>
    </w:p>
    <w:p>
      <w:pPr>
        <w:ind w:left="640" w:hanging="319"/>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pipeline leaks and ruptures;</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explosions;</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fires;</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severe weather and natural disasters;</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mechanical failure;</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unscheduled downtime;</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labor difficulties;</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transportation interruptions;</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chemical spills;</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discharges or releases of toxic or hazardous substances or gases;</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storage tank leaks;</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 environmental risks; and</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40" w:hanging="319"/>
        <w:spacing w:after="0"/>
        <w:tabs>
          <w:tab w:leader="none" w:pos="6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terrorist attacks.</w:t>
      </w:r>
    </w:p>
    <w:p>
      <w:pPr>
        <w:spacing w:after="0" w:line="161" w:lineRule="exact"/>
        <w:rPr>
          <w:sz w:val="20"/>
          <w:szCs w:val="20"/>
          <w:color w:val="auto"/>
        </w:rPr>
      </w:pPr>
    </w:p>
    <w:p>
      <w:pPr>
        <w:ind w:right="40" w:firstLine="395"/>
        <w:spacing w:after="0" w:line="281" w:lineRule="auto"/>
        <w:rPr>
          <w:sz w:val="20"/>
          <w:szCs w:val="20"/>
          <w:color w:val="auto"/>
        </w:rPr>
      </w:pPr>
      <w:r>
        <w:rPr>
          <w:rFonts w:ascii="Arial" w:cs="Arial" w:eastAsia="Arial" w:hAnsi="Arial"/>
          <w:sz w:val="16"/>
          <w:szCs w:val="16"/>
          <w:color w:val="auto"/>
        </w:rPr>
        <w:t>All of these hazards can cause personal injury and loss of life, catastrophic damage to or destruction of property and equipment and environmental damage, and may result in a suspension of operations and the imposition of civil or criminal penalties. We could become subject to environmental claims brought by governmental entities or third parties. A loss or shutdown of operations over an extended period at any one of our three major operating facilities would have a material adverse effect on us. We maintain property, business interruption and casualty insurance that we believe is in accordance with customary industry practices, but we cannot be fully insured against all potential hazards incident to our business, including losses resulting from war risks or terrorist acts. As a result of market conditions, premiums and deductibles for certain insurance policies can increase substantially and, in some instances, certain insurance may become unavailable or available only for reduced amounts of coverage. If we were to incur a significant liability for which we were not fully insured, it could have a material adverse effect on our financial position.</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and assets are subject to extensive environmental, health and safety laws and regulations.</w:t>
      </w:r>
    </w:p>
    <w:p>
      <w:pPr>
        <w:spacing w:after="0" w:line="96" w:lineRule="exact"/>
        <w:rPr>
          <w:sz w:val="20"/>
          <w:szCs w:val="20"/>
          <w:color w:val="auto"/>
        </w:rPr>
      </w:pPr>
    </w:p>
    <w:p>
      <w:pPr>
        <w:ind w:right="60" w:firstLine="395"/>
        <w:spacing w:after="0" w:line="281" w:lineRule="auto"/>
        <w:rPr>
          <w:sz w:val="20"/>
          <w:szCs w:val="20"/>
          <w:color w:val="auto"/>
        </w:rPr>
      </w:pPr>
      <w:r>
        <w:rPr>
          <w:rFonts w:ascii="Arial" w:cs="Arial" w:eastAsia="Arial" w:hAnsi="Arial"/>
          <w:sz w:val="16"/>
          <w:szCs w:val="16"/>
          <w:color w:val="auto"/>
        </w:rPr>
        <w:t>We use hazardous substances and generate hazardous wastes and emissions in our manufacturing operations. Our industry is highly regulated and monitored by various environmental regulatory authorities such as the EPA. As such, we are subject to extensive federal, state and local laws and regulations pertaining to pollution and protection of the environment, health and safety, which govern, among other things, emissions to the air, discharges onto land or waters, the maintenance of safe conditions in the workplace, the remediation of contaminated sites, and the generation, handling, storage, transportation, treatment and disposal of waste materials. Some of these laws and regulations are subject to varying and conflicting interpretations. Many of these laws and regulations provide for substantial fines and potential criminal sanctions for violations and require the installation of costly pollution control equipment or operational changes to limit pollution emissions or reduce the likelihood or impact of hazardous substance releases, whether permitted or not. For example, our petrochemical facilities may require improvements to comply with certain changes in process safety management requirements.</w:t>
      </w:r>
    </w:p>
    <w:p>
      <w:pPr>
        <w:spacing w:after="0" w:line="119" w:lineRule="exact"/>
        <w:rPr>
          <w:sz w:val="20"/>
          <w:szCs w:val="20"/>
          <w:color w:val="auto"/>
        </w:rPr>
      </w:pPr>
    </w:p>
    <w:p>
      <w:pPr>
        <w:ind w:firstLine="395"/>
        <w:spacing w:after="0" w:line="287" w:lineRule="auto"/>
        <w:rPr>
          <w:sz w:val="20"/>
          <w:szCs w:val="20"/>
          <w:color w:val="auto"/>
        </w:rPr>
      </w:pPr>
      <w:r>
        <w:rPr>
          <w:rFonts w:ascii="Arial" w:cs="Arial" w:eastAsia="Arial" w:hAnsi="Arial"/>
          <w:sz w:val="16"/>
          <w:szCs w:val="16"/>
          <w:color w:val="auto"/>
        </w:rPr>
        <w:t>In April 2016, the EPA issued an Information Collection Request ("ICR") for ethylene production facilities to inform the agency's mandatory Risk and Technology Review of the existing ethylene maximum available technology ("MACT") rule, which regulates the emissions of organic Hazardous Air Pollutants (HAP) including benzene, toluene and xylene among others. The EPA evaluated companies' responses and testing data from the ICR and published a final rule amending the ethylene MACT rule in July 2020. Among other things, the final rule strengthens heat exchange system and storage vessel control requirements, adds monitoring and operational requirements for flares, and removes exemptions for periods of startup, shutdown, and malfunctions.</w:t>
      </w:r>
    </w:p>
    <w:p>
      <w:pPr>
        <w:spacing w:after="0" w:line="111" w:lineRule="exact"/>
        <w:rPr>
          <w:sz w:val="20"/>
          <w:szCs w:val="20"/>
          <w:color w:val="auto"/>
        </w:rPr>
      </w:pPr>
    </w:p>
    <w:p>
      <w:pPr>
        <w:ind w:firstLine="395"/>
        <w:spacing w:after="0" w:line="277" w:lineRule="auto"/>
        <w:rPr>
          <w:sz w:val="20"/>
          <w:szCs w:val="20"/>
          <w:color w:val="auto"/>
        </w:rPr>
      </w:pPr>
      <w:r>
        <w:rPr>
          <w:rFonts w:ascii="Arial" w:cs="Arial" w:eastAsia="Arial" w:hAnsi="Arial"/>
          <w:sz w:val="16"/>
          <w:szCs w:val="16"/>
          <w:color w:val="auto"/>
        </w:rPr>
        <w:t>Our operations also produce greenhouse gas ("GHG") emissions, which have been the subject of increased scrutiny and regulation. In December 2015, the United States joined the international community at the 21st Conference of the Parties of the United Nations Framework Convention on Climate Change in Paris, France. The resulting Paris Agreement calls for the parties to undertake "ambitious efforts" to limit the average global temperature and to conserve and enhance sinks and reservoirs of greenhouse gases. The United States signed the Paris Agreement in April 2016, and the Paris Agreement went into effect in November 2016. In November 2019, the United States submitted formal notification to the United Nations that it intended to withdraw from the Paris Agreement. The withdrawal took effect in November 2020. However, President Biden signed an executive order on January 20, 2021 for reentry of the United States into the Paris Agreement and on February 19, 2021, President Biden formally rejoined the Paris Agreement. As part of rejoining the Paris Agreement, President Biden announced that the United States would commit to a 50 to 52 percent reduction from 2005 levels of GHG emissions by 2030 and set the goal of reaching net-zero GHG emissions by 2050. Legislation to regulate GHG emissions has periodically been introduced in the United States Congress, and such legislation may be proposed or adopted in the future. There has been a wide-ranging policy debate regarding the impact of these gases and possible means for their regulation. Some of the proposals would require industries to meet stringent new standards that would require substantial reductions in carbon emissions. The adoption and implementation of any international, federal or state legislation or regulations that restrict emissions of GHGs could result in increased compliance costs or additional operating restrictions. The EPA has adopted rules requiring the reporting of GHG emissions from specified large GHG emission sources on an annual basis including our facilities in Lake Charles and Calvert City. Various jurisdictions have considered or adopted laws and regulations on GHG emissions, with the general aim of reducing such emissions. The EPA currently requires certain industrial facilities to report their GHG emissions and to obtain permits with stringent control requirements before constructing or modifying new facilities with significant criteria pollutant and GHG emissions. As our chemical processing results in GHG emissions, these and other GHG laws and regulations could affect our costs of doing business.</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firstLine="395"/>
        <w:spacing w:after="0" w:line="250" w:lineRule="auto"/>
        <w:rPr>
          <w:sz w:val="20"/>
          <w:szCs w:val="20"/>
          <w:color w:val="auto"/>
        </w:rPr>
      </w:pPr>
      <w:r>
        <w:rPr>
          <w:rFonts w:ascii="Arial" w:cs="Arial" w:eastAsia="Arial" w:hAnsi="Arial"/>
          <w:sz w:val="18"/>
          <w:szCs w:val="18"/>
          <w:color w:val="auto"/>
        </w:rPr>
        <w:t>We also may face liability for alleged personal injury or property damage due to exposure to chemicals or other hazardous substances at our facilities or to chemicals that we otherwise manufacture, handle or own. Although these types of claims have not historically had a material impact on our operations, a significant increase in the success of these types of claims could have a material adverse effect on our business, financial condition, operating results or cash flow.</w:t>
      </w:r>
    </w:p>
    <w:p>
      <w:pPr>
        <w:spacing w:after="0" w:line="138" w:lineRule="exact"/>
        <w:rPr>
          <w:sz w:val="20"/>
          <w:szCs w:val="20"/>
          <w:color w:val="auto"/>
        </w:rPr>
      </w:pPr>
    </w:p>
    <w:p>
      <w:pPr>
        <w:ind w:right="20" w:firstLine="395"/>
        <w:spacing w:after="0" w:line="281" w:lineRule="auto"/>
        <w:rPr>
          <w:sz w:val="20"/>
          <w:szCs w:val="20"/>
          <w:color w:val="auto"/>
        </w:rPr>
      </w:pPr>
      <w:r>
        <w:rPr>
          <w:rFonts w:ascii="Arial" w:cs="Arial" w:eastAsia="Arial" w:hAnsi="Arial"/>
          <w:sz w:val="16"/>
          <w:szCs w:val="16"/>
          <w:color w:val="auto"/>
        </w:rPr>
        <w:t>Environmental laws may have a significant effect on the nature and scope of, and responsibility for, cleanup of contamination at our current and former operating facilities, the costs of transportation and storage of raw materials and finished products, the costs of reducing emissions and the costs of the storage and disposal of wastewater. The U.S. Comprehensive Environmental Response, Compensation, and Liability Act ("CERCLA") and similar state laws impose joint and several liability for the costs of remedial investigations and actions on the entities that are deemed responsible for a release of hazardous substances into the environment, including entities that have generated hazardous substances or arranged for their transportation or disposal, as well as the past and present owners and operators of disposal sites. All such potentially responsible parties (or any one of them, including us) may be required to bear all of such costs regardless of fault, legality of the original disposal or ownership of the disposal site. In addition, CERCLA and similar state laws could impose liability for damages to natural resources caused by contamination.</w:t>
      </w:r>
    </w:p>
    <w:p>
      <w:pPr>
        <w:spacing w:after="0" w:line="119" w:lineRule="exact"/>
        <w:rPr>
          <w:sz w:val="20"/>
          <w:szCs w:val="20"/>
          <w:color w:val="auto"/>
        </w:rPr>
      </w:pPr>
    </w:p>
    <w:p>
      <w:pPr>
        <w:ind w:right="40" w:firstLine="395"/>
        <w:spacing w:after="0" w:line="247" w:lineRule="auto"/>
        <w:rPr>
          <w:sz w:val="20"/>
          <w:szCs w:val="20"/>
          <w:color w:val="auto"/>
        </w:rPr>
      </w:pPr>
      <w:r>
        <w:rPr>
          <w:rFonts w:ascii="Arial" w:cs="Arial" w:eastAsia="Arial" w:hAnsi="Arial"/>
          <w:sz w:val="18"/>
          <w:szCs w:val="18"/>
          <w:color w:val="auto"/>
        </w:rPr>
        <w:t>Although we seek to take preventive action, our operations are inherently subject to accidental spills, discharges or other releases of hazardous substances that may make us liable to governmental entities or private parties. This may involve contamination associated with our current and former facilities, facilities to which we sent wastes or by-products for treatment or disposal and other contamination. Accidental discharges may occur in the future, future action may be taken in connection with past discharges, governmental agencies may assess damages or penalties against us in connection with any past or future contamination, or third parties may assert claims against us for damages allegedly arising out of any past or future contamination. In addition, we may be liable for existing contamination related to certain of our facilities for which, in some cases, we believe third parties are liable in the event such third parties fail to perform their obligations.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operations and assets are subject to climate-related risks and uncertainties.</w:t>
      </w:r>
    </w:p>
    <w:p>
      <w:pPr>
        <w:spacing w:after="0" w:line="83" w:lineRule="exact"/>
        <w:rPr>
          <w:sz w:val="20"/>
          <w:szCs w:val="20"/>
          <w:color w:val="auto"/>
        </w:rPr>
      </w:pPr>
    </w:p>
    <w:p>
      <w:pPr>
        <w:ind w:right="20" w:firstLine="395"/>
        <w:spacing w:after="0" w:line="282" w:lineRule="auto"/>
        <w:rPr>
          <w:sz w:val="20"/>
          <w:szCs w:val="20"/>
          <w:color w:val="auto"/>
        </w:rPr>
      </w:pPr>
      <w:r>
        <w:rPr>
          <w:rFonts w:ascii="Arial" w:cs="Arial" w:eastAsia="Arial" w:hAnsi="Arial"/>
          <w:sz w:val="16"/>
          <w:szCs w:val="16"/>
          <w:color w:val="auto"/>
        </w:rPr>
        <w:t>We are subject to increasing climate-related risks and uncertainties, many of which are outside of our control. Climate change may result in more frequent severe weather events, potential changes in precipitation patterns and variability in weather patterns, which can disrupt our operations as well as those of our customers, partners and suppliers. Climate change may result in heightened hurricane activity in the Gulf of Mexico and other weather and natural disaster hazards that pose a risk to OpCo's facilities, particularly those in Louisiana. The transition to lower greenhouse gas emissions technology, the effects of carbon pricing, changes in public sentiment, regulations, taxes, public mandates or requirements, increases in climate-related lawsuits, insurance premiums and implementation of more robust disaster recovery and business continuity plans may increase costs to maintain or resume our operations, which could in turn negatively impact our business and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adequately protect critical data and technology systems could materially affect our operations.</w:t>
      </w:r>
    </w:p>
    <w:p>
      <w:pPr>
        <w:spacing w:after="0" w:line="96" w:lineRule="exact"/>
        <w:rPr>
          <w:sz w:val="20"/>
          <w:szCs w:val="20"/>
          <w:color w:val="auto"/>
        </w:rPr>
      </w:pPr>
    </w:p>
    <w:p>
      <w:pPr>
        <w:ind w:right="20" w:firstLine="395"/>
        <w:spacing w:after="0" w:line="279" w:lineRule="auto"/>
        <w:rPr>
          <w:sz w:val="20"/>
          <w:szCs w:val="20"/>
          <w:color w:val="auto"/>
        </w:rPr>
      </w:pPr>
      <w:r>
        <w:rPr>
          <w:rFonts w:ascii="Arial" w:cs="Arial" w:eastAsia="Arial" w:hAnsi="Arial"/>
          <w:sz w:val="16"/>
          <w:szCs w:val="16"/>
          <w:color w:val="auto"/>
        </w:rPr>
        <w:t>Information technology system failures, network disruptions and breaches of data security due to internal or external factors including cyber-attacks could disrupt our operations by causing delays or cancellation of customer orders, impede the manufacture or shipment of products or cause standard business processes to become ineffective, resulting in the unintentional disclosure of information or damage to our reputation. Cyber-attacks could include, but are not limited to, ransomware attacks, malicious software, attempts to gain unauthorized access to our data and the unauthorized release, corruption or loss of our data and personal information, interruptions in communication, loss of our intellectual property or theft of our sensitive or proprietary technology, loss or damage to our data delivery systems, or other cybersecurity and infrastructure systems, including our property and equipment. Westlake, which manages our security protocol under the omnibus agreement, has taken steps to address these risks by implementing network security and internal control measures, including employee training, comprehensive monitoring of our networks and systems, maintenance of backup and protective systems and disaster recovery and incident response plans. Westlake's employees, systems, networks, products, facilities and services remain potentially vulnerable to sophisticated cyber-assault, especially while certain employees are working remotely during the COVID-19 pandemic, and, as such, there can be no assurance that a system failure, network disruption or data security breach will not have a material adverse effect on our operations, business, financial condition, operating results or cash flow.</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terrorist attack or armed conflict could harm our business.</w:t>
      </w:r>
    </w:p>
    <w:p>
      <w:pPr>
        <w:spacing w:after="0" w:line="83" w:lineRule="exact"/>
        <w:rPr>
          <w:sz w:val="20"/>
          <w:szCs w:val="20"/>
          <w:color w:val="auto"/>
        </w:rPr>
      </w:pPr>
    </w:p>
    <w:p>
      <w:pPr>
        <w:ind w:right="140" w:firstLine="395"/>
        <w:spacing w:after="0" w:line="287" w:lineRule="auto"/>
        <w:rPr>
          <w:sz w:val="20"/>
          <w:szCs w:val="20"/>
          <w:color w:val="auto"/>
        </w:rPr>
      </w:pPr>
      <w:r>
        <w:rPr>
          <w:rFonts w:ascii="Arial" w:cs="Arial" w:eastAsia="Arial" w:hAnsi="Arial"/>
          <w:sz w:val="16"/>
          <w:szCs w:val="16"/>
          <w:color w:val="auto"/>
        </w:rPr>
        <w:t>Terrorist activities, anti-terrorist efforts and other armed conflicts involving the United States or other jurisdictions could adversely affect the United States and global economies and could prevent us from meeting financial and other obligations. We could experience loss of business, delays or defaults in payments from customers or disruptions of fuel supplies and markets if North American and global utilities are direct targets or indirect casualties of an act of terror or war. Terrorist activities and the threat of potential terrorist activities and any resulting economic downturn could adversely affect our results of operations, impair our ability to raise capital or otherwise adversely impact our ability to realize certain business strategies.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Our Partnership Structure</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General Partner</w:t>
      </w:r>
    </w:p>
    <w:p>
      <w:pPr>
        <w:spacing w:after="0" w:line="161"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b w:val="1"/>
          <w:bCs w:val="1"/>
          <w:i w:val="1"/>
          <w:iCs w:val="1"/>
          <w:color w:val="auto"/>
        </w:rPr>
        <w:t>Westlake owns and controls our general partner, which has sole responsibility for conducting our business and managing our operations. Our general partner and its affiliates, including Westlake, may have conflicts of interest with us and have limited duties, and they may favor their own interests to our detriment and that of our unitholders.</w:t>
      </w:r>
    </w:p>
    <w:p>
      <w:pPr>
        <w:spacing w:after="0" w:line="59" w:lineRule="exact"/>
        <w:rPr>
          <w:sz w:val="20"/>
          <w:szCs w:val="20"/>
          <w:color w:val="auto"/>
        </w:rPr>
      </w:pPr>
    </w:p>
    <w:p>
      <w:pPr>
        <w:ind w:right="20" w:firstLine="395"/>
        <w:spacing w:after="0" w:line="287" w:lineRule="auto"/>
        <w:rPr>
          <w:sz w:val="20"/>
          <w:szCs w:val="20"/>
          <w:color w:val="auto"/>
        </w:rPr>
      </w:pPr>
      <w:r>
        <w:rPr>
          <w:rFonts w:ascii="Arial" w:cs="Arial" w:eastAsia="Arial" w:hAnsi="Arial"/>
          <w:sz w:val="16"/>
          <w:szCs w:val="16"/>
          <w:color w:val="auto"/>
        </w:rPr>
        <w:t>Westlake owns and controls our general partner and appoints all of the directors of our general partner. Although our general partner has a duty to manage us in a manner that it believes is not adverse to our interests, the executive officers and directors of our general partner have a fiduciary duty to manage our general partner in a manner beneficial to Westlake. Therefore, conflicts of interest may arise between Westlake or any of its affiliates, including our general partner, on the one hand, and us or any of our unitholders, on the other hand. In resolving these conflicts of interest, our general partner may favor its own interests and the interests of its affiliates over the interests of our common unitholders. These conflicts include the following situations, among others:</w:t>
      </w:r>
    </w:p>
    <w:p>
      <w:pPr>
        <w:spacing w:after="0" w:line="45" w:lineRule="exact"/>
        <w:rPr>
          <w:sz w:val="20"/>
          <w:szCs w:val="20"/>
          <w:color w:val="auto"/>
        </w:rPr>
      </w:pPr>
    </w:p>
    <w:p>
      <w:pPr>
        <w:ind w:left="640" w:right="580" w:hanging="319"/>
        <w:spacing w:after="0" w:line="261" w:lineRule="auto"/>
        <w:tabs>
          <w:tab w:leader="none" w:pos="636"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general partner is allowed to take into account the interests of parties other than us, such as Westlake, in exercising certain rights under our partnership agreement;</w:t>
      </w:r>
    </w:p>
    <w:p>
      <w:pPr>
        <w:spacing w:after="0" w:line="62" w:lineRule="exact"/>
        <w:rPr>
          <w:rFonts w:ascii="Arial" w:cs="Arial" w:eastAsia="Arial" w:hAnsi="Arial"/>
          <w:sz w:val="18"/>
          <w:szCs w:val="18"/>
          <w:color w:val="auto"/>
        </w:rPr>
      </w:pPr>
    </w:p>
    <w:p>
      <w:pPr>
        <w:ind w:left="640" w:hanging="319"/>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neither our partnership agreement nor any other agreement requires Westlake to pursue a business strategy that favors us;</w:t>
      </w:r>
    </w:p>
    <w:p>
      <w:pPr>
        <w:spacing w:after="0" w:line="82" w:lineRule="exact"/>
        <w:rPr>
          <w:rFonts w:ascii="Arial" w:cs="Arial" w:eastAsia="Arial" w:hAnsi="Arial"/>
          <w:sz w:val="18"/>
          <w:szCs w:val="18"/>
          <w:color w:val="auto"/>
        </w:rPr>
      </w:pPr>
    </w:p>
    <w:p>
      <w:pPr>
        <w:ind w:left="640" w:right="140" w:hanging="319"/>
        <w:spacing w:after="0" w:line="252" w:lineRule="auto"/>
        <w:tabs>
          <w:tab w:leader="none" w:pos="636"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partnership agreement replaces the fiduciary duties that would otherwise be owed by our general partner with contractual standards governing its duties, limits our general partner's liabilities and restricts the remedies available to our unitholders for actions that, without such limitations, might constitute breaches of fiduciary duty;</w:t>
      </w:r>
    </w:p>
    <w:p>
      <w:pPr>
        <w:spacing w:after="0" w:line="71" w:lineRule="exact"/>
        <w:rPr>
          <w:rFonts w:ascii="Arial" w:cs="Arial" w:eastAsia="Arial" w:hAnsi="Arial"/>
          <w:sz w:val="18"/>
          <w:szCs w:val="18"/>
          <w:color w:val="auto"/>
        </w:rPr>
      </w:pPr>
    </w:p>
    <w:p>
      <w:pPr>
        <w:ind w:left="640" w:hanging="319"/>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except in limited circumstances, our general partner has the power and authority to conduct our business without unitholder approval;</w:t>
      </w:r>
    </w:p>
    <w:p>
      <w:pPr>
        <w:spacing w:after="0" w:line="118" w:lineRule="exact"/>
        <w:rPr>
          <w:rFonts w:ascii="Arial" w:cs="Arial" w:eastAsia="Arial" w:hAnsi="Arial"/>
          <w:sz w:val="16"/>
          <w:szCs w:val="16"/>
          <w:color w:val="auto"/>
        </w:rPr>
      </w:pPr>
    </w:p>
    <w:p>
      <w:pPr>
        <w:ind w:left="640" w:right="160" w:hanging="319"/>
        <w:spacing w:after="0" w:line="261" w:lineRule="auto"/>
        <w:tabs>
          <w:tab w:leader="none" w:pos="636"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general partner determines the amount and timing of asset purchases and sales, borrowings, issuances of additional partnership securities and the level of reserves, each of which can affect the amount of cash that is distributed to our unitholders;</w:t>
      </w:r>
    </w:p>
    <w:p>
      <w:pPr>
        <w:spacing w:after="0" w:line="49" w:lineRule="exact"/>
        <w:rPr>
          <w:rFonts w:ascii="Arial" w:cs="Arial" w:eastAsia="Arial" w:hAnsi="Arial"/>
          <w:sz w:val="18"/>
          <w:szCs w:val="18"/>
          <w:color w:val="auto"/>
        </w:rPr>
      </w:pPr>
    </w:p>
    <w:p>
      <w:pPr>
        <w:ind w:left="640" w:right="200" w:hanging="319"/>
        <w:spacing w:after="0" w:line="252" w:lineRule="auto"/>
        <w:tabs>
          <w:tab w:leader="none" w:pos="636"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general partner determines the amount and timing of any cash expenditure and whether an expenditure is classified as a maintenance capital expenditure, which reduces operating surplus, or an expansion capital expenditure, which does not reduce operating surplus. This determination can affect the amount of cash from operating surplus that is distributed to our unitholders;</w:t>
      </w:r>
    </w:p>
    <w:p>
      <w:pPr>
        <w:spacing w:after="0" w:line="71" w:lineRule="exact"/>
        <w:rPr>
          <w:rFonts w:ascii="Arial" w:cs="Arial" w:eastAsia="Arial" w:hAnsi="Arial"/>
          <w:sz w:val="18"/>
          <w:szCs w:val="18"/>
          <w:color w:val="auto"/>
        </w:rPr>
      </w:pPr>
    </w:p>
    <w:p>
      <w:pPr>
        <w:ind w:left="640" w:right="20" w:hanging="319"/>
        <w:spacing w:after="0" w:line="252" w:lineRule="auto"/>
        <w:tabs>
          <w:tab w:leader="none" w:pos="636"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general partner may cause us to borrow funds in order to permit the payment of cash distributions, even if the purpose or effect of the borrowing is to make incentive distributions or may cause us not to borrow funds to pay cash distributions when we do not otherwise have the funds to pay such cash distributions;</w:t>
      </w:r>
    </w:p>
    <w:p>
      <w:pPr>
        <w:spacing w:after="0" w:line="71" w:lineRule="exact"/>
        <w:rPr>
          <w:rFonts w:ascii="Arial" w:cs="Arial" w:eastAsia="Arial" w:hAnsi="Arial"/>
          <w:sz w:val="18"/>
          <w:szCs w:val="18"/>
          <w:color w:val="auto"/>
        </w:rPr>
      </w:pPr>
    </w:p>
    <w:p>
      <w:pPr>
        <w:ind w:left="640" w:hanging="319"/>
        <w:spacing w:after="0" w:line="252" w:lineRule="auto"/>
        <w:tabs>
          <w:tab w:leader="none" w:pos="636"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partnership agreement permits us to distribute up to $28.0 million as operating surplus, even if it is generated from asset sales, non-working capital borrowings or other sources that would otherwise constitute capital surplus. This cash may be used to fund distributions on the incentive distribution rights;</w:t>
      </w:r>
    </w:p>
    <w:p>
      <w:pPr>
        <w:spacing w:after="0" w:line="58" w:lineRule="exact"/>
        <w:rPr>
          <w:rFonts w:ascii="Arial" w:cs="Arial" w:eastAsia="Arial" w:hAnsi="Arial"/>
          <w:sz w:val="18"/>
          <w:szCs w:val="18"/>
          <w:color w:val="auto"/>
        </w:rPr>
      </w:pPr>
    </w:p>
    <w:p>
      <w:pPr>
        <w:ind w:left="640" w:hanging="319"/>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general partner determines which costs incurred by it and its affiliates are reimbursable by us;</w:t>
      </w:r>
    </w:p>
    <w:p>
      <w:pPr>
        <w:spacing w:after="0" w:line="95" w:lineRule="exact"/>
        <w:rPr>
          <w:rFonts w:ascii="Arial" w:cs="Arial" w:eastAsia="Arial" w:hAnsi="Arial"/>
          <w:sz w:val="18"/>
          <w:szCs w:val="18"/>
          <w:color w:val="auto"/>
        </w:rPr>
      </w:pPr>
    </w:p>
    <w:p>
      <w:pPr>
        <w:ind w:left="640" w:right="60" w:hanging="319"/>
        <w:spacing w:after="0" w:line="261" w:lineRule="auto"/>
        <w:tabs>
          <w:tab w:leader="none" w:pos="636"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partnership agreement does not restrict our general partner from causing us to pay it or its affiliates for any services rendered to us or entering into additional contractual arrangements with its affiliates on our behalf;</w:t>
      </w:r>
    </w:p>
    <w:p>
      <w:pPr>
        <w:spacing w:after="0" w:line="62" w:lineRule="exact"/>
        <w:rPr>
          <w:rFonts w:ascii="Arial" w:cs="Arial" w:eastAsia="Arial" w:hAnsi="Arial"/>
          <w:sz w:val="18"/>
          <w:szCs w:val="18"/>
          <w:color w:val="auto"/>
        </w:rPr>
      </w:pPr>
    </w:p>
    <w:p>
      <w:pPr>
        <w:ind w:left="640" w:hanging="319"/>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general partner intends to limit its liability regarding our contractual and other obligations;</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general partner may exercise its right to call and purchase common units if it and its affiliates own more than 80% of the common units;</w:t>
      </w:r>
    </w:p>
    <w:p>
      <w:pPr>
        <w:spacing w:after="0" w:line="118" w:lineRule="exact"/>
        <w:rPr>
          <w:rFonts w:ascii="Arial" w:cs="Arial" w:eastAsia="Arial" w:hAnsi="Arial"/>
          <w:sz w:val="16"/>
          <w:szCs w:val="16"/>
          <w:color w:val="auto"/>
        </w:rPr>
      </w:pPr>
    </w:p>
    <w:p>
      <w:pPr>
        <w:ind w:left="640" w:hanging="319"/>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general partner controls the enforcement of obligations that it and its affiliates owe to us;</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our general partner decides whether to retain separate counsel, accountants or others to perform services for us; and</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640" w:hanging="319"/>
        <w:spacing w:after="0" w:line="252" w:lineRule="auto"/>
        <w:tabs>
          <w:tab w:leader="none" w:pos="636"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general partner may elect to cause us to issue common units to it in connection with a resetting of the target distribution levels related to Westlake's incentive distribution rights without the approval of the conflicts committee of the board of directors or the unitholders. This election may result in lower distributions to the common unitholders in certain situations.</w:t>
      </w:r>
    </w:p>
    <w:p>
      <w:pPr>
        <w:spacing w:after="0" w:line="138" w:lineRule="exact"/>
        <w:rPr>
          <w:sz w:val="20"/>
          <w:szCs w:val="20"/>
          <w:color w:val="auto"/>
        </w:rPr>
      </w:pPr>
    </w:p>
    <w:p>
      <w:pPr>
        <w:jc w:val="both"/>
        <w:ind w:right="40" w:firstLine="395"/>
        <w:spacing w:after="0" w:line="252" w:lineRule="auto"/>
        <w:rPr>
          <w:sz w:val="20"/>
          <w:szCs w:val="20"/>
          <w:color w:val="auto"/>
        </w:rPr>
      </w:pPr>
      <w:r>
        <w:rPr>
          <w:rFonts w:ascii="Arial" w:cs="Arial" w:eastAsia="Arial" w:hAnsi="Arial"/>
          <w:sz w:val="18"/>
          <w:szCs w:val="18"/>
          <w:color w:val="auto"/>
        </w:rPr>
        <w:t>In addition, we may compete directly with Westlake and entities in which it has an interest for acquisition opportunities and potentially will compete with these entities for new business or extensions of the existing services provided by us. See "—Risks Relating to Our Partnership Structure—</w:t>
      </w:r>
      <w:r>
        <w:rPr>
          <w:rFonts w:ascii="Arial" w:cs="Arial" w:eastAsia="Arial" w:hAnsi="Arial"/>
          <w:sz w:val="18"/>
          <w:szCs w:val="18"/>
          <w:i w:val="1"/>
          <w:iCs w:val="1"/>
          <w:color w:val="auto"/>
        </w:rPr>
        <w:t>Our General Partner</w:t>
      </w:r>
      <w:r>
        <w:rPr>
          <w:rFonts w:ascii="Arial" w:cs="Arial" w:eastAsia="Arial" w:hAnsi="Arial"/>
          <w:sz w:val="18"/>
          <w:szCs w:val="18"/>
          <w:color w:val="auto"/>
        </w:rPr>
        <w:t xml:space="preserve"> </w:t>
      </w:r>
      <w:r>
        <w:rPr>
          <w:rFonts w:ascii="Arial" w:cs="Arial" w:eastAsia="Arial" w:hAnsi="Arial"/>
          <w:sz w:val="18"/>
          <w:szCs w:val="18"/>
          <w:i w:val="1"/>
          <w:iCs w:val="1"/>
          <w:color w:val="auto"/>
        </w:rPr>
        <w:t>—Westlake and other affiliates of our general partner may compete with us</w:t>
      </w:r>
      <w:r>
        <w:rPr>
          <w:rFonts w:ascii="Arial" w:cs="Arial" w:eastAsia="Arial" w:hAnsi="Arial"/>
          <w:sz w:val="18"/>
          <w:szCs w:val="18"/>
          <w:color w:val="auto"/>
        </w:rPr>
        <w:t>" below.</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general partner has limited its liability regarding our obligations.</w:t>
      </w:r>
    </w:p>
    <w:p>
      <w:pPr>
        <w:spacing w:after="0" w:line="96" w:lineRule="exact"/>
        <w:rPr>
          <w:sz w:val="20"/>
          <w:szCs w:val="20"/>
          <w:color w:val="auto"/>
        </w:rPr>
      </w:pPr>
    </w:p>
    <w:p>
      <w:pPr>
        <w:ind w:right="20" w:firstLine="395"/>
        <w:spacing w:after="0" w:line="291" w:lineRule="auto"/>
        <w:rPr>
          <w:sz w:val="20"/>
          <w:szCs w:val="20"/>
          <w:color w:val="auto"/>
        </w:rPr>
      </w:pPr>
      <w:r>
        <w:rPr>
          <w:rFonts w:ascii="Arial" w:cs="Arial" w:eastAsia="Arial" w:hAnsi="Arial"/>
          <w:sz w:val="16"/>
          <w:szCs w:val="16"/>
          <w:color w:val="auto"/>
        </w:rPr>
        <w:t>Our general partner has limited its liability under contractual arrangements between us and third parties so that the counterparties to such arrangements have recourse only against our assets, and not against our general partner or its assets. Our general partner may therefore cause us to incur indebtedness or other obligations that are nonrecourse to our general partner. Our partnership agreement provides that any action taken by our general partner to limit its liability is not a breach of our general partner's duties, even if we could have obtained more favorable terms without the limitation on liability.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partnership agreement replaces our general partner's fiduciary duties to holders of our units.</w:t>
      </w:r>
    </w:p>
    <w:p>
      <w:pPr>
        <w:spacing w:after="0" w:line="83" w:lineRule="exact"/>
        <w:rPr>
          <w:sz w:val="20"/>
          <w:szCs w:val="20"/>
          <w:color w:val="auto"/>
        </w:rPr>
      </w:pPr>
    </w:p>
    <w:p>
      <w:pPr>
        <w:ind w:right="60" w:firstLine="395"/>
        <w:spacing w:after="0" w:line="287" w:lineRule="auto"/>
        <w:rPr>
          <w:sz w:val="20"/>
          <w:szCs w:val="20"/>
          <w:color w:val="auto"/>
        </w:rPr>
      </w:pPr>
      <w:r>
        <w:rPr>
          <w:rFonts w:ascii="Arial" w:cs="Arial" w:eastAsia="Arial" w:hAnsi="Arial"/>
          <w:sz w:val="16"/>
          <w:szCs w:val="16"/>
          <w:color w:val="auto"/>
        </w:rPr>
        <w:t>Our partnership agreement contains provisions that eliminate and replace the fiduciary standards to which our general partner would otherwise be held by state fiduciary duty law. For example, our partnership agreement permits our general partner to make a number of decisions in its individual capacity, as opposed to in its capacity as our general partner, or otherwise free of fiduciary duties to us and our unitholders. This entitles our general partner to consider only the interests and factors that it desires and relieves it of any duty or obligation to give any consideration to any interest of, or factors affecting, us, our affiliates or our limited partners. Examples of decisions that our general partner may make in its individual capacity include:</w:t>
      </w:r>
    </w:p>
    <w:p>
      <w:pPr>
        <w:spacing w:after="0" w:line="45" w:lineRule="exact"/>
        <w:rPr>
          <w:sz w:val="20"/>
          <w:szCs w:val="20"/>
          <w:color w:val="auto"/>
        </w:rPr>
      </w:pPr>
    </w:p>
    <w:p>
      <w:pPr>
        <w:ind w:left="640" w:hanging="319"/>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how to allocate business opportunities among us and its affiliates;</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to exercise its call right;</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how to exercise its voting rights with respect to the units it owns;</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to exercise its registration rights;</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to elect to reset target distribution levels; and</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whether or not to consent to any merger or consolidation of the partnership or amendment to the partnership agreement.</w:t>
      </w:r>
    </w:p>
    <w:p>
      <w:pPr>
        <w:spacing w:after="0" w:line="161" w:lineRule="exact"/>
        <w:rPr>
          <w:sz w:val="20"/>
          <w:szCs w:val="20"/>
          <w:color w:val="auto"/>
        </w:rPr>
      </w:pPr>
    </w:p>
    <w:p>
      <w:pPr>
        <w:ind w:right="620" w:firstLine="395"/>
        <w:spacing w:after="0" w:line="261" w:lineRule="auto"/>
        <w:rPr>
          <w:sz w:val="20"/>
          <w:szCs w:val="20"/>
          <w:color w:val="auto"/>
        </w:rPr>
      </w:pPr>
      <w:r>
        <w:rPr>
          <w:rFonts w:ascii="Arial" w:cs="Arial" w:eastAsia="Arial" w:hAnsi="Arial"/>
          <w:sz w:val="18"/>
          <w:szCs w:val="18"/>
          <w:color w:val="auto"/>
        </w:rPr>
        <w:t>By purchasing a common unit, a unitholder is treated as having consented to the provisions in the partnership agreement, including the provisions discussed above.</w:t>
      </w:r>
    </w:p>
    <w:p>
      <w:pPr>
        <w:spacing w:after="0" w:line="221"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i w:val="1"/>
          <w:iCs w:val="1"/>
          <w:color w:val="auto"/>
        </w:rPr>
        <w:t>Our partnership agreement restricts the remedies available to holders of our units for actions taken by our general partner that might otherwise constitute breaches of fiduciary duty.</w:t>
      </w:r>
    </w:p>
    <w:p>
      <w:pPr>
        <w:spacing w:after="0" w:line="63" w:lineRule="exact"/>
        <w:rPr>
          <w:sz w:val="20"/>
          <w:szCs w:val="20"/>
          <w:color w:val="auto"/>
        </w:rPr>
      </w:pPr>
    </w:p>
    <w:p>
      <w:pPr>
        <w:ind w:right="520" w:firstLine="395"/>
        <w:spacing w:after="0" w:line="324" w:lineRule="auto"/>
        <w:rPr>
          <w:sz w:val="20"/>
          <w:szCs w:val="20"/>
          <w:color w:val="auto"/>
        </w:rPr>
      </w:pPr>
      <w:r>
        <w:rPr>
          <w:rFonts w:ascii="Arial" w:cs="Arial" w:eastAsia="Arial" w:hAnsi="Arial"/>
          <w:sz w:val="16"/>
          <w:szCs w:val="16"/>
          <w:color w:val="auto"/>
        </w:rPr>
        <w:t>Our partnership agreement contains provisions that restrict the remedies available to unitholders for actions taken by our general partner that might otherwise constitute breaches of fiduciary duty under state fiduciary duty law. For example, our partnership agreement provides that:</w:t>
      </w:r>
    </w:p>
    <w:p>
      <w:pPr>
        <w:spacing w:after="0" w:line="3" w:lineRule="exact"/>
        <w:rPr>
          <w:sz w:val="20"/>
          <w:szCs w:val="20"/>
          <w:color w:val="auto"/>
        </w:rPr>
      </w:pPr>
    </w:p>
    <w:p>
      <w:pPr>
        <w:ind w:left="640" w:right="280" w:hanging="319"/>
        <w:spacing w:after="0" w:line="299" w:lineRule="auto"/>
        <w:tabs>
          <w:tab w:leader="none" w:pos="636" w:val="left"/>
        </w:tabs>
        <w:numPr>
          <w:ilvl w:val="0"/>
          <w:numId w:val="24"/>
        </w:numPr>
        <w:rPr>
          <w:rFonts w:ascii="Arial" w:cs="Arial" w:eastAsia="Arial" w:hAnsi="Arial"/>
          <w:sz w:val="16"/>
          <w:szCs w:val="16"/>
          <w:color w:val="auto"/>
        </w:rPr>
      </w:pPr>
      <w:r>
        <w:rPr>
          <w:rFonts w:ascii="Arial" w:cs="Arial" w:eastAsia="Arial" w:hAnsi="Arial"/>
          <w:sz w:val="16"/>
          <w:szCs w:val="16"/>
          <w:color w:val="auto"/>
        </w:rPr>
        <w:t>whenever our general partner makes a determination or takes, or declines to take, any other action in its capacity as our general partner, our general partner is generally required to make such determination, or take or decline to take such other action, in good faith, and will not be subject to any higher standard imposed by our partnership agreement, Delaware law, or any other law, rule or regulation, or at equity;</w:t>
      </w:r>
    </w:p>
    <w:p>
      <w:pPr>
        <w:spacing w:after="0" w:line="36" w:lineRule="exact"/>
        <w:rPr>
          <w:rFonts w:ascii="Arial" w:cs="Arial" w:eastAsia="Arial" w:hAnsi="Arial"/>
          <w:sz w:val="16"/>
          <w:szCs w:val="16"/>
          <w:color w:val="auto"/>
        </w:rPr>
      </w:pPr>
    </w:p>
    <w:p>
      <w:pPr>
        <w:ind w:left="640" w:right="60" w:hanging="319"/>
        <w:spacing w:after="0" w:line="316" w:lineRule="auto"/>
        <w:tabs>
          <w:tab w:leader="none" w:pos="636" w:val="left"/>
        </w:tabs>
        <w:numPr>
          <w:ilvl w:val="0"/>
          <w:numId w:val="24"/>
        </w:numPr>
        <w:rPr>
          <w:rFonts w:ascii="Arial" w:cs="Arial" w:eastAsia="Arial" w:hAnsi="Arial"/>
          <w:sz w:val="15"/>
          <w:szCs w:val="15"/>
          <w:color w:val="auto"/>
        </w:rPr>
      </w:pPr>
      <w:r>
        <w:rPr>
          <w:rFonts w:ascii="Arial" w:cs="Arial" w:eastAsia="Arial" w:hAnsi="Arial"/>
          <w:sz w:val="15"/>
          <w:szCs w:val="15"/>
          <w:color w:val="auto"/>
        </w:rPr>
        <w:t>our general partner and its officers and directors will not be liable for monetary damages or otherwise to us or our limited partners resulting from any act or omission unless there has been a final and non-appealable judgment entered by a court of competent jurisdiction determining that such losses or liabilities were the result of conduct in which our general partner or its officers or directors engaged in bad faith, meaning that they believed that the decision was adverse to the interest of the partnership or, with respect to any criminal conduct, with knowledge that such conduct was unlawful; and</w:t>
      </w:r>
    </w:p>
    <w:p>
      <w:pPr>
        <w:spacing w:after="0" w:line="25" w:lineRule="exact"/>
        <w:rPr>
          <w:rFonts w:ascii="Arial" w:cs="Arial" w:eastAsia="Arial" w:hAnsi="Arial"/>
          <w:sz w:val="15"/>
          <w:szCs w:val="15"/>
          <w:color w:val="auto"/>
        </w:rPr>
      </w:pPr>
    </w:p>
    <w:p>
      <w:pPr>
        <w:ind w:left="640" w:right="320" w:hanging="319"/>
        <w:spacing w:after="0" w:line="261" w:lineRule="auto"/>
        <w:tabs>
          <w:tab w:leader="none" w:pos="636"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general partner will not be in breach of its obligations under the partnership agreement or its duties to us or our limited partners if a transaction with an affiliate or the resolution of a conflict of interest is:</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020" w:hanging="383"/>
        <w:spacing w:after="0"/>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approved by the conflicts committee of the board of directors, although our general partner is not obligated to seek such approval; or</w:t>
      </w:r>
    </w:p>
    <w:p>
      <w:pPr>
        <w:spacing w:after="0" w:line="105" w:lineRule="exact"/>
        <w:rPr>
          <w:rFonts w:ascii="Arial" w:cs="Arial" w:eastAsia="Arial" w:hAnsi="Arial"/>
          <w:sz w:val="16"/>
          <w:szCs w:val="16"/>
          <w:color w:val="auto"/>
        </w:rPr>
      </w:pPr>
    </w:p>
    <w:p>
      <w:pPr>
        <w:ind w:left="1020" w:hanging="383"/>
        <w:spacing w:after="0"/>
        <w:tabs>
          <w:tab w:leader="none" w:pos="10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approved by the vote of a majority of the outstanding common units, excluding any common units owned by our general partner and its affiliates.</w:t>
      </w:r>
    </w:p>
    <w:p>
      <w:pPr>
        <w:spacing w:after="0" w:line="184" w:lineRule="exact"/>
        <w:rPr>
          <w:sz w:val="20"/>
          <w:szCs w:val="20"/>
          <w:color w:val="auto"/>
        </w:rPr>
      </w:pPr>
    </w:p>
    <w:p>
      <w:pPr>
        <w:ind w:firstLine="395"/>
        <w:spacing w:after="0" w:line="287" w:lineRule="auto"/>
        <w:rPr>
          <w:sz w:val="20"/>
          <w:szCs w:val="20"/>
          <w:color w:val="auto"/>
        </w:rPr>
      </w:pPr>
      <w:r>
        <w:rPr>
          <w:rFonts w:ascii="Arial" w:cs="Arial" w:eastAsia="Arial" w:hAnsi="Arial"/>
          <w:sz w:val="16"/>
          <w:szCs w:val="16"/>
          <w:color w:val="auto"/>
        </w:rPr>
        <w:t>In connection with a situation involving a transaction with an affiliate or a conflict of interest, other than one where our general partner is permitted to act in its sole discretion, any determination by our general partner must be made in good faith. If an affiliate transaction or the resolution of a conflict of interest is not approved by our common unitholders or the conflicts committee, then it will be presumed that, in making its decision, taking any action or failing to act, the board of directors acted in good faith, and in any proceeding brought by or on behalf of any limited partner or the partnership, the person bringing or prosecuting such proceeding will have the burden of overcoming such presumption.</w:t>
      </w:r>
    </w:p>
    <w:p>
      <w:pPr>
        <w:spacing w:after="0" w:line="111" w:lineRule="exact"/>
        <w:rPr>
          <w:sz w:val="20"/>
          <w:szCs w:val="20"/>
          <w:color w:val="auto"/>
        </w:rPr>
      </w:pPr>
    </w:p>
    <w:p>
      <w:pPr>
        <w:ind w:right="40" w:firstLine="395"/>
        <w:spacing w:after="0" w:line="250" w:lineRule="auto"/>
        <w:rPr>
          <w:sz w:val="20"/>
          <w:szCs w:val="20"/>
          <w:color w:val="auto"/>
        </w:rPr>
      </w:pPr>
      <w:r>
        <w:rPr>
          <w:rFonts w:ascii="Arial" w:cs="Arial" w:eastAsia="Arial" w:hAnsi="Arial"/>
          <w:sz w:val="18"/>
          <w:szCs w:val="18"/>
          <w:color w:val="auto"/>
        </w:rPr>
        <w:t>Our partnership agreement provides that the conflicts committee of the board of directors may be comprised of one or more independent directors. If the board of directors establishes a conflicts committee with only one independent director, your interests may not be as well served as if the conflicts committee was comprised of at least two independent directors. A single-member conflicts committee would not have the benefit of discussion with, and input from, other independent directors.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Westlake and other affiliates of our general partner may compete with us.</w:t>
      </w:r>
    </w:p>
    <w:p>
      <w:pPr>
        <w:spacing w:after="0" w:line="96" w:lineRule="exact"/>
        <w:rPr>
          <w:sz w:val="20"/>
          <w:szCs w:val="20"/>
          <w:color w:val="auto"/>
        </w:rPr>
      </w:pPr>
    </w:p>
    <w:p>
      <w:pPr>
        <w:jc w:val="both"/>
        <w:ind w:right="220" w:firstLine="395"/>
        <w:spacing w:after="0" w:line="324" w:lineRule="auto"/>
        <w:rPr>
          <w:sz w:val="20"/>
          <w:szCs w:val="20"/>
          <w:color w:val="auto"/>
        </w:rPr>
      </w:pPr>
      <w:r>
        <w:rPr>
          <w:rFonts w:ascii="Arial" w:cs="Arial" w:eastAsia="Arial" w:hAnsi="Arial"/>
          <w:sz w:val="16"/>
          <w:szCs w:val="16"/>
          <w:color w:val="auto"/>
        </w:rPr>
        <w:t>Affiliates of our general partner, including Westlake, are not prohibited from engaging in other businesses or activities, including those that might be in direct competition with us. In addition, Westlake may compete with us for investment opportunities and may own an interest in entities that compete with us.</w:t>
      </w:r>
    </w:p>
    <w:p>
      <w:pPr>
        <w:spacing w:after="0" w:line="82" w:lineRule="exact"/>
        <w:rPr>
          <w:sz w:val="20"/>
          <w:szCs w:val="20"/>
          <w:color w:val="auto"/>
        </w:rPr>
      </w:pPr>
    </w:p>
    <w:p>
      <w:pPr>
        <w:ind w:right="40" w:firstLine="395"/>
        <w:spacing w:after="0" w:line="247" w:lineRule="auto"/>
        <w:rPr>
          <w:sz w:val="20"/>
          <w:szCs w:val="20"/>
          <w:color w:val="auto"/>
        </w:rPr>
      </w:pPr>
      <w:r>
        <w:rPr>
          <w:rFonts w:ascii="Arial" w:cs="Arial" w:eastAsia="Arial" w:hAnsi="Arial"/>
          <w:sz w:val="18"/>
          <w:szCs w:val="18"/>
          <w:color w:val="auto"/>
        </w:rPr>
        <w:t>Pursuant to the terms of our partnership agreement, the doctrine of corporate opportunity, or any analogous doctrine, does not apply to our general partner or any of its affiliates, including its executive officers and directors and Westlake. Any such person or entity that becomes aware of a potential transaction, agreement, arrangement or other matter that may be an opportunity for us will not have any duty to communicate or offer such opportunity to us. Any such person or entity will not be liable to us or to any limited partner for breach of any fiduciary duty or other duty by reason of the fact that such person or entity pursues or acquires such opportunity for itself, directs such opportunity to another person or entity or does not communicate such opportunity or information to us. This may create actual and potential conflicts of interest between us and affiliates of our general partner and result in less than favorable treatment of us and our unitholders.</w:t>
      </w:r>
    </w:p>
    <w:p>
      <w:pPr>
        <w:spacing w:after="0" w:line="219" w:lineRule="exact"/>
        <w:rPr>
          <w:sz w:val="20"/>
          <w:szCs w:val="20"/>
          <w:color w:val="auto"/>
        </w:rPr>
      </w:pPr>
    </w:p>
    <w:p>
      <w:pPr>
        <w:ind w:right="300"/>
        <w:spacing w:after="0" w:line="261" w:lineRule="auto"/>
        <w:rPr>
          <w:sz w:val="20"/>
          <w:szCs w:val="20"/>
          <w:color w:val="auto"/>
        </w:rPr>
      </w:pPr>
      <w:r>
        <w:rPr>
          <w:rFonts w:ascii="Arial" w:cs="Arial" w:eastAsia="Arial" w:hAnsi="Arial"/>
          <w:sz w:val="18"/>
          <w:szCs w:val="18"/>
          <w:b w:val="1"/>
          <w:bCs w:val="1"/>
          <w:i w:val="1"/>
          <w:iCs w:val="1"/>
          <w:color w:val="auto"/>
        </w:rPr>
        <w:t>Holders of our common units have limited voting rights and are not entitled to elect our general partner or its directors, which could reduce the price at which our common units trade.</w:t>
      </w:r>
    </w:p>
    <w:p>
      <w:pPr>
        <w:spacing w:after="0" w:line="63" w:lineRule="exact"/>
        <w:rPr>
          <w:sz w:val="20"/>
          <w:szCs w:val="20"/>
          <w:color w:val="auto"/>
        </w:rPr>
      </w:pPr>
    </w:p>
    <w:p>
      <w:pPr>
        <w:ind w:right="20" w:firstLine="395"/>
        <w:spacing w:after="0" w:line="284" w:lineRule="auto"/>
        <w:rPr>
          <w:sz w:val="20"/>
          <w:szCs w:val="20"/>
          <w:color w:val="auto"/>
        </w:rPr>
      </w:pPr>
      <w:r>
        <w:rPr>
          <w:rFonts w:ascii="Arial" w:cs="Arial" w:eastAsia="Arial" w:hAnsi="Arial"/>
          <w:sz w:val="16"/>
          <w:szCs w:val="16"/>
          <w:color w:val="auto"/>
        </w:rPr>
        <w:t>Compared to the holders of common stock in a corporation, unitholders have limited voting rights and, therefore, limited ability to influence management's decisions regarding our business. Unitholders will have no right on an annual or ongoing basis to elect our general partner or its board of directors. The board of directors, including the independent directors, is chosen entirely by Westlake, as a result of it owning our general partner, and not by our unitholders. Unlike publicly-traded corporations, we do not conduct annual meetings of our unitholders to elect directors or conduct other matters routinely conducted at annual meetings of stockholders of corporations. As a result of these limitations, the price at which the common units trade could be diminished because of the absence or reduction of a takeover premium in the trading price.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Even if holders of our common units are dissatisfied, they cannot currently remove our general partner without its consent.</w:t>
      </w:r>
    </w:p>
    <w:p>
      <w:pPr>
        <w:spacing w:after="0" w:line="83" w:lineRule="exact"/>
        <w:rPr>
          <w:sz w:val="20"/>
          <w:szCs w:val="20"/>
          <w:color w:val="auto"/>
        </w:rPr>
      </w:pPr>
    </w:p>
    <w:p>
      <w:pPr>
        <w:ind w:right="40" w:firstLine="395"/>
        <w:spacing w:after="0" w:line="251" w:lineRule="auto"/>
        <w:rPr>
          <w:sz w:val="20"/>
          <w:szCs w:val="20"/>
          <w:color w:val="auto"/>
        </w:rPr>
      </w:pPr>
      <w:r>
        <w:rPr>
          <w:rFonts w:ascii="Arial" w:cs="Arial" w:eastAsia="Arial" w:hAnsi="Arial"/>
          <w:sz w:val="17"/>
          <w:szCs w:val="17"/>
          <w:color w:val="auto"/>
        </w:rPr>
        <w:t xml:space="preserve">If our unitholders are dissatisfied with the performance of our general partner, they currently cannot remove our general partner. Unitholders currently are unable to remove our general partner without its consent because our general partner and its affiliates own sufficient units to be able to prevent its removal. The vote, including Westlake, of the holders of at least 66 </w:t>
      </w:r>
      <w:r>
        <w:rPr>
          <w:rFonts w:ascii="Arial" w:cs="Arial" w:eastAsia="Arial" w:hAnsi="Arial"/>
          <w:sz w:val="21"/>
          <w:szCs w:val="21"/>
          <w:color w:val="auto"/>
          <w:vertAlign w:val="superscript"/>
        </w:rPr>
        <w:t>2</w:t>
      </w:r>
      <w:r>
        <w:rPr>
          <w:rFonts w:ascii="Arial" w:cs="Arial" w:eastAsia="Arial" w:hAnsi="Arial"/>
          <w:sz w:val="17"/>
          <w:szCs w:val="17"/>
          <w:color w:val="auto"/>
        </w:rPr>
        <w:t>/</w:t>
      </w:r>
      <w:r>
        <w:rPr>
          <w:rFonts w:ascii="Arial" w:cs="Arial" w:eastAsia="Arial" w:hAnsi="Arial"/>
          <w:sz w:val="21"/>
          <w:szCs w:val="21"/>
          <w:color w:val="auto"/>
          <w:vertAlign w:val="subscript"/>
        </w:rPr>
        <w:t>3</w:t>
      </w:r>
      <w:r>
        <w:rPr>
          <w:rFonts w:ascii="Arial" w:cs="Arial" w:eastAsia="Arial" w:hAnsi="Arial"/>
          <w:sz w:val="17"/>
          <w:szCs w:val="17"/>
          <w:color w:val="auto"/>
        </w:rPr>
        <w:t>% of all outstanding common and subordinated units voting together as a single class is required to remove our general partner. As of February 22, 2023, Westlake owned an aggregate of 40.1% of our common units. This condition provides Westlake, at its current ownership levels, the ability to prevent the removal of our general partner.</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 of our general partner may be transferred to a third party without unitholder consent.</w:t>
      </w:r>
    </w:p>
    <w:p>
      <w:pPr>
        <w:spacing w:after="0" w:line="96" w:lineRule="exact"/>
        <w:rPr>
          <w:sz w:val="20"/>
          <w:szCs w:val="20"/>
          <w:color w:val="auto"/>
        </w:rPr>
      </w:pPr>
    </w:p>
    <w:p>
      <w:pPr>
        <w:ind w:right="220" w:firstLine="395"/>
        <w:spacing w:after="0" w:line="248" w:lineRule="auto"/>
        <w:rPr>
          <w:sz w:val="20"/>
          <w:szCs w:val="20"/>
          <w:color w:val="auto"/>
        </w:rPr>
      </w:pPr>
      <w:r>
        <w:rPr>
          <w:rFonts w:ascii="Arial" w:cs="Arial" w:eastAsia="Arial" w:hAnsi="Arial"/>
          <w:sz w:val="18"/>
          <w:szCs w:val="18"/>
          <w:color w:val="auto"/>
        </w:rPr>
        <w:t>Our general partner may transfer its general partner interest to a third party without the consent of our unitholders. Furthermore, our partnership agreement permits Westlake to transfer ownership of our general partner to a third party, also without the consent of our unitholders. The new owner of our general partner would then be in a position to replace the board of directors and executive officers of our general partner with its own designees and thereby exert significant control over the decisions taken by the board of directors and executive officers of our general partner. This effectively permits a "change of control" without the vote or consent of the unitholders.</w:t>
      </w: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general partner has a call right that may require unitholders to sell their common units at an undesirable time or price.</w:t>
      </w:r>
    </w:p>
    <w:p>
      <w:pPr>
        <w:spacing w:after="0" w:line="83" w:lineRule="exact"/>
        <w:rPr>
          <w:sz w:val="20"/>
          <w:szCs w:val="20"/>
          <w:color w:val="auto"/>
        </w:rPr>
      </w:pPr>
    </w:p>
    <w:p>
      <w:pPr>
        <w:ind w:firstLine="395"/>
        <w:spacing w:after="0" w:line="280" w:lineRule="auto"/>
        <w:rPr>
          <w:sz w:val="20"/>
          <w:szCs w:val="20"/>
          <w:color w:val="auto"/>
        </w:rPr>
      </w:pPr>
      <w:r>
        <w:rPr>
          <w:rFonts w:ascii="Arial" w:cs="Arial" w:eastAsia="Arial" w:hAnsi="Arial"/>
          <w:sz w:val="16"/>
          <w:szCs w:val="16"/>
          <w:color w:val="auto"/>
        </w:rPr>
        <w:t>If at any time our general partner and its affiliates own more than 80% of the common units, our general partner will have the right, which it may assign to any of its affiliates or to us, but not the obligation, to acquire all, but not less than all, of the common units held by unaffiliated persons at a price equal to the greater of (1) the average of the daily closing price of the common units over the 20 trading days preceding the date three days before notice of exercise of the call right is first mailed and (2) the highest per-unit price paid by our general partner or any of its affiliates for common units during the 90-day period preceding the date such notice is first mailed. As a result, unitholders may be required to sell their common units at an undesirable time or price and may not receive any return or a negative return on their investment. Unitholders may also incur a tax liability upon a sale of their units. Our general partner is not obligated to obtain a fairness opinion regarding the value of the common units to be repurchased by it upon exercise of the limited call right. There is no restriction in our partnership agreement that prevents our general partner from causing us to issue additional common units and then exercising its call right. If our general partner exercised its limited call right, the effect would be to take us private and, if the units were subsequently deregistered, we would no longer be subject to the reporting requirements of the Securities Exchange Act of 1934, as amended, or the Exchange Act.</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Distributions to Unitholders</w:t>
      </w:r>
    </w:p>
    <w:p>
      <w:pPr>
        <w:spacing w:after="0" w:line="161"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The board of directors may modify or revoke our cash distribution policy at any time at its discretion. Our partnership agreement does not require us to pay any distributions at all.</w:t>
      </w:r>
    </w:p>
    <w:p>
      <w:pPr>
        <w:spacing w:after="0" w:line="63" w:lineRule="exact"/>
        <w:rPr>
          <w:sz w:val="20"/>
          <w:szCs w:val="20"/>
          <w:color w:val="auto"/>
        </w:rPr>
      </w:pPr>
    </w:p>
    <w:p>
      <w:pPr>
        <w:ind w:right="60" w:firstLine="395"/>
        <w:spacing w:after="0" w:line="299" w:lineRule="auto"/>
        <w:rPr>
          <w:sz w:val="20"/>
          <w:szCs w:val="20"/>
          <w:color w:val="auto"/>
        </w:rPr>
      </w:pPr>
      <w:r>
        <w:rPr>
          <w:rFonts w:ascii="Arial" w:cs="Arial" w:eastAsia="Arial" w:hAnsi="Arial"/>
          <w:sz w:val="16"/>
          <w:szCs w:val="16"/>
          <w:color w:val="auto"/>
        </w:rPr>
        <w:t>The board of directors adopted a cash distribution policy pursuant to which we intend to distribute quarterly at least $0.2750 per unit on all of our units to the extent we have sufficient cash after the establishment of cash reserves and the payment of our expenses, including payments to our general partner and its affiliates. However, the board may change such policy at any time at its discretion and could elect not to pay distributions for one or more quarters.</w:t>
      </w:r>
    </w:p>
    <w:p>
      <w:pPr>
        <w:spacing w:after="0" w:line="102" w:lineRule="exact"/>
        <w:rPr>
          <w:sz w:val="20"/>
          <w:szCs w:val="20"/>
          <w:color w:val="auto"/>
        </w:rPr>
      </w:pPr>
    </w:p>
    <w:p>
      <w:pPr>
        <w:ind w:right="20" w:firstLine="395"/>
        <w:spacing w:after="0" w:line="287" w:lineRule="auto"/>
        <w:rPr>
          <w:sz w:val="20"/>
          <w:szCs w:val="20"/>
          <w:color w:val="auto"/>
        </w:rPr>
      </w:pPr>
      <w:r>
        <w:rPr>
          <w:rFonts w:ascii="Arial" w:cs="Arial" w:eastAsia="Arial" w:hAnsi="Arial"/>
          <w:sz w:val="16"/>
          <w:szCs w:val="16"/>
          <w:color w:val="auto"/>
        </w:rPr>
        <w:t>In addition, our partnership agreement does not require us to pay any distributions at all. Accordingly, investors are cautioned not to place undue reliance on the permanence of such a policy in making an investment decision. Any modification or revocation of our cash distribution policy could substantially reduce or eliminate the amount we distribute to our unitholders. The amount of distributions we make, if any, and the decision to make any distribution at all will be determined by the board of directors, whose interests may differ from those of our common unitholders. Our general partner has limited duties to our unitholders, which may permit it to favor its own interests or the interests of Westlake to the detriment of our common unitholders.</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expect to distribute a significant portion of our available cash to our partners, which could limit our ability to grow and make acquisitions.</w:t>
      </w:r>
    </w:p>
    <w:p>
      <w:pPr>
        <w:spacing w:after="0" w:line="184" w:lineRule="exact"/>
        <w:rPr>
          <w:sz w:val="20"/>
          <w:szCs w:val="20"/>
          <w:color w:val="auto"/>
        </w:rPr>
      </w:pPr>
    </w:p>
    <w:p>
      <w:pPr>
        <w:ind w:firstLine="395"/>
        <w:spacing w:after="0" w:line="247" w:lineRule="auto"/>
        <w:rPr>
          <w:sz w:val="20"/>
          <w:szCs w:val="20"/>
          <w:color w:val="auto"/>
        </w:rPr>
      </w:pPr>
      <w:r>
        <w:rPr>
          <w:rFonts w:ascii="Arial" w:cs="Arial" w:eastAsia="Arial" w:hAnsi="Arial"/>
          <w:sz w:val="18"/>
          <w:szCs w:val="18"/>
          <w:color w:val="auto"/>
        </w:rPr>
        <w:t>We plan to distribute most of our available cash, which may cause our growth to proceed at a slower pace than that of businesses that reinvest their cash to expand ongoing operations. To the extent we issue additional units in connection with any acquisitions or expansion capital expenditures, the payment of distributions on those additional units may increase the risk that we will be unable to maintain or increase our per unit distribution level. There are no limitations in our partnership agreement on our ability to issue additional units, including units ranking senior to the common units. The incurrence of additional commercial borrowings or other debt to finance our growth strategy would result in increased interest expense, which, in turn, may impact the cash that we have available to distribute to our unitholders.</w:t>
      </w: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80"/>
        <w:spacing w:after="0" w:line="299" w:lineRule="auto"/>
        <w:rPr>
          <w:sz w:val="20"/>
          <w:szCs w:val="20"/>
          <w:color w:val="auto"/>
        </w:rPr>
      </w:pPr>
      <w:r>
        <w:rPr>
          <w:rFonts w:ascii="Arial" w:cs="Arial" w:eastAsia="Arial" w:hAnsi="Arial"/>
          <w:sz w:val="16"/>
          <w:szCs w:val="16"/>
          <w:b w:val="1"/>
          <w:bCs w:val="1"/>
          <w:i w:val="1"/>
          <w:iCs w:val="1"/>
          <w:color w:val="auto"/>
        </w:rPr>
        <w:t>The holder or holders of our incentive distribution rights may elect to cause us to issue common units to it in connection with a resetting of the target distribution levels related to the incentive distribution rights, without the approval of the conflicts committee of our board of directors or the holders of our common units. This could result in lower distributions to holders of our common units.</w:t>
      </w:r>
    </w:p>
    <w:p>
      <w:pPr>
        <w:spacing w:after="0" w:line="23" w:lineRule="exact"/>
        <w:rPr>
          <w:sz w:val="20"/>
          <w:szCs w:val="20"/>
          <w:color w:val="auto"/>
        </w:rPr>
      </w:pPr>
    </w:p>
    <w:p>
      <w:pPr>
        <w:jc w:val="both"/>
        <w:ind w:right="300" w:firstLine="395"/>
        <w:spacing w:after="0" w:line="279" w:lineRule="auto"/>
        <w:rPr>
          <w:sz w:val="20"/>
          <w:szCs w:val="20"/>
          <w:color w:val="auto"/>
        </w:rPr>
      </w:pPr>
      <w:r>
        <w:rPr>
          <w:rFonts w:ascii="Arial" w:cs="Arial" w:eastAsia="Arial" w:hAnsi="Arial"/>
          <w:sz w:val="16"/>
          <w:szCs w:val="16"/>
          <w:color w:val="auto"/>
        </w:rPr>
        <w:t>The holder or holders of a majority of our incentive distribution rights (currently Westlake) have the right, at any time when there are no subordinated units outstanding and we have made cash distributions in excess of the then-applicable third target distribution for each of the prior four consecutive fiscal quarters, to reset the initial target distribution levels at higher levels based on our cash distribution levels at the time of the exercise of the reset election.</w:t>
      </w:r>
    </w:p>
    <w:p>
      <w:pPr>
        <w:spacing w:after="0" w:line="2" w:lineRule="exact"/>
        <w:rPr>
          <w:sz w:val="20"/>
          <w:szCs w:val="20"/>
          <w:color w:val="auto"/>
        </w:rPr>
      </w:pPr>
    </w:p>
    <w:p>
      <w:pPr>
        <w:ind w:right="20"/>
        <w:spacing w:after="0" w:line="244" w:lineRule="auto"/>
        <w:rPr>
          <w:sz w:val="20"/>
          <w:szCs w:val="20"/>
          <w:color w:val="auto"/>
        </w:rPr>
      </w:pPr>
      <w:r>
        <w:rPr>
          <w:rFonts w:ascii="Arial" w:cs="Arial" w:eastAsia="Arial" w:hAnsi="Arial"/>
          <w:sz w:val="18"/>
          <w:szCs w:val="18"/>
          <w:color w:val="auto"/>
        </w:rPr>
        <w:t>Following a reset election by such holder or holders, the minimum quarterly distribution will be calculated equal to an amount equal to the prior cash distribution per common unit for the fiscal quarter immediately preceding the reset election (such amount is referred to as the "reset minimum quarterly distribution") and the target distribution levels will be reset to correspondingly higher levels based on percentage increases above the reset minimum quarterly distribution. If such holder or holders elects to reset the target distribution levels, they will be entitled to receive common units as consideration for such election. The number of common units to be issued to such holder or holders will equal the number of common units that would have entitled the holder to an aggregate quarterly cash distribution for the quarter prior to the reset election equal to the distribution on the incentive distribution rights for the quarter prior to the reset election.</w:t>
      </w:r>
    </w:p>
    <w:p>
      <w:pPr>
        <w:spacing w:after="0" w:line="147" w:lineRule="exact"/>
        <w:rPr>
          <w:sz w:val="20"/>
          <w:szCs w:val="20"/>
          <w:color w:val="auto"/>
        </w:rPr>
      </w:pPr>
    </w:p>
    <w:p>
      <w:pPr>
        <w:ind w:firstLine="395"/>
        <w:spacing w:after="0" w:line="280" w:lineRule="auto"/>
        <w:rPr>
          <w:sz w:val="20"/>
          <w:szCs w:val="20"/>
          <w:color w:val="auto"/>
        </w:rPr>
      </w:pPr>
      <w:r>
        <w:rPr>
          <w:rFonts w:ascii="Arial" w:cs="Arial" w:eastAsia="Arial" w:hAnsi="Arial"/>
          <w:sz w:val="16"/>
          <w:szCs w:val="16"/>
          <w:color w:val="auto"/>
        </w:rPr>
        <w:t>Westlake, as the current holder of our incentive distribution rights, could exercise this reset right in order to facilitate acquisitions or internal growth projects that would not be sufficiently accretive to cash distributions per unit without such conversion. However, Westlake may transfer the incentive distribution rights at any time. It is possible that Westlake or a transferee could exercise this reset election at a time when we are experiencing declines in our aggregate cash distributions or at a time when the holders of the incentive distribution rights expect that we will experience declines in our aggregate cash distributions in the foreseeable future. In such situations, a holder of the incentive distribution rights may be experiencing, or may expect to experience, declines in the cash distributions it receives related to the incentive distribution rights and may therefore desire to be issued our common units rather than retain the right to receive incentive distributions based on the initial target distribution levels. As a result, a reset election may cause our common unitholders to experience reduction in the amount of cash distributions that they would have otherwise received had we not issued new common units to the holders of the incentive distribution rights in connection with resetting the target distribution levels.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incentive distribution rights may be transferred to a third party without unitholder consent.</w:t>
      </w:r>
    </w:p>
    <w:p>
      <w:pPr>
        <w:spacing w:after="0" w:line="96" w:lineRule="exact"/>
        <w:rPr>
          <w:sz w:val="20"/>
          <w:szCs w:val="20"/>
          <w:color w:val="auto"/>
        </w:rPr>
      </w:pPr>
    </w:p>
    <w:p>
      <w:pPr>
        <w:ind w:right="240" w:firstLine="395"/>
        <w:spacing w:after="0" w:line="291" w:lineRule="auto"/>
        <w:rPr>
          <w:sz w:val="20"/>
          <w:szCs w:val="20"/>
          <w:color w:val="auto"/>
        </w:rPr>
      </w:pPr>
      <w:r>
        <w:rPr>
          <w:rFonts w:ascii="Arial" w:cs="Arial" w:eastAsia="Arial" w:hAnsi="Arial"/>
          <w:sz w:val="16"/>
          <w:szCs w:val="16"/>
          <w:color w:val="auto"/>
        </w:rPr>
        <w:t>Westlake may transfer the incentive distribution rights to a third party at any time without the consent of our unitholders. If Westlake transfers the incentive distribution rights to a third party, it would not have the same incentive to grow our partnership and increase quarterly distributions to unitholders over time. For example, a transfer of incentive distribution rights by Westlake could reduce the likelihood of it accepting offers made by us relating to assets owned by Westlake, as it would have less of an economic incentive to grow our business, which in turn would impact our ability to grow our asset base.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Ownership of Our Common Units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issue additional units without unitholder approval, which would dilute existing unitholder ownership interests.</w:t>
      </w:r>
    </w:p>
    <w:p>
      <w:pPr>
        <w:spacing w:after="0" w:line="96" w:lineRule="exact"/>
        <w:rPr>
          <w:sz w:val="20"/>
          <w:szCs w:val="20"/>
          <w:color w:val="auto"/>
        </w:rPr>
      </w:pPr>
    </w:p>
    <w:p>
      <w:pPr>
        <w:ind w:right="680" w:firstLine="395"/>
        <w:spacing w:after="0" w:line="324" w:lineRule="auto"/>
        <w:rPr>
          <w:sz w:val="20"/>
          <w:szCs w:val="20"/>
          <w:color w:val="auto"/>
        </w:rPr>
      </w:pPr>
      <w:r>
        <w:rPr>
          <w:rFonts w:ascii="Arial" w:cs="Arial" w:eastAsia="Arial" w:hAnsi="Arial"/>
          <w:sz w:val="16"/>
          <w:szCs w:val="16"/>
          <w:color w:val="auto"/>
        </w:rPr>
        <w:t>Our partnership agreement does not limit the number of additional limited partner interests we may issue at any time without the approval of our unitholders. The issuance of additional common units or other equity interests of equal or senior rank will have the following effects:</w:t>
      </w:r>
    </w:p>
    <w:p>
      <w:pPr>
        <w:spacing w:after="0" w:line="16" w:lineRule="exact"/>
        <w:rPr>
          <w:sz w:val="20"/>
          <w:szCs w:val="20"/>
          <w:color w:val="auto"/>
        </w:rPr>
      </w:pPr>
    </w:p>
    <w:p>
      <w:pPr>
        <w:ind w:left="640" w:hanging="319"/>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existing unitholders' proportionate ownership interest in us will decrease;</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amount of earnings per each unit may decrease;</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ratio of taxable income to distributions may increase;</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relative voting strength of each previously outstanding unit may be diminished; and</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market price of the common units may decline.</w:t>
      </w:r>
    </w:p>
    <w:p>
      <w:pPr>
        <w:spacing w:after="0" w:line="254"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i w:val="1"/>
          <w:iCs w:val="1"/>
          <w:color w:val="auto"/>
        </w:rPr>
        <w:t>The market price of our common units could be adversely affected by sales of substantial amounts of our common units in the public or private markets, including sales by Westlake or other large holders.</w:t>
      </w:r>
    </w:p>
    <w:p>
      <w:pPr>
        <w:spacing w:after="0" w:line="63" w:lineRule="exact"/>
        <w:rPr>
          <w:sz w:val="20"/>
          <w:szCs w:val="20"/>
          <w:color w:val="auto"/>
        </w:rPr>
      </w:pPr>
    </w:p>
    <w:p>
      <w:pPr>
        <w:ind w:right="300" w:firstLine="395"/>
        <w:spacing w:after="0" w:line="252" w:lineRule="auto"/>
        <w:rPr>
          <w:sz w:val="20"/>
          <w:szCs w:val="20"/>
          <w:color w:val="auto"/>
        </w:rPr>
      </w:pPr>
      <w:r>
        <w:rPr>
          <w:rFonts w:ascii="Arial" w:cs="Arial" w:eastAsia="Arial" w:hAnsi="Arial"/>
          <w:sz w:val="18"/>
          <w:szCs w:val="18"/>
          <w:color w:val="auto"/>
        </w:rPr>
        <w:t>Westlake has registration rights with respect to the common units it holds. Sales by Westlake or other large holders of a substantial number of our common units in the public markets, or the perception that such sales might occur, could have a material adverse effect on the price of our common units or could impair our ability to obtain capital through an offering of equity securities.</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partnership agreement restricts the voting rights of unitholders owning 20% or more of our common units.</w:t>
      </w:r>
    </w:p>
    <w:p>
      <w:pPr>
        <w:spacing w:after="0" w:line="83" w:lineRule="exact"/>
        <w:rPr>
          <w:sz w:val="20"/>
          <w:szCs w:val="20"/>
          <w:color w:val="auto"/>
        </w:rPr>
      </w:pPr>
    </w:p>
    <w:p>
      <w:pPr>
        <w:ind w:right="40" w:firstLine="395"/>
        <w:spacing w:after="0" w:line="252" w:lineRule="auto"/>
        <w:rPr>
          <w:sz w:val="20"/>
          <w:szCs w:val="20"/>
          <w:color w:val="auto"/>
        </w:rPr>
      </w:pPr>
      <w:r>
        <w:rPr>
          <w:rFonts w:ascii="Arial" w:cs="Arial" w:eastAsia="Arial" w:hAnsi="Arial"/>
          <w:sz w:val="18"/>
          <w:szCs w:val="18"/>
          <w:color w:val="auto"/>
        </w:rPr>
        <w:t>Our partnership agreement restricts unitholders' voting rights by providing that any units held by a person or group that owns 20% or more of any class of units then outstanding, other than our general partner and its affiliates, their transferees and persons who acquired such units with the prior approval of the board of directors, cannot vote on any matter.</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Unitholders may have liability to repay distributions.</w:t>
      </w:r>
    </w:p>
    <w:p>
      <w:pPr>
        <w:spacing w:after="0" w:line="96" w:lineRule="exact"/>
        <w:rPr>
          <w:sz w:val="20"/>
          <w:szCs w:val="20"/>
          <w:color w:val="auto"/>
        </w:rPr>
      </w:pPr>
    </w:p>
    <w:p>
      <w:pPr>
        <w:ind w:firstLine="395"/>
        <w:spacing w:after="0" w:line="287" w:lineRule="auto"/>
        <w:rPr>
          <w:sz w:val="20"/>
          <w:szCs w:val="20"/>
          <w:color w:val="auto"/>
        </w:rPr>
      </w:pPr>
      <w:r>
        <w:rPr>
          <w:rFonts w:ascii="Arial" w:cs="Arial" w:eastAsia="Arial" w:hAnsi="Arial"/>
          <w:sz w:val="16"/>
          <w:szCs w:val="16"/>
          <w:color w:val="auto"/>
        </w:rPr>
        <w:t>Under certain circumstances, unitholders may have to repay amounts wrongfully returned or distributed to them. Under Delaware law, we may not make a distribution to our unitholders if the distribution would cause our liabilities to exceed the fair value of our assets. Delaware law provides that for a period of three years from the date of the impermissible distribution, limited partners who received the distribution and who knew at the time of the distribution that it violated Delaware law will be liable to the limited partnership for the distribution amount. Liabilities to partners on account of their partnership interests and liabilities that are non-recourse to the partnership are not counted for purposes of determining whether a distribution is permitted.</w:t>
      </w:r>
    </w:p>
    <w:p>
      <w:pPr>
        <w:spacing w:after="0" w:line="189"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b w:val="1"/>
          <w:bCs w:val="1"/>
          <w:i w:val="1"/>
          <w:iCs w:val="1"/>
          <w:color w:val="auto"/>
        </w:rPr>
        <w:t>Public and investor sentiment towards climate change and other environmental, social and governance ("ESG") matters could adversely affect our cost of capital and the price of our common units.</w:t>
      </w:r>
    </w:p>
    <w:p>
      <w:pPr>
        <w:spacing w:after="0" w:line="50" w:lineRule="exact"/>
        <w:rPr>
          <w:sz w:val="20"/>
          <w:szCs w:val="20"/>
          <w:color w:val="auto"/>
        </w:rPr>
      </w:pPr>
    </w:p>
    <w:p>
      <w:pPr>
        <w:ind w:right="460" w:firstLine="395"/>
        <w:spacing w:after="0" w:line="248" w:lineRule="auto"/>
        <w:rPr>
          <w:sz w:val="20"/>
          <w:szCs w:val="20"/>
          <w:color w:val="auto"/>
        </w:rPr>
      </w:pPr>
      <w:r>
        <w:rPr>
          <w:rFonts w:ascii="Arial" w:cs="Arial" w:eastAsia="Arial" w:hAnsi="Arial"/>
          <w:sz w:val="18"/>
          <w:szCs w:val="18"/>
          <w:color w:val="auto"/>
        </w:rPr>
        <w:t>There have been intensifying efforts within the investment community (including investment advisors, investment fund managers, sovereign wealth funds, public pension funds, universities and individual investors) to promote the divestment of, or limit investment in, the equity of companies in the petrochemical industry. There has also been pressure on lenders and other financial services companies to limit or curtail financing of companies in the industry. Because we operate within the petrochemical industry, if these efforts continue or expand, our stock price and our ability to raise capital may be negatively impacted.</w:t>
      </w:r>
    </w:p>
    <w:p>
      <w:pPr>
        <w:spacing w:after="0" w:line="141" w:lineRule="exact"/>
        <w:rPr>
          <w:sz w:val="20"/>
          <w:szCs w:val="20"/>
          <w:color w:val="auto"/>
        </w:rPr>
      </w:pPr>
    </w:p>
    <w:p>
      <w:pPr>
        <w:ind w:firstLine="395"/>
        <w:spacing w:after="0" w:line="302" w:lineRule="auto"/>
        <w:rPr>
          <w:sz w:val="20"/>
          <w:szCs w:val="20"/>
          <w:color w:val="auto"/>
        </w:rPr>
      </w:pPr>
      <w:r>
        <w:rPr>
          <w:rFonts w:ascii="Arial" w:cs="Arial" w:eastAsia="Arial" w:hAnsi="Arial"/>
          <w:sz w:val="15"/>
          <w:szCs w:val="15"/>
          <w:color w:val="auto"/>
        </w:rPr>
        <w:t>Members of the investment community are increasing their focus on ESG practices and disclosures by public companies, including practices and disclosures related to climate change and sustainability, D&amp;I initiatives and heightened governance standards. As a result, we may continue to face increasing pressure regarding our ESG disclosures and practices. Additionally, members of the investment community may screen companies such as ours for ESG disclosures and performance before investing in our common units. Over the past few years, there has also been an acceleration in investor demand for ESG investing opportunities, and many large institutional investors have committed to increasing the percentage of their portfolios that are allocated towards ESG investments. With respect to any of these investors, our ESG disclosures and efforts may not satisfy the investor requirements or their requirements may not be made known to us. If we or our securities are unable to meet the ESG standards or investment criteria set by these investors and funds, we may lose investors or investors may allocate a portion of their capital away from us, our cost of capital may increase, and our common unit price may be negatively impacted.</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Risks</w:t>
      </w:r>
    </w:p>
    <w:p>
      <w:pPr>
        <w:spacing w:after="0" w:line="102" w:lineRule="exact"/>
        <w:rPr>
          <w:sz w:val="20"/>
          <w:szCs w:val="20"/>
          <w:color w:val="auto"/>
        </w:rPr>
      </w:pPr>
    </w:p>
    <w:p>
      <w:pPr>
        <w:jc w:val="both"/>
        <w:ind w:right="200"/>
        <w:spacing w:after="0" w:line="299" w:lineRule="auto"/>
        <w:rPr>
          <w:sz w:val="20"/>
          <w:szCs w:val="20"/>
          <w:color w:val="auto"/>
        </w:rPr>
      </w:pPr>
      <w:r>
        <w:rPr>
          <w:rFonts w:ascii="Arial" w:cs="Arial" w:eastAsia="Arial" w:hAnsi="Arial"/>
          <w:sz w:val="16"/>
          <w:szCs w:val="16"/>
          <w:b w:val="1"/>
          <w:bCs w:val="1"/>
          <w:i w:val="1"/>
          <w:iCs w:val="1"/>
          <w:color w:val="auto"/>
        </w:rPr>
        <w:t>Our tax treatment depends on our status as a partnership for U.S. federal income tax purposes, and not being subject to a material amount of entity-level taxation. If the Internal Revenue Service ("IRS"), were to treat us as a corporation for U.S. federal income tax purposes, or we become subject to entity-level taxation for state tax purposes, our cash available for distribution to our unitholders would be substantially reduced.</w:t>
      </w:r>
    </w:p>
    <w:p>
      <w:pPr>
        <w:spacing w:after="0" w:line="36" w:lineRule="exact"/>
        <w:rPr>
          <w:sz w:val="20"/>
          <w:szCs w:val="20"/>
          <w:color w:val="auto"/>
        </w:rPr>
      </w:pPr>
    </w:p>
    <w:p>
      <w:pPr>
        <w:ind w:right="100" w:firstLine="395"/>
        <w:spacing w:after="0" w:line="250" w:lineRule="auto"/>
        <w:rPr>
          <w:sz w:val="20"/>
          <w:szCs w:val="20"/>
          <w:color w:val="auto"/>
        </w:rPr>
      </w:pPr>
      <w:r>
        <w:rPr>
          <w:rFonts w:ascii="Arial" w:cs="Arial" w:eastAsia="Arial" w:hAnsi="Arial"/>
          <w:sz w:val="18"/>
          <w:szCs w:val="18"/>
          <w:color w:val="auto"/>
        </w:rPr>
        <w:t>The anticipated after-tax economic benefit of an investment in our common units depends largely on our being treated as a partnership for U.S. federal income tax purposes. Despite the fact that we are organized as a limited partnership under Delaware law, we would be treated as a corporation for U.S. federal income tax purposes unless we satisfy a "qualifying income" requirement. Based upon our current operations and current Treasury Regulations, we believe we satisfy the qualifying income requirement.</w:t>
      </w:r>
    </w:p>
    <w:p>
      <w:pPr>
        <w:spacing w:after="0" w:line="138" w:lineRule="exact"/>
        <w:rPr>
          <w:sz w:val="20"/>
          <w:szCs w:val="20"/>
          <w:color w:val="auto"/>
        </w:rPr>
      </w:pPr>
    </w:p>
    <w:p>
      <w:pPr>
        <w:ind w:right="20" w:firstLine="395"/>
        <w:spacing w:after="0" w:line="287" w:lineRule="auto"/>
        <w:rPr>
          <w:sz w:val="20"/>
          <w:szCs w:val="20"/>
          <w:color w:val="auto"/>
        </w:rPr>
      </w:pPr>
      <w:r>
        <w:rPr>
          <w:rFonts w:ascii="Arial" w:cs="Arial" w:eastAsia="Arial" w:hAnsi="Arial"/>
          <w:sz w:val="16"/>
          <w:szCs w:val="16"/>
          <w:color w:val="auto"/>
        </w:rPr>
        <w:t>Prior to our initial public offering, we requested and obtained a favorable private letter ruling from the IRS to the effect that, based on facts presented in the private letter ruling request, our income from the production, transportation, storage and marketing of ethylene and its co-products constitutes "qualifying income" within the meaning of Section 7704 of the Internal Revenue Code of 1986, as amended (the "Code"). However, no ruling has been or will be requested regarding our treatment as a partnership for U.S. federal income tax purposes. Failing to meet the qualifying income requirement or a change in current law could cause us to be treated as a corporation for U.S. federal income tax purposes or otherwise subject us to taxation as an entity.</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firstLine="395"/>
        <w:spacing w:after="0" w:line="248" w:lineRule="auto"/>
        <w:rPr>
          <w:sz w:val="20"/>
          <w:szCs w:val="20"/>
          <w:color w:val="auto"/>
        </w:rPr>
      </w:pPr>
      <w:r>
        <w:rPr>
          <w:rFonts w:ascii="Arial" w:cs="Arial" w:eastAsia="Arial" w:hAnsi="Arial"/>
          <w:sz w:val="18"/>
          <w:szCs w:val="18"/>
          <w:color w:val="auto"/>
        </w:rPr>
        <w:t>If we were treated as a corporation for U.S. federal income tax purposes, we would pay U.S. federal income tax on our taxable income at the corporate tax rate. Distributions to our unitholders would generally be taxed again as corporate distributions, and no income, gains, losses or deductions would flow through to our unitholders. Because a tax would be imposed upon us as a corporation, our cash available for distribution to our unitholders would be substantially reduced. Therefore, treatment of us as a corporation would result in a material reduction in the anticipated cash flow and after-tax return to our unitholders, likely causing a substantial reduction in the value of our common units.</w:t>
      </w:r>
    </w:p>
    <w:p>
      <w:pPr>
        <w:spacing w:after="0" w:line="141" w:lineRule="exact"/>
        <w:rPr>
          <w:sz w:val="20"/>
          <w:szCs w:val="20"/>
          <w:color w:val="auto"/>
        </w:rPr>
      </w:pPr>
    </w:p>
    <w:p>
      <w:pPr>
        <w:ind w:right="160" w:firstLine="395"/>
        <w:spacing w:after="0" w:line="247" w:lineRule="auto"/>
        <w:rPr>
          <w:sz w:val="20"/>
          <w:szCs w:val="20"/>
          <w:color w:val="auto"/>
        </w:rPr>
      </w:pPr>
      <w:r>
        <w:rPr>
          <w:rFonts w:ascii="Arial" w:cs="Arial" w:eastAsia="Arial" w:hAnsi="Arial"/>
          <w:sz w:val="18"/>
          <w:szCs w:val="18"/>
          <w:color w:val="auto"/>
        </w:rPr>
        <w:t>Our partnership agreement provides that if a law is enacted or existing law is modified or interpreted in a manner that subjects us to taxation as a corporation or otherwise subjects us to entity-level taxation for U.S. federal, state, local or foreign income tax purposes, the minimum quarterly distribution amount and the target distribution amounts may be adjusted to reflect the impact of that law or interpretation on us. At the state level, several states have been evaluating ways to subject partnerships to entity-level taxation through the imposition of state income, franchise or other forms of taxation. We currently own assets and conduct business in several states, most of which impose entity-level franchise or gross receipt taxes on partnerships. In the future, we may expand our operations. Imposition of similar entity-level taxes on us in other jurisdictions that we may expand to, could substantially reduce our cash available for distribution to our unitholders.</w:t>
      </w:r>
    </w:p>
    <w:p>
      <w:pPr>
        <w:spacing w:after="0" w:line="233"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auto"/>
        </w:rPr>
        <w:t>The tax treatment of publicly-traded partnerships or an investment in our units could be subject to potential legislative, judicial or administrative changes or differing interpretations, possibly applied on a retroactive basis.</w:t>
      </w:r>
    </w:p>
    <w:p>
      <w:pPr>
        <w:spacing w:after="0" w:line="50" w:lineRule="exact"/>
        <w:rPr>
          <w:sz w:val="20"/>
          <w:szCs w:val="20"/>
          <w:color w:val="auto"/>
        </w:rPr>
      </w:pPr>
    </w:p>
    <w:p>
      <w:pPr>
        <w:ind w:right="60" w:firstLine="395"/>
        <w:spacing w:after="0" w:line="247" w:lineRule="auto"/>
        <w:rPr>
          <w:sz w:val="20"/>
          <w:szCs w:val="20"/>
          <w:color w:val="auto"/>
        </w:rPr>
      </w:pPr>
      <w:r>
        <w:rPr>
          <w:rFonts w:ascii="Arial" w:cs="Arial" w:eastAsia="Arial" w:hAnsi="Arial"/>
          <w:sz w:val="18"/>
          <w:szCs w:val="18"/>
          <w:color w:val="auto"/>
        </w:rPr>
        <w:t>The present U.S. federal income tax treatment of publicly-traded partnerships, including us, or an investment in our common units, may be modified by administrative, legislative or judicial changes or differing interpretations at any time. Members of Congress and the President have frequently proposed and considered substantive changes to the existing U.S. federal income tax laws that would affect publicly-traded partnerships, including proposals that would eliminate our ability to qualify for partnership tax treatment. Recent proposals have provided for the expansion of the qualifying income exception for publicly traded partnerships in certain circumstances and other proposals have provided for the total elimination of the qualifying income exception upon which we rely for our partnership tax treatment.</w:t>
      </w:r>
    </w:p>
    <w:p>
      <w:pPr>
        <w:spacing w:after="0" w:line="77" w:lineRule="exact"/>
        <w:rPr>
          <w:sz w:val="20"/>
          <w:szCs w:val="20"/>
          <w:color w:val="auto"/>
        </w:rPr>
      </w:pPr>
    </w:p>
    <w:p>
      <w:pPr>
        <w:ind w:firstLine="395"/>
        <w:spacing w:after="0" w:line="247" w:lineRule="auto"/>
        <w:rPr>
          <w:sz w:val="20"/>
          <w:szCs w:val="20"/>
          <w:color w:val="auto"/>
        </w:rPr>
      </w:pPr>
      <w:r>
        <w:rPr>
          <w:rFonts w:ascii="Arial" w:cs="Arial" w:eastAsia="Arial" w:hAnsi="Arial"/>
          <w:sz w:val="18"/>
          <w:szCs w:val="18"/>
          <w:color w:val="auto"/>
        </w:rPr>
        <w:t>In addition, the Treasury Department has issued, and in the future may issue, regulations interpreting those laws that affect publicly-traded partnerships. On January 24, 2017, final regulations regarding which activities give rise to qualifying income within the meaning of Section 7704 of the Code (the "Final Regulations") were published in the Federal Register. The Final Regulations, consistent with our private letter ruling, treat our income from the production, transportation, storage and marketing of ethylene and its co-products constitutes as "qualifying income." There can be no assurance that there will not be further changes to U.S. federal income tax laws or the Treasury Department's interpretation of the qualifying income rules in a manner that could impact our ability to qualify as a partnership in the future.</w:t>
      </w:r>
    </w:p>
    <w:p>
      <w:pPr>
        <w:spacing w:after="0" w:line="77" w:lineRule="exact"/>
        <w:rPr>
          <w:sz w:val="20"/>
          <w:szCs w:val="20"/>
          <w:color w:val="auto"/>
        </w:rPr>
      </w:pPr>
    </w:p>
    <w:p>
      <w:pPr>
        <w:ind w:right="40" w:firstLine="395"/>
        <w:spacing w:after="0" w:line="287" w:lineRule="auto"/>
        <w:rPr>
          <w:sz w:val="20"/>
          <w:szCs w:val="20"/>
          <w:color w:val="auto"/>
        </w:rPr>
      </w:pPr>
      <w:r>
        <w:rPr>
          <w:rFonts w:ascii="Arial" w:cs="Arial" w:eastAsia="Arial" w:hAnsi="Arial"/>
          <w:sz w:val="16"/>
          <w:szCs w:val="16"/>
          <w:color w:val="auto"/>
        </w:rPr>
        <w:t>Any modification to the U.S. federal income tax laws and interpretations thereof may or may not be retroactively applied and could make it more difficult or impossible for us to meet the exception for certain publicly-traded partnerships to be treated as partnerships for U.S. federal income tax purposes. We are unable to predict whether any changes or other proposals will ultimately be enacted. Any future legislative changes could negatively impact the value of an investment in our common units. You are urged to consult with your own tax advisor with respect to the status of regulatory or administrative developments and proposals and their potential effect on your investment in our common units.</w:t>
      </w:r>
    </w:p>
    <w:p>
      <w:pPr>
        <w:spacing w:after="0" w:line="189" w:lineRule="exact"/>
        <w:rPr>
          <w:sz w:val="20"/>
          <w:szCs w:val="20"/>
          <w:color w:val="auto"/>
        </w:rPr>
      </w:pPr>
    </w:p>
    <w:p>
      <w:pPr>
        <w:ind w:right="380"/>
        <w:spacing w:after="0" w:line="261" w:lineRule="auto"/>
        <w:rPr>
          <w:sz w:val="20"/>
          <w:szCs w:val="20"/>
          <w:color w:val="auto"/>
        </w:rPr>
      </w:pPr>
      <w:r>
        <w:rPr>
          <w:rFonts w:ascii="Arial" w:cs="Arial" w:eastAsia="Arial" w:hAnsi="Arial"/>
          <w:sz w:val="18"/>
          <w:szCs w:val="18"/>
          <w:b w:val="1"/>
          <w:bCs w:val="1"/>
          <w:i w:val="1"/>
          <w:iCs w:val="1"/>
          <w:color w:val="auto"/>
        </w:rPr>
        <w:t>If the IRS were to contest the U.S. federal income tax positions we take, it may adversely impact the market for our common units, and the costs of any such contest would reduce our cash available for distribution to our unitholders.</w:t>
      </w:r>
    </w:p>
    <w:p>
      <w:pPr>
        <w:spacing w:after="0" w:line="63" w:lineRule="exact"/>
        <w:rPr>
          <w:sz w:val="20"/>
          <w:szCs w:val="20"/>
          <w:color w:val="auto"/>
        </w:rPr>
      </w:pPr>
    </w:p>
    <w:p>
      <w:pPr>
        <w:jc w:val="both"/>
        <w:ind w:right="20" w:firstLine="395"/>
        <w:spacing w:after="0" w:line="291" w:lineRule="auto"/>
        <w:rPr>
          <w:sz w:val="20"/>
          <w:szCs w:val="20"/>
          <w:color w:val="auto"/>
        </w:rPr>
      </w:pPr>
      <w:r>
        <w:rPr>
          <w:rFonts w:ascii="Arial" w:cs="Arial" w:eastAsia="Arial" w:hAnsi="Arial"/>
          <w:sz w:val="16"/>
          <w:szCs w:val="16"/>
          <w:color w:val="auto"/>
        </w:rPr>
        <w:t>The IRS may adopt positions that differ from the positions we take. It may be necessary to resort to administrative or court proceedings to sustain some or all of the positions we take. A court may not agree with some or all of the positions we take. Any contest with the IRS may materially and adversely impact the market for our common units and the price at which they trade. Moreover, the costs of any contest between us and the IRS will result in a reduction in our cash available for distribution to our unitholders and thus will be borne indirectly by our unitholders.</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b w:val="1"/>
          <w:bCs w:val="1"/>
          <w:i w:val="1"/>
          <w:iCs w:val="1"/>
          <w:color w:val="auto"/>
        </w:rPr>
        <w:t>If the IRS makes audit adjustments to our income tax returns, it (and some states) may assess and collect any taxes (including any applicable penalties and interest) resulting from such audit adjustments directly from us, in which case our cash available for distribution to our unitholders might be substantially reduced and our current and former unitholders may be required to indemnify us for any taxes (including any applicable penalties and interest) resulting from such audit adjustments that were paid on such unitholders behalf.</w:t>
      </w:r>
    </w:p>
    <w:p>
      <w:pPr>
        <w:spacing w:after="0" w:line="29" w:lineRule="exact"/>
        <w:rPr>
          <w:sz w:val="20"/>
          <w:szCs w:val="20"/>
          <w:color w:val="auto"/>
        </w:rPr>
      </w:pPr>
    </w:p>
    <w:p>
      <w:pPr>
        <w:ind w:firstLine="395"/>
        <w:spacing w:after="0" w:line="299" w:lineRule="auto"/>
        <w:rPr>
          <w:sz w:val="20"/>
          <w:szCs w:val="20"/>
          <w:color w:val="auto"/>
        </w:rPr>
      </w:pPr>
      <w:r>
        <w:rPr>
          <w:rFonts w:ascii="Arial" w:cs="Arial" w:eastAsia="Arial" w:hAnsi="Arial"/>
          <w:sz w:val="15"/>
          <w:szCs w:val="15"/>
          <w:color w:val="auto"/>
        </w:rPr>
        <w:t>If the IRS makes audit adjustments to our income tax returns, it (and some states) may assess and collect any taxes (including any applicable penalties and interest) resulting from such audit adjustments directly from us. To the extent possible under these rules, our general partner may elect to either pay the taxes (including any applicable penalties and interest) directly to the IRS or, if we are eligible, issue a revised information statement to each unitholder and former unitholder with respect to an audited and adjusted return. Although our general partner may elect to have our unitholders and former unitholders take such audit adjustment into account and pay any resulting taxes (including applicable penalties or interest) in accordance with their interests in us during the tax year under audit, there can be no assurance that such election will be practical, permissible or effective in all circumstances. As a result, our current unitholders may bear some or all of the tax liability resulting from such audit adjustment, even if such unitholders did not own units in us during the tax year under audit. If, as a result of any such audit adjustment, we are required to make payments of taxes, penalties and interest, our cash available for distribution to our unitholders might be substantially reduced and our current and former unitholders may be required to indemnify us for any taxes (including any applicable penalties and interest) resulting from such audit adjustments that were paid on such unitholders behalf. Additionally, we may be required to allocate an adjustment disproportionately among our unitholders, causing our publicly traded units to have different capital accounts, unless the IRS issues further guidance.</w:t>
      </w:r>
    </w:p>
    <w:p>
      <w:pPr>
        <w:spacing w:after="0" w:line="110" w:lineRule="exact"/>
        <w:rPr>
          <w:sz w:val="20"/>
          <w:szCs w:val="20"/>
          <w:color w:val="auto"/>
        </w:rPr>
      </w:pPr>
    </w:p>
    <w:p>
      <w:pPr>
        <w:ind w:right="20" w:firstLine="395"/>
        <w:spacing w:after="0" w:line="291" w:lineRule="auto"/>
        <w:rPr>
          <w:sz w:val="20"/>
          <w:szCs w:val="20"/>
          <w:color w:val="auto"/>
        </w:rPr>
      </w:pPr>
      <w:r>
        <w:rPr>
          <w:rFonts w:ascii="Arial" w:cs="Arial" w:eastAsia="Arial" w:hAnsi="Arial"/>
          <w:sz w:val="16"/>
          <w:szCs w:val="16"/>
          <w:color w:val="auto"/>
        </w:rPr>
        <w:t>In the event the IRS makes an audit adjustment to our income tax returns and we do not or cannot shift the liability to our unitholders in accordance with their interests in us during the year under audit, we will generally have the ability to request that the IRS reduce the determined underpayment by reducing the suspended passive loss carryovers of our unitholders (without any compensation from us to such unitholders), to the extent such underpayment is attributable to a net decrease in passive activity losses allocable to certain partners. Such reduction, if approved by the IRS, will be binding on any affected unitholders.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Even if unitholders do not receive any cash distributions from us, unitholders will be required to pay taxes on their share of our taxable income.</w:t>
      </w:r>
    </w:p>
    <w:p>
      <w:pPr>
        <w:spacing w:after="0" w:line="119" w:lineRule="exact"/>
        <w:rPr>
          <w:sz w:val="20"/>
          <w:szCs w:val="20"/>
          <w:color w:val="auto"/>
        </w:rPr>
      </w:pPr>
    </w:p>
    <w:p>
      <w:pPr>
        <w:jc w:val="both"/>
        <w:ind w:right="120" w:firstLine="395"/>
        <w:spacing w:after="0" w:line="252" w:lineRule="auto"/>
        <w:rPr>
          <w:sz w:val="20"/>
          <w:szCs w:val="20"/>
          <w:color w:val="auto"/>
        </w:rPr>
      </w:pPr>
      <w:r>
        <w:rPr>
          <w:rFonts w:ascii="Arial" w:cs="Arial" w:eastAsia="Arial" w:hAnsi="Arial"/>
          <w:sz w:val="18"/>
          <w:szCs w:val="18"/>
          <w:color w:val="auto"/>
        </w:rPr>
        <w:t>Unitholders are required to pay U.S. federal income taxes and, in some cases, state and local income taxes, on their share of our taxable income, whether or not they receive cash distributions from us. Unitholders may not receive cash distributions from us equal to their share of our taxable income or even equal to the actual tax due from them with respect to that income.</w:t>
      </w:r>
    </w:p>
    <w:p>
      <w:pPr>
        <w:spacing w:after="0" w:line="138" w:lineRule="exact"/>
        <w:rPr>
          <w:sz w:val="20"/>
          <w:szCs w:val="20"/>
          <w:color w:val="auto"/>
        </w:rPr>
      </w:pPr>
    </w:p>
    <w:p>
      <w:pPr>
        <w:ind w:right="80" w:firstLine="395"/>
        <w:spacing w:after="0" w:line="284" w:lineRule="auto"/>
        <w:rPr>
          <w:sz w:val="20"/>
          <w:szCs w:val="20"/>
          <w:color w:val="auto"/>
        </w:rPr>
      </w:pPr>
      <w:r>
        <w:rPr>
          <w:rFonts w:ascii="Arial" w:cs="Arial" w:eastAsia="Arial" w:hAnsi="Arial"/>
          <w:sz w:val="16"/>
          <w:szCs w:val="16"/>
          <w:color w:val="auto"/>
        </w:rPr>
        <w:t>A unitholder's share of our taxable income, and its relationship to any distributions we make, may be affected by a variety of factors, including our economic performance, which may be affected by numerous business, economic, regulatory, legislative, competitive and political uncertainties beyond our control, and certain transactions in which we might engage. For example, we may engage in transactions that produce substantial taxable income allocations to some or all of our unitholders without a corresponding increase in cash distributions to our unitholders, such as a sale or exchange of assets, the proceeds of which are reinvested in our business or used to reduce our debt, or an actual or deemed satisfaction of our indebtedness for an amount less than the adjusted issue price of the debt. A unitholder's ratio of its share of taxable income to the cash received by it may also be affected by changes in law.</w:t>
      </w:r>
    </w:p>
    <w:p>
      <w:pPr>
        <w:spacing w:after="0" w:line="115" w:lineRule="exact"/>
        <w:rPr>
          <w:sz w:val="20"/>
          <w:szCs w:val="20"/>
          <w:color w:val="auto"/>
        </w:rPr>
      </w:pPr>
    </w:p>
    <w:p>
      <w:pPr>
        <w:ind w:right="100" w:firstLine="395"/>
        <w:spacing w:after="0" w:line="306" w:lineRule="auto"/>
        <w:rPr>
          <w:sz w:val="20"/>
          <w:szCs w:val="20"/>
          <w:color w:val="auto"/>
        </w:rPr>
      </w:pPr>
      <w:r>
        <w:rPr>
          <w:rFonts w:ascii="Arial" w:cs="Arial" w:eastAsia="Arial" w:hAnsi="Arial"/>
          <w:sz w:val="15"/>
          <w:szCs w:val="15"/>
          <w:color w:val="auto"/>
        </w:rPr>
        <w:t>From time to time, in connection with an offering of our common units, we may state an estimate of the ratio of U.S. federal taxable income to cash distributions that a purchaser of common units in that offering may receive in a given period. These estimates depend in part on factors that are unique to the offering with respect to which the estimate is stated, so the expected ratio applicable to other common units will be different, and in many cases less favorable, than these estimates. Moreover, even in the case of common units purchased in the offering to which the estimate relates, the estimate may be incorrect, due to the uncertainties described above, challenges by the IRS to tax reporting positions which we adopt, or other factors. The actual ratio of taxable income to cash distributions could be higher or lower than expected, and any differences could be material and could materially affect the value of the common units.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gain or loss on the disposition of our common units could be more or less than expected.</w:t>
      </w:r>
    </w:p>
    <w:p>
      <w:pPr>
        <w:spacing w:after="0" w:line="96" w:lineRule="exact"/>
        <w:rPr>
          <w:sz w:val="20"/>
          <w:szCs w:val="20"/>
          <w:color w:val="auto"/>
        </w:rPr>
      </w:pPr>
    </w:p>
    <w:p>
      <w:pPr>
        <w:ind w:right="80" w:firstLine="395"/>
        <w:spacing w:after="0" w:line="284" w:lineRule="auto"/>
        <w:rPr>
          <w:sz w:val="20"/>
          <w:szCs w:val="20"/>
          <w:color w:val="auto"/>
        </w:rPr>
      </w:pPr>
      <w:r>
        <w:rPr>
          <w:rFonts w:ascii="Arial" w:cs="Arial" w:eastAsia="Arial" w:hAnsi="Arial"/>
          <w:sz w:val="16"/>
          <w:szCs w:val="16"/>
          <w:color w:val="auto"/>
        </w:rPr>
        <w:t>If a unitholder sells common units, the unitholder will recognize a gain or loss equal to the difference between the amount realized and that unitholder's tax basis in those common units. Because distributions in excess of a unitholder's allocable share of our net taxable income decrease such unitholder's tax basis in its common units, the amount, if any, of such prior excess distributions with respect to the units a unitholder sells will, in effect, become taxable income to a unitholder if it sells such units at a price greater than its tax basis in those units, even if the price such unitholder receives is less than its original cost. In addition, because the amount realized includes a unitholder's share of our nonrecourse liabilities, if a unitholder sells its units, a unitholder may incur a tax liability in excess of the amount of cash received from the sale.</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20" w:firstLine="395"/>
        <w:spacing w:after="0" w:line="284" w:lineRule="auto"/>
        <w:rPr>
          <w:sz w:val="20"/>
          <w:szCs w:val="20"/>
          <w:color w:val="auto"/>
        </w:rPr>
      </w:pPr>
      <w:r>
        <w:rPr>
          <w:rFonts w:ascii="Arial" w:cs="Arial" w:eastAsia="Arial" w:hAnsi="Arial"/>
          <w:sz w:val="16"/>
          <w:szCs w:val="16"/>
          <w:color w:val="auto"/>
        </w:rPr>
        <w:t>A substantial portion of the amount realized from a unitholder's sale of our units, whether or not representing gain, may be taxed as ordinary income to such unitholder due to potential recapture items, including depreciation recapture. Thus, a unitholder may recognize both ordinary income and capital loss from the sale of units if the amount realized on a sale of such units is less than such unitholder's adjusted basis in the units. Net capital loss may only offset capital gains and, in the case of individuals, up to $3,000 of ordinary income per year. In the taxable period in which a unitholder sells its units, such unitholder may recognize ordinary income from our allocations of income and gain to such unitholder prior to the sale and from recapture items that generally cannot be offset by any capital loss recognized upon the sale of units.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Unitholders may be subject to limitation on their ability to deduct interest expense incurred by us.</w:t>
      </w:r>
    </w:p>
    <w:p>
      <w:pPr>
        <w:spacing w:after="0" w:line="83" w:lineRule="exact"/>
        <w:rPr>
          <w:sz w:val="20"/>
          <w:szCs w:val="20"/>
          <w:color w:val="auto"/>
        </w:rPr>
      </w:pPr>
    </w:p>
    <w:p>
      <w:pPr>
        <w:ind w:right="100" w:firstLine="395"/>
        <w:spacing w:after="0" w:line="248" w:lineRule="auto"/>
        <w:rPr>
          <w:sz w:val="20"/>
          <w:szCs w:val="20"/>
          <w:color w:val="auto"/>
        </w:rPr>
      </w:pPr>
      <w:r>
        <w:rPr>
          <w:rFonts w:ascii="Arial" w:cs="Arial" w:eastAsia="Arial" w:hAnsi="Arial"/>
          <w:sz w:val="18"/>
          <w:szCs w:val="18"/>
          <w:color w:val="auto"/>
        </w:rPr>
        <w:t>In general, we are entitled to a deduction for interest paid or accrued on indebtedness properly allocable to our trade or business during our taxable year. However, our deduction for "business interest" is limited to the sum of our business interest income and 30% of our "adjusted taxable income." For the purposes of this limitation, our adjusted taxable income is computed without regard to any business interest expense or business interest income. In the case of taxable years beginning on or after January 1, 2022, our adjusted taxable income is computed by taking into account any deduction allowable for depreciation, amortization, or depletion.</w:t>
      </w:r>
    </w:p>
    <w:p>
      <w:pPr>
        <w:spacing w:after="0" w:line="141" w:lineRule="exact"/>
        <w:rPr>
          <w:sz w:val="20"/>
          <w:szCs w:val="20"/>
          <w:color w:val="auto"/>
        </w:rPr>
      </w:pPr>
    </w:p>
    <w:p>
      <w:pPr>
        <w:ind w:right="460" w:firstLine="395"/>
        <w:spacing w:after="0" w:line="324" w:lineRule="auto"/>
        <w:rPr>
          <w:sz w:val="20"/>
          <w:szCs w:val="20"/>
          <w:color w:val="auto"/>
        </w:rPr>
      </w:pPr>
      <w:r>
        <w:rPr>
          <w:rFonts w:ascii="Arial" w:cs="Arial" w:eastAsia="Arial" w:hAnsi="Arial"/>
          <w:sz w:val="16"/>
          <w:szCs w:val="16"/>
          <w:color w:val="auto"/>
        </w:rPr>
        <w:t>If our "business interest" is subject to limitation under these rules, our unitholders will be limited in their ability to deduct their share of any interest expense that has been allocated to them. As a result, unitholders may be subject to limitation on their ability to deduct interest expense incurred by us.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Tax-exempt entities face unique tax issues from owning our common units that may result in adverse tax consequences to them</w:t>
      </w:r>
      <w:r>
        <w:rPr>
          <w:rFonts w:ascii="Arial" w:cs="Arial" w:eastAsia="Arial" w:hAnsi="Arial"/>
          <w:sz w:val="18"/>
          <w:szCs w:val="18"/>
          <w:color w:val="auto"/>
        </w:rPr>
        <w:t>.</w:t>
      </w:r>
    </w:p>
    <w:p>
      <w:pPr>
        <w:spacing w:after="0" w:line="96" w:lineRule="exact"/>
        <w:rPr>
          <w:sz w:val="20"/>
          <w:szCs w:val="20"/>
          <w:color w:val="auto"/>
        </w:rPr>
      </w:pPr>
    </w:p>
    <w:p>
      <w:pPr>
        <w:ind w:right="40" w:firstLine="395"/>
        <w:spacing w:after="0" w:line="250" w:lineRule="auto"/>
        <w:rPr>
          <w:sz w:val="20"/>
          <w:szCs w:val="20"/>
          <w:color w:val="auto"/>
        </w:rPr>
      </w:pPr>
      <w:r>
        <w:rPr>
          <w:rFonts w:ascii="Arial" w:cs="Arial" w:eastAsia="Arial" w:hAnsi="Arial"/>
          <w:sz w:val="18"/>
          <w:szCs w:val="18"/>
          <w:color w:val="auto"/>
        </w:rPr>
        <w:t>Investment in our common units by tax-exempt entities, such as employee benefit plans and individual retirement accounts (known as IRAs) raises issues unique to them. For example, virtually all of our income allocated to organizations that are exempt from U.S. federal income tax, including IRAs and other retirement plans, will be unrelated business taxable income ("UBTI") and will be taxable to them. Tax-exempt entities should consult a tax advisor before investing in our common units.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Non-U.S. Unitholders will be subject to U.S. taxes and withholding with respect to their income and gain from owning our units.</w:t>
      </w:r>
    </w:p>
    <w:p>
      <w:pPr>
        <w:spacing w:after="0" w:line="96" w:lineRule="exact"/>
        <w:rPr>
          <w:sz w:val="20"/>
          <w:szCs w:val="20"/>
          <w:color w:val="auto"/>
        </w:rPr>
      </w:pPr>
    </w:p>
    <w:p>
      <w:pPr>
        <w:ind w:right="100" w:firstLine="395"/>
        <w:spacing w:after="0" w:line="248" w:lineRule="auto"/>
        <w:rPr>
          <w:sz w:val="20"/>
          <w:szCs w:val="20"/>
          <w:color w:val="auto"/>
        </w:rPr>
      </w:pPr>
      <w:r>
        <w:rPr>
          <w:rFonts w:ascii="Arial" w:cs="Arial" w:eastAsia="Arial" w:hAnsi="Arial"/>
          <w:sz w:val="18"/>
          <w:szCs w:val="18"/>
          <w:color w:val="auto"/>
        </w:rPr>
        <w:t>Non-U.S. unitholders are generally taxed and subject to income tax filing requirements by the United States on income effectively connected with a U.S. trade or business. Income allocated to our unitholders and any gain from the sale of our units will generally be considered to be "effectively connected" with a U.S. trade or business. As a result, distributions to a non-U.S. unitholder will be subject to withholding at the highest applicable effective tax rate and a non-U.S. unitholder who sells or otherwise disposes of a unit will also be subject to U.S. federal income tax on the gain realized from the sale or disposition of that unit.</w:t>
      </w:r>
    </w:p>
    <w:p>
      <w:pPr>
        <w:spacing w:after="0" w:line="14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 addition to the withholding tax imposed on distributions of effectively connected income, distributions to a non-U.S. unitholder will also be subject to a</w:t>
      </w:r>
    </w:p>
    <w:p>
      <w:pPr>
        <w:spacing w:after="0" w:line="38" w:lineRule="exact"/>
        <w:rPr>
          <w:sz w:val="20"/>
          <w:szCs w:val="20"/>
          <w:color w:val="auto"/>
        </w:rPr>
      </w:pPr>
    </w:p>
    <w:p>
      <w:pPr>
        <w:ind w:right="120"/>
        <w:spacing w:after="0" w:line="245" w:lineRule="auto"/>
        <w:rPr>
          <w:sz w:val="20"/>
          <w:szCs w:val="20"/>
          <w:color w:val="auto"/>
        </w:rPr>
      </w:pPr>
      <w:r>
        <w:rPr>
          <w:rFonts w:ascii="Arial" w:cs="Arial" w:eastAsia="Arial" w:hAnsi="Arial"/>
          <w:sz w:val="18"/>
          <w:szCs w:val="18"/>
          <w:color w:val="auto"/>
        </w:rPr>
        <w:t>10% withholding tax on the amount of any distribution in excess of our cumulative net income. Due to the complexity of the calculation and lack of clarity in how it would apply to us, we intend to treat all of our distributions as being in excess of our cumulative net income for such purposes and subject to such 10% withholding tax. Accordingly, distributions to a non-U.S. unitholder will be subject to a combined withholding tax rate equal to the sum of the highest applicable effective tax rate and 10%.</w:t>
      </w:r>
    </w:p>
    <w:p>
      <w:pPr>
        <w:spacing w:after="0" w:line="143" w:lineRule="exact"/>
        <w:rPr>
          <w:sz w:val="20"/>
          <w:szCs w:val="20"/>
          <w:color w:val="auto"/>
        </w:rPr>
      </w:pPr>
    </w:p>
    <w:p>
      <w:pPr>
        <w:ind w:right="60" w:firstLine="395"/>
        <w:spacing w:after="0" w:line="281" w:lineRule="auto"/>
        <w:rPr>
          <w:sz w:val="20"/>
          <w:szCs w:val="20"/>
          <w:color w:val="auto"/>
        </w:rPr>
      </w:pPr>
      <w:r>
        <w:rPr>
          <w:rFonts w:ascii="Arial" w:cs="Arial" w:eastAsia="Arial" w:hAnsi="Arial"/>
          <w:sz w:val="16"/>
          <w:szCs w:val="16"/>
          <w:color w:val="auto"/>
        </w:rPr>
        <w:t>Moreover, the transferee of an interest in a partnership that is engaged in a U.S. trade or business is generally required to withhold 10% of the "amount realized" by the transferor unless the transferor certifies that it is not a foreign person. While the determination of a partner's "amount realized" generally includes any decrease of a partner's share of the partnership's liabilities, the Treasury Regulations provide that the "amount realized" on a transfer of an interest in a publicly-traded partnership, such as our common units, will generally be the amount of gross proceeds paid to the broker effecting the applicable transfer on behalf of the transferor, and thus will be determined without regard to any decrease in that partner's share of a publicly-traded partnership's liabilities. For a transfer of interests in a publicly traded partnership that is effected through a broker on or after January 1, 2023, the obligation to withhold is imposed on the transferor's broker. Current and prospective non-U.S. unitholders should consult their tax advisors regarding the impact of these rules on an investment in our common units.</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b w:val="1"/>
          <w:bCs w:val="1"/>
          <w:i w:val="1"/>
          <w:iCs w:val="1"/>
          <w:color w:val="auto"/>
        </w:rPr>
        <w:t>We treat each purchaser of our common units as having the same tax benefits without regard to the common units actually purchased. The IRS may challenge this treatment, which could adversely affect the value of our common units.</w:t>
      </w:r>
    </w:p>
    <w:p>
      <w:pPr>
        <w:spacing w:after="0" w:line="50" w:lineRule="exact"/>
        <w:rPr>
          <w:sz w:val="20"/>
          <w:szCs w:val="20"/>
          <w:color w:val="auto"/>
        </w:rPr>
      </w:pPr>
    </w:p>
    <w:p>
      <w:pPr>
        <w:ind w:firstLine="395"/>
        <w:spacing w:after="0" w:line="291" w:lineRule="auto"/>
        <w:rPr>
          <w:sz w:val="20"/>
          <w:szCs w:val="20"/>
          <w:color w:val="auto"/>
        </w:rPr>
      </w:pPr>
      <w:r>
        <w:rPr>
          <w:rFonts w:ascii="Arial" w:cs="Arial" w:eastAsia="Arial" w:hAnsi="Arial"/>
          <w:sz w:val="16"/>
          <w:szCs w:val="16"/>
          <w:color w:val="auto"/>
        </w:rPr>
        <w:t>Because we cannot match transferors and transferees of common units, we have adopted certain methods for allocating depreciation and amortization deductions that may not conform to all aspects of existing Treasury Regulations. A successful IRS challenge to the use of these methods could adversely affect the amount of tax benefits available to our unitholders. It also could affect the timing of these tax benefits or the amount of gain from any sale of common units and could have a negative impact on the value of our common units or result in audit adjustments to a unitholder's tax returns.</w:t>
      </w:r>
    </w:p>
    <w:p>
      <w:pPr>
        <w:spacing w:after="0" w:line="200" w:lineRule="exact"/>
        <w:rPr>
          <w:sz w:val="20"/>
          <w:szCs w:val="20"/>
          <w:color w:val="auto"/>
        </w:rPr>
      </w:pPr>
    </w:p>
    <w:p>
      <w:pPr>
        <w:jc w:val="both"/>
        <w:ind w:right="20"/>
        <w:spacing w:after="0" w:line="299" w:lineRule="auto"/>
        <w:rPr>
          <w:sz w:val="20"/>
          <w:szCs w:val="20"/>
          <w:color w:val="auto"/>
        </w:rPr>
      </w:pPr>
      <w:r>
        <w:rPr>
          <w:rFonts w:ascii="Arial" w:cs="Arial" w:eastAsia="Arial" w:hAnsi="Arial"/>
          <w:sz w:val="16"/>
          <w:szCs w:val="16"/>
          <w:b w:val="1"/>
          <w:bCs w:val="1"/>
          <w:i w:val="1"/>
          <w:iCs w:val="1"/>
          <w:color w:val="auto"/>
        </w:rPr>
        <w:t>We generally prorate our items of income, gain, loss and deduction between transferors and transferees of our units each month based upon the ownership of our units on the first day of each month, instead of on the basis of the date a particular unit is transferred. The IRS may challenge this treatment, which could change the allocation of items of income, gain, loss and deduction among our unitholders.</w:t>
      </w:r>
    </w:p>
    <w:p>
      <w:pPr>
        <w:spacing w:after="0" w:line="36" w:lineRule="exact"/>
        <w:rPr>
          <w:sz w:val="20"/>
          <w:szCs w:val="20"/>
          <w:color w:val="auto"/>
        </w:rPr>
      </w:pPr>
    </w:p>
    <w:p>
      <w:pPr>
        <w:ind w:firstLine="395"/>
        <w:spacing w:after="0" w:line="284" w:lineRule="auto"/>
        <w:rPr>
          <w:sz w:val="20"/>
          <w:szCs w:val="20"/>
          <w:color w:val="auto"/>
        </w:rPr>
      </w:pPr>
      <w:r>
        <w:rPr>
          <w:rFonts w:ascii="Arial" w:cs="Arial" w:eastAsia="Arial" w:hAnsi="Arial"/>
          <w:sz w:val="16"/>
          <w:szCs w:val="16"/>
          <w:color w:val="auto"/>
        </w:rPr>
        <w:t>We generally prorate our items of income, gain, loss and deduction between transferors and transferees of our units each month based upon the ownership of our units on the first day of each month (the "Allocation Date"), instead of on the basis of the date a particular unit is transferred. Similarly, we generally allocate (i) certain deductions for depreciation of capital additions, (ii) gain or loss realized on a sale or other disposition of our assets and (iii) in the discretion of the general partner, any other extraordinary item of income, gain, loss or deduction based upon ownership on the Allocation Date. Treasury Regulations allow a similar monthly simplifying convention, but such regulations do not specifically authorize all aspects of our proration method. If the IRS were to challenge our proration method, we may be required to change the allocation of items of income, gain, loss and deduction among our unitholders.</w:t>
      </w:r>
    </w:p>
    <w:p>
      <w:pPr>
        <w:spacing w:after="0" w:line="194"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b w:val="1"/>
          <w:bCs w:val="1"/>
          <w:i w:val="1"/>
          <w:iCs w:val="1"/>
          <w:color w:val="auto"/>
        </w:rPr>
        <w:t>A unitholder whose units are the subject of a securities loan (e.g., a loan to a "short seller" to cover a short sale of units) may be considered to have disposed of those units. If so, such unitholder would no longer be treated for tax purposes as a partner with respect to those units during the period of the loan and may recognize gain or loss from the disposition.</w:t>
      </w:r>
    </w:p>
    <w:p>
      <w:pPr>
        <w:spacing w:after="0" w:line="72" w:lineRule="exact"/>
        <w:rPr>
          <w:sz w:val="20"/>
          <w:szCs w:val="20"/>
          <w:color w:val="auto"/>
        </w:rPr>
      </w:pPr>
    </w:p>
    <w:p>
      <w:pPr>
        <w:jc w:val="both"/>
        <w:ind w:right="120" w:firstLine="395"/>
        <w:spacing w:after="0" w:line="298" w:lineRule="auto"/>
        <w:rPr>
          <w:sz w:val="20"/>
          <w:szCs w:val="20"/>
          <w:color w:val="auto"/>
        </w:rPr>
      </w:pPr>
      <w:r>
        <w:rPr>
          <w:rFonts w:ascii="Arial" w:cs="Arial" w:eastAsia="Arial" w:hAnsi="Arial"/>
          <w:sz w:val="15"/>
          <w:szCs w:val="15"/>
          <w:color w:val="auto"/>
        </w:rPr>
        <w:t>Because there are no specific rules governing the U.S. federal income tax consequence of loaning a partnership interest, a unitholder whose units are the subject of a securities loan may be considered to have disposed of the loaned units. In that case, the unitholder may no longer be treated for tax purposes as a partner with respect to those units during the period of the loan to the short seller and the unitholder may recognize gain or loss from such disposition.</w:t>
      </w:r>
    </w:p>
    <w:p>
      <w:pPr>
        <w:spacing w:after="0" w:line="1"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Moreover, during the period of the loan, any of our income, gain, loss or deduction with respect to those units may not be reportable by the unitholder and any cash distributions received by the unitholder as to those units could be fully taxable as ordinary income. Unitholders desiring to assure their status as partners and avoid the risk of gain recognition from a securities loan are urged to consult a tax advisor to determine whether it is advisable to modify any applicable brokerage account agreements to prohibit their brokers from borrowing their units.</w:t>
      </w:r>
    </w:p>
    <w:p>
      <w:pPr>
        <w:spacing w:after="0" w:line="203" w:lineRule="exact"/>
        <w:rPr>
          <w:sz w:val="20"/>
          <w:szCs w:val="20"/>
          <w:color w:val="auto"/>
        </w:rPr>
      </w:pPr>
    </w:p>
    <w:p>
      <w:pPr>
        <w:ind w:right="240"/>
        <w:spacing w:after="0" w:line="324" w:lineRule="auto"/>
        <w:rPr>
          <w:sz w:val="20"/>
          <w:szCs w:val="20"/>
          <w:color w:val="auto"/>
        </w:rPr>
      </w:pPr>
      <w:r>
        <w:rPr>
          <w:rFonts w:ascii="Arial" w:cs="Arial" w:eastAsia="Arial" w:hAnsi="Arial"/>
          <w:sz w:val="16"/>
          <w:szCs w:val="16"/>
          <w:b w:val="1"/>
          <w:bCs w:val="1"/>
          <w:i w:val="1"/>
          <w:iCs w:val="1"/>
          <w:color w:val="auto"/>
        </w:rPr>
        <w:t>We have adopted certain valuation methodologies in determining a unitholder's allocations of income, gain, loss and deduction. The IRS may challenge these methodologies or the resulting allocations, which could adversely affect the value of our common units.</w:t>
      </w:r>
    </w:p>
    <w:p>
      <w:pPr>
        <w:spacing w:after="0" w:line="3" w:lineRule="exact"/>
        <w:rPr>
          <w:sz w:val="20"/>
          <w:szCs w:val="20"/>
          <w:color w:val="auto"/>
        </w:rPr>
      </w:pPr>
    </w:p>
    <w:p>
      <w:pPr>
        <w:ind w:right="20" w:firstLine="395"/>
        <w:spacing w:after="0" w:line="250" w:lineRule="auto"/>
        <w:rPr>
          <w:sz w:val="20"/>
          <w:szCs w:val="20"/>
          <w:color w:val="auto"/>
        </w:rPr>
      </w:pPr>
      <w:r>
        <w:rPr>
          <w:rFonts w:ascii="Arial" w:cs="Arial" w:eastAsia="Arial" w:hAnsi="Arial"/>
          <w:sz w:val="18"/>
          <w:szCs w:val="18"/>
          <w:color w:val="auto"/>
        </w:rPr>
        <w:t>In determining the items of income, gain, loss and deduction allocable to our unitholders, we must routinely determine the fair market value of our assets. Although we may, from time to time, consult with professional appraisers regarding valuation matters, we make many fair market value estimates using a methodology based on the market value of our common units as a means to measure the fair market value of our assets. The IRS may challenge these valuation methods and the resulting allocations of income, gain, loss and deduction.</w:t>
      </w:r>
    </w:p>
    <w:p>
      <w:pPr>
        <w:spacing w:after="0" w:line="138" w:lineRule="exact"/>
        <w:rPr>
          <w:sz w:val="20"/>
          <w:szCs w:val="20"/>
          <w:color w:val="auto"/>
        </w:rPr>
      </w:pPr>
    </w:p>
    <w:p>
      <w:pPr>
        <w:ind w:right="60" w:firstLine="395"/>
        <w:spacing w:after="0" w:line="252" w:lineRule="auto"/>
        <w:rPr>
          <w:sz w:val="20"/>
          <w:szCs w:val="20"/>
          <w:color w:val="auto"/>
        </w:rPr>
      </w:pPr>
      <w:r>
        <w:rPr>
          <w:rFonts w:ascii="Arial" w:cs="Arial" w:eastAsia="Arial" w:hAnsi="Arial"/>
          <w:sz w:val="18"/>
          <w:szCs w:val="18"/>
          <w:color w:val="auto"/>
        </w:rPr>
        <w:t>A successful IRS challenge to these methods or allocations could adversely affect the timing or amount of taxable income or loss being allocated to our unitholders. It also could affect the amount of gain recognized from the sale of our common units, have a negative impact on the value of our common units or result in audit adjustments to our unitholders' tax returns without the benefit of additional deductions.</w:t>
      </w:r>
    </w:p>
    <w:p>
      <w:pPr>
        <w:spacing w:after="0" w:line="200" w:lineRule="exact"/>
        <w:rPr>
          <w:sz w:val="20"/>
          <w:szCs w:val="20"/>
          <w:color w:val="auto"/>
        </w:rPr>
      </w:pPr>
    </w:p>
    <w:p>
      <w:pPr>
        <w:spacing w:after="0" w:line="3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i w:val="1"/>
          <w:iCs w:val="1"/>
          <w:color w:val="auto"/>
        </w:rPr>
        <w:t>Our unitholders will likely be subject to state and local taxes and income tax return filing requirements in jurisdictions where they do not live as a result of investing in our common units.</w:t>
      </w:r>
    </w:p>
    <w:p>
      <w:pPr>
        <w:spacing w:after="0" w:line="50" w:lineRule="exact"/>
        <w:rPr>
          <w:sz w:val="20"/>
          <w:szCs w:val="20"/>
          <w:color w:val="auto"/>
        </w:rPr>
      </w:pPr>
    </w:p>
    <w:p>
      <w:pPr>
        <w:ind w:right="200" w:firstLine="395"/>
        <w:spacing w:after="0" w:line="248" w:lineRule="auto"/>
        <w:rPr>
          <w:sz w:val="20"/>
          <w:szCs w:val="20"/>
          <w:color w:val="auto"/>
        </w:rPr>
      </w:pPr>
      <w:r>
        <w:rPr>
          <w:rFonts w:ascii="Arial" w:cs="Arial" w:eastAsia="Arial" w:hAnsi="Arial"/>
          <w:sz w:val="18"/>
          <w:szCs w:val="18"/>
          <w:color w:val="auto"/>
        </w:rPr>
        <w:t>In addition to U.S. federal income taxes, our unitholders may be subject to other taxes, including foreign, state and local taxes, unincorporated business taxes and estate, inheritance or intangible taxes that are imposed by the various jurisdictions in which we conduct business or own property now or in the future, even if they do not live in any of those jurisdictions. Our unitholders will likely be required to file foreign, state and local income tax returns and pay state and local income taxes in some or all of these various jurisdictions. Further, our unitholders may be subject to penalties for failure to comply with those requirements.</w:t>
      </w:r>
    </w:p>
    <w:p>
      <w:pPr>
        <w:spacing w:after="0" w:line="141" w:lineRule="exact"/>
        <w:rPr>
          <w:sz w:val="20"/>
          <w:szCs w:val="20"/>
          <w:color w:val="auto"/>
        </w:rPr>
      </w:pPr>
    </w:p>
    <w:p>
      <w:pPr>
        <w:ind w:right="40" w:firstLine="395"/>
        <w:spacing w:after="0" w:line="248" w:lineRule="auto"/>
        <w:rPr>
          <w:sz w:val="20"/>
          <w:szCs w:val="20"/>
          <w:color w:val="auto"/>
        </w:rPr>
      </w:pPr>
      <w:r>
        <w:rPr>
          <w:rFonts w:ascii="Arial" w:cs="Arial" w:eastAsia="Arial" w:hAnsi="Arial"/>
          <w:sz w:val="18"/>
          <w:szCs w:val="18"/>
          <w:color w:val="auto"/>
        </w:rPr>
        <w:t>We currently own property and conduct business in a number of states, most of which currently impose a personal income tax on individuals, and most of which also impose an income or similar tax on corporations and certain other entities. As we make acquisitions or expand our business, we may own assets or conduct business in additional states that impose similar taxes. It is our unitholders' responsibility to file all U.S. federal, foreign, state and local tax returns and pay any taxes due in these jurisdictions. Unitholders should consult with their own tax advisors regarding the filing of such tax returns, the payment of such taxes, and the deductibility of any taxes paid.</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102"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Information regarding our properties is contained in "Item 1. Business—OpCo's Assets" and "Item 7. Management's Discussion and Analysis of Financial Condition and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89" w:lineRule="exact"/>
        <w:rPr>
          <w:sz w:val="20"/>
          <w:szCs w:val="20"/>
          <w:color w:val="auto"/>
        </w:rPr>
      </w:pPr>
    </w:p>
    <w:p>
      <w:pPr>
        <w:ind w:right="20" w:firstLine="395"/>
        <w:spacing w:after="0" w:line="282" w:lineRule="auto"/>
        <w:rPr>
          <w:sz w:val="20"/>
          <w:szCs w:val="20"/>
          <w:color w:val="auto"/>
        </w:rPr>
      </w:pPr>
      <w:r>
        <w:rPr>
          <w:rFonts w:ascii="Arial" w:cs="Arial" w:eastAsia="Arial" w:hAnsi="Arial"/>
          <w:sz w:val="16"/>
          <w:szCs w:val="16"/>
          <w:color w:val="auto"/>
        </w:rPr>
        <w:t>In the ordinary conduct of our business, we and Westlake and Westlake's subsidiaries, including OpCo, are subject to periodic lawsuits, investigations and claims, including environmental claims and employee related matters. See the discussions of our environmental matters contained in "Item 1. Business</w:t>
      </w:r>
      <w:r>
        <w:rPr>
          <w:rFonts w:ascii="Arial" w:cs="Arial" w:eastAsia="Arial" w:hAnsi="Arial"/>
          <w:sz w:val="16"/>
          <w:szCs w:val="16"/>
          <w:i w:val="1"/>
          <w:iCs w:val="1"/>
          <w:color w:val="auto"/>
        </w:rPr>
        <w:t>—</w:t>
      </w:r>
      <w:r>
        <w:rPr>
          <w:rFonts w:ascii="Arial" w:cs="Arial" w:eastAsia="Arial" w:hAnsi="Arial"/>
          <w:sz w:val="16"/>
          <w:szCs w:val="16"/>
          <w:color w:val="auto"/>
        </w:rPr>
        <w:t xml:space="preserve"> Environmental" and "Note 16</w:t>
      </w:r>
      <w:r>
        <w:rPr>
          <w:rFonts w:ascii="Arial" w:cs="Arial" w:eastAsia="Arial" w:hAnsi="Arial"/>
          <w:sz w:val="16"/>
          <w:szCs w:val="16"/>
          <w:i w:val="1"/>
          <w:iCs w:val="1"/>
          <w:color w:val="auto"/>
        </w:rPr>
        <w:t>—</w:t>
      </w:r>
      <w:r>
        <w:rPr>
          <w:rFonts w:ascii="Arial" w:cs="Arial" w:eastAsia="Arial" w:hAnsi="Arial"/>
          <w:sz w:val="16"/>
          <w:szCs w:val="16"/>
          <w:color w:val="auto"/>
        </w:rPr>
        <w:t>Commitments and Contingencies", to the consolidated financial statements within this report. Although we cannot predict with certainty the ultimate resolution of lawsuits, investigations and claims asserted against us, we do not believe that any currently pending legal proceeding or proceedings to which we or Westlake or any of our or Westlake's subsidiaries, including OpCo, are a party will have a material adverse effect on our business, results of operations, cash flows or financial condition. In addition, under the Omnibus Agreement, Westlake agreed to indemnify OpCo for certain environmental liabilities arising out of or occurring before the closing date of the IPO.</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3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290" w:lineRule="exact"/>
        <w:rPr>
          <w:sz w:val="20"/>
          <w:szCs w:val="20"/>
          <w:color w:val="auto"/>
        </w:rPr>
      </w:pPr>
    </w:p>
    <w:p>
      <w:pPr>
        <w:ind w:right="2220"/>
        <w:spacing w:after="0" w:line="346" w:lineRule="auto"/>
        <w:rPr>
          <w:sz w:val="20"/>
          <w:szCs w:val="20"/>
          <w:color w:val="auto"/>
        </w:rPr>
      </w:pPr>
      <w:r>
        <w:rPr>
          <w:rFonts w:ascii="Arial" w:cs="Arial" w:eastAsia="Arial" w:hAnsi="Arial"/>
          <w:sz w:val="18"/>
          <w:szCs w:val="18"/>
          <w:b w:val="1"/>
          <w:bCs w:val="1"/>
          <w:color w:val="auto"/>
        </w:rPr>
        <w:t>Item 5. Market for Registrant's Common Equity, Related Stockholder Matters and Issuer Purchases of Equity Securities Our Partnership Interests</w:t>
      </w:r>
    </w:p>
    <w:p>
      <w:pPr>
        <w:spacing w:after="0" w:line="1" w:lineRule="exact"/>
        <w:rPr>
          <w:sz w:val="20"/>
          <w:szCs w:val="20"/>
          <w:color w:val="auto"/>
        </w:rPr>
      </w:pPr>
    </w:p>
    <w:p>
      <w:pPr>
        <w:ind w:right="780" w:firstLine="395"/>
        <w:spacing w:after="0" w:line="324" w:lineRule="auto"/>
        <w:rPr>
          <w:sz w:val="20"/>
          <w:szCs w:val="20"/>
          <w:color w:val="auto"/>
        </w:rPr>
      </w:pPr>
      <w:r>
        <w:rPr>
          <w:rFonts w:ascii="Arial" w:cs="Arial" w:eastAsia="Arial" w:hAnsi="Arial"/>
          <w:sz w:val="16"/>
          <w:szCs w:val="16"/>
          <w:color w:val="auto"/>
        </w:rPr>
        <w:t>Our common units are listed and traded on the New York Stock Exchange ("NYSE") under the symbol "WLKP." As of the close of business on February 22, 2023, based upon information received from our transfer agent, there were four holders of record of our common units.</w:t>
      </w:r>
    </w:p>
    <w:p>
      <w:pPr>
        <w:spacing w:after="0" w:line="82" w:lineRule="exact"/>
        <w:rPr>
          <w:sz w:val="20"/>
          <w:szCs w:val="20"/>
          <w:color w:val="auto"/>
        </w:rPr>
      </w:pPr>
    </w:p>
    <w:p>
      <w:pPr>
        <w:ind w:right="460" w:firstLine="395"/>
        <w:spacing w:after="0" w:line="261" w:lineRule="auto"/>
        <w:rPr>
          <w:sz w:val="20"/>
          <w:szCs w:val="20"/>
          <w:color w:val="auto"/>
        </w:rPr>
      </w:pPr>
      <w:r>
        <w:rPr>
          <w:rFonts w:ascii="Arial" w:cs="Arial" w:eastAsia="Arial" w:hAnsi="Arial"/>
          <w:sz w:val="18"/>
          <w:szCs w:val="18"/>
          <w:color w:val="auto"/>
        </w:rPr>
        <w:t>We are a publicly-traded partnership and are not subject to federal income tax. Instead, unitholders are required to report their allocable share of our income, gain, loss and deduction, regardless of whether we make distributions.</w:t>
      </w:r>
    </w:p>
    <w:p>
      <w:pPr>
        <w:spacing w:after="0" w:line="129" w:lineRule="exact"/>
        <w:rPr>
          <w:sz w:val="20"/>
          <w:szCs w:val="20"/>
          <w:color w:val="auto"/>
        </w:rPr>
      </w:pPr>
    </w:p>
    <w:p>
      <w:pPr>
        <w:ind w:right="140" w:firstLine="395"/>
        <w:spacing w:after="0" w:line="299" w:lineRule="auto"/>
        <w:rPr>
          <w:sz w:val="20"/>
          <w:szCs w:val="20"/>
          <w:color w:val="auto"/>
        </w:rPr>
      </w:pPr>
      <w:r>
        <w:rPr>
          <w:rFonts w:ascii="Arial" w:cs="Arial" w:eastAsia="Arial" w:hAnsi="Arial"/>
          <w:sz w:val="16"/>
          <w:szCs w:val="16"/>
          <w:color w:val="auto"/>
        </w:rPr>
        <w:t>Following the Partnership's cash distribution for the second quarter of 2017, the requirement under the Partnership's partnership agreement for the conversion of all subordinated units was satisfied. As a result, effective August 30, 2017, all of the subordinated units owned by Westlake were converted into common units on a one-for-one basis and thereafter participate on terms equal with all other common units in distributions of available cash.</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Information from our Partnership Agreement</w:t>
      </w:r>
    </w:p>
    <w:p>
      <w:pPr>
        <w:spacing w:after="0" w:line="89" w:lineRule="exact"/>
        <w:rPr>
          <w:sz w:val="20"/>
          <w:szCs w:val="20"/>
          <w:color w:val="auto"/>
        </w:rPr>
      </w:pPr>
    </w:p>
    <w:p>
      <w:pPr>
        <w:ind w:right="140" w:firstLine="395"/>
        <w:spacing w:after="0" w:line="261" w:lineRule="auto"/>
        <w:rPr>
          <w:sz w:val="20"/>
          <w:szCs w:val="20"/>
          <w:color w:val="auto"/>
        </w:rPr>
      </w:pPr>
      <w:r>
        <w:rPr>
          <w:rFonts w:ascii="Arial" w:cs="Arial" w:eastAsia="Arial" w:hAnsi="Arial"/>
          <w:sz w:val="18"/>
          <w:szCs w:val="18"/>
          <w:color w:val="auto"/>
        </w:rPr>
        <w:t>Set forth below is a summary of the significant provisions of our partnership agreement that relate to cash distributions, minimum quarterly distributions and incentive distribution rights.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Distribution Policy</w:t>
      </w:r>
    </w:p>
    <w:p>
      <w:pPr>
        <w:spacing w:after="0" w:line="102" w:lineRule="exact"/>
        <w:rPr>
          <w:sz w:val="20"/>
          <w:szCs w:val="20"/>
          <w:color w:val="auto"/>
        </w:rPr>
      </w:pPr>
    </w:p>
    <w:p>
      <w:pPr>
        <w:ind w:right="80" w:firstLine="395"/>
        <w:spacing w:after="0" w:line="287" w:lineRule="auto"/>
        <w:rPr>
          <w:sz w:val="20"/>
          <w:szCs w:val="20"/>
          <w:color w:val="auto"/>
        </w:rPr>
      </w:pPr>
      <w:r>
        <w:rPr>
          <w:rFonts w:ascii="Arial" w:cs="Arial" w:eastAsia="Arial" w:hAnsi="Arial"/>
          <w:sz w:val="16"/>
          <w:szCs w:val="16"/>
          <w:color w:val="auto"/>
        </w:rPr>
        <w:t>Our partnership agreement provides that our general partner will make a determination as to whether to make a distribution, but our partnership agreement does not require us to pay distributions at any time or in any amount. Instead, the board of directors adopted a cash distribution policy in connection with the closing of the IPO that sets forth our general partner's intention with respect to the distributions to be made to unitholders. Pursuant to our cash distribution policy, within 60 days after the end of each quarter, we intend to make a minimum quarterly distribution of $0.2750 per unit to the extent we have sufficient cash after establishment of cash reserves and payment of fees and expenses, including payments to our general partner and its affiliates.</w:t>
      </w:r>
    </w:p>
    <w:p>
      <w:pPr>
        <w:spacing w:after="0" w:line="111" w:lineRule="exact"/>
        <w:rPr>
          <w:sz w:val="20"/>
          <w:szCs w:val="20"/>
          <w:color w:val="auto"/>
        </w:rPr>
      </w:pPr>
    </w:p>
    <w:p>
      <w:pPr>
        <w:ind w:right="80" w:firstLine="395"/>
        <w:spacing w:after="0" w:line="324" w:lineRule="auto"/>
        <w:rPr>
          <w:sz w:val="20"/>
          <w:szCs w:val="20"/>
          <w:color w:val="auto"/>
        </w:rPr>
      </w:pPr>
      <w:r>
        <w:rPr>
          <w:rFonts w:ascii="Arial" w:cs="Arial" w:eastAsia="Arial" w:hAnsi="Arial"/>
          <w:sz w:val="16"/>
          <w:szCs w:val="16"/>
          <w:color w:val="auto"/>
        </w:rPr>
        <w:t>The board of directors may change our cash distribution policy at any time and from time to time, and even if our cash distribution policy is not modified or revoked, the amount of distributions paid under our policy and the decision to make any distribution is determined by our general partner.</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Surplus and Capital Surplus</w:t>
      </w:r>
    </w:p>
    <w:p>
      <w:pPr>
        <w:spacing w:after="0" w:line="102" w:lineRule="exact"/>
        <w:rPr>
          <w:sz w:val="20"/>
          <w:szCs w:val="20"/>
          <w:color w:val="auto"/>
        </w:rPr>
      </w:pPr>
    </w:p>
    <w:p>
      <w:pPr>
        <w:ind w:firstLine="395"/>
        <w:spacing w:after="0" w:line="280" w:lineRule="auto"/>
        <w:rPr>
          <w:sz w:val="20"/>
          <w:szCs w:val="20"/>
          <w:color w:val="auto"/>
        </w:rPr>
      </w:pPr>
      <w:r>
        <w:rPr>
          <w:rFonts w:ascii="Arial" w:cs="Arial" w:eastAsia="Arial" w:hAnsi="Arial"/>
          <w:sz w:val="16"/>
          <w:szCs w:val="16"/>
          <w:color w:val="auto"/>
        </w:rPr>
        <w:t>Any distribution we make is characterized as made from "operating surplus" or "capital surplus." Distributions from operating surplus are made differently than cash distributions we would make from capital surplus. Operating surplus distributions will be made to our unitholders and, if we make quarterly distributions above the first target distribution level described below, to the holder of our incentive distribution rights. We do not anticipate that we will make any distributions from capital surplus. In such an event, however, any capital surplus distribution would be made pro rata to all unitholders, but the incentive distribution rights would generally not participate in any capital surplus distributions. Any distribution of capital surplus would result in a reduction of the minimum quarterly distribution and target distribution levels and, if we reduce the minimum quarterly distribution to zero and eliminate any unpaid arrearages, thereafter capital surplus would be distributed as if it were operating surplus and the incentive distribution rights would thereafter be entitled to participate in such distributions. In determining operating surplus and capital surplus, we will only take into account our proportionate share of our consolidated subsidiaries that are not wholly owned, such as OpCo.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Minimum Quarterly Distribution</w:t>
      </w:r>
    </w:p>
    <w:p>
      <w:pPr>
        <w:spacing w:after="0" w:line="89" w:lineRule="exact"/>
        <w:rPr>
          <w:sz w:val="20"/>
          <w:szCs w:val="20"/>
          <w:color w:val="auto"/>
        </w:rPr>
      </w:pPr>
    </w:p>
    <w:p>
      <w:pPr>
        <w:ind w:right="100" w:firstLine="395"/>
        <w:spacing w:after="0" w:line="284" w:lineRule="auto"/>
        <w:rPr>
          <w:sz w:val="20"/>
          <w:szCs w:val="20"/>
          <w:color w:val="auto"/>
        </w:rPr>
      </w:pPr>
      <w:r>
        <w:rPr>
          <w:rFonts w:ascii="Arial" w:cs="Arial" w:eastAsia="Arial" w:hAnsi="Arial"/>
          <w:sz w:val="16"/>
          <w:szCs w:val="16"/>
          <w:color w:val="auto"/>
        </w:rPr>
        <w:t>On July 27, 2018, the partnership agreement was amended to revise the minimum quarterly distribution thresholds for the Partnership's incentive distribution rights. The amended partnership agreement provides that the Partnership will distribute cash each quarter to all the unitholders, pro-rata, until each common unit has received a distribution of $1.2938. If cash distributions to the Partnership's unitholders exceed $1.2938 per common unit in any quarter, the Partnership's unitholders and Westlake, as the holder of the Partnership's incentive distribution rights, will receive distributions according to the percentage allocations per the amended partnership agreement. For more information on the Partnership's amended distribution allocation percentages, see Note 9, "Distributions and Net Income Per Limited Partner Unit," to the consolidated financial statements within this report.</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Partner Interests and Incentive Distribution Rights</w:t>
      </w:r>
    </w:p>
    <w:p>
      <w:pPr>
        <w:spacing w:after="0" w:line="89" w:lineRule="exact"/>
        <w:rPr>
          <w:sz w:val="20"/>
          <w:szCs w:val="20"/>
          <w:color w:val="auto"/>
        </w:rPr>
      </w:pPr>
    </w:p>
    <w:p>
      <w:pPr>
        <w:ind w:firstLine="395"/>
        <w:spacing w:after="0" w:line="248" w:lineRule="auto"/>
        <w:rPr>
          <w:sz w:val="20"/>
          <w:szCs w:val="20"/>
          <w:color w:val="auto"/>
        </w:rPr>
      </w:pPr>
      <w:r>
        <w:rPr>
          <w:rFonts w:ascii="Arial" w:cs="Arial" w:eastAsia="Arial" w:hAnsi="Arial"/>
          <w:sz w:val="18"/>
          <w:szCs w:val="18"/>
          <w:color w:val="auto"/>
        </w:rPr>
        <w:t>Our general partner owns a non-economic general partner interest in us, which does not entitle it to receive cash distributions. However, our general partner may in the future own common units or other equity interests in us and will be entitled to receive distributions on any such interests. Incentive distribution rights represent the right to receive increasing percentages (15.0%, 25.0% and 50.0%) of quarterly distributions from operating surplus after the target distribution levels have been achieved. Westlake currently holds the incentive distribution rights, but may transfer these rights separately from its general partner interest.</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02" w:lineRule="exact"/>
        <w:rPr>
          <w:sz w:val="20"/>
          <w:szCs w:val="20"/>
          <w:color w:val="auto"/>
        </w:rPr>
      </w:pPr>
    </w:p>
    <w:p>
      <w:pPr>
        <w:ind w:right="540" w:firstLine="395"/>
        <w:spacing w:after="0" w:line="261" w:lineRule="auto"/>
        <w:rPr>
          <w:sz w:val="20"/>
          <w:szCs w:val="20"/>
          <w:color w:val="auto"/>
        </w:rPr>
      </w:pPr>
      <w:r>
        <w:rPr>
          <w:rFonts w:ascii="Arial" w:cs="Arial" w:eastAsia="Arial" w:hAnsi="Arial"/>
          <w:sz w:val="18"/>
          <w:szCs w:val="18"/>
          <w:color w:val="auto"/>
        </w:rPr>
        <w:t>We did not have any unregistered sales of equity securities during the quarter or fiscal year ended December 31, 2022 that we have not previously reported on a Quarterly Report on Form 10-Q or a Current Report on Form 8-K.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[Reserved]</w:t>
      </w:r>
    </w:p>
    <w:p>
      <w:pPr>
        <w:spacing w:after="0" w:line="319" w:lineRule="exact"/>
        <w:rPr>
          <w:sz w:val="20"/>
          <w:szCs w:val="20"/>
          <w:color w:val="auto"/>
        </w:rPr>
      </w:pPr>
    </w:p>
    <w:p>
      <w:pPr>
        <w:ind w:right="4000"/>
        <w:spacing w:after="0" w:line="354" w:lineRule="auto"/>
        <w:rPr>
          <w:sz w:val="20"/>
          <w:szCs w:val="20"/>
          <w:color w:val="auto"/>
        </w:rPr>
      </w:pPr>
      <w:r>
        <w:rPr>
          <w:rFonts w:ascii="Arial" w:cs="Arial" w:eastAsia="Arial" w:hAnsi="Arial"/>
          <w:sz w:val="18"/>
          <w:szCs w:val="18"/>
          <w:b w:val="1"/>
          <w:bCs w:val="1"/>
          <w:color w:val="auto"/>
        </w:rPr>
        <w:t>Item 7. Management's Discussion and Analysis of Financial Condition and Results of Operations Overview</w:t>
      </w:r>
    </w:p>
    <w:p>
      <w:pPr>
        <w:spacing w:after="0" w:line="1" w:lineRule="exact"/>
        <w:rPr>
          <w:sz w:val="20"/>
          <w:szCs w:val="20"/>
          <w:color w:val="auto"/>
        </w:rPr>
      </w:pPr>
    </w:p>
    <w:p>
      <w:pPr>
        <w:ind w:right="220" w:firstLine="395"/>
        <w:spacing w:after="0" w:line="250" w:lineRule="auto"/>
        <w:rPr>
          <w:sz w:val="20"/>
          <w:szCs w:val="20"/>
          <w:color w:val="auto"/>
        </w:rPr>
      </w:pPr>
      <w:r>
        <w:rPr>
          <w:rFonts w:ascii="Arial" w:cs="Arial" w:eastAsia="Arial" w:hAnsi="Arial"/>
          <w:sz w:val="18"/>
          <w:szCs w:val="18"/>
          <w:color w:val="auto"/>
        </w:rPr>
        <w:t>This Management's Discussion and Analysis of Financial Condition and Results of Operations should be read in conjunction with the accompanying consolidated financial statements, the notes thereto, and the other financial information appearing elsewhere in this report. The following discussion includes forward-looking statements that involve certain risks and uncertainties. See "Cautionary Statement Regarding Forward-Looking Statements" and "Item 1A. Risk Factors" included within this report.</w:t>
      </w:r>
    </w:p>
    <w:p>
      <w:pPr>
        <w:spacing w:after="0" w:line="138" w:lineRule="exact"/>
        <w:rPr>
          <w:sz w:val="20"/>
          <w:szCs w:val="20"/>
          <w:color w:val="auto"/>
        </w:rPr>
      </w:pPr>
    </w:p>
    <w:p>
      <w:pPr>
        <w:ind w:firstLine="395"/>
        <w:spacing w:after="0" w:line="280" w:lineRule="auto"/>
        <w:rPr>
          <w:sz w:val="20"/>
          <w:szCs w:val="20"/>
          <w:color w:val="auto"/>
        </w:rPr>
      </w:pPr>
      <w:r>
        <w:rPr>
          <w:rFonts w:ascii="Arial" w:cs="Arial" w:eastAsia="Arial" w:hAnsi="Arial"/>
          <w:sz w:val="16"/>
          <w:szCs w:val="16"/>
          <w:color w:val="auto"/>
        </w:rPr>
        <w:t>We are a Delaware limited partnership formed by Westlake to operate, acquire and develop ethylene production facilities and related assets. On August 4, 2014, we closed our initial public offering (the "IPO") of 12,937,500 common units. In connection with the IPO, we acquired a 10.6% interest in OpCo and a 100% interest in OpCo GP, which is the general partner of OpCo. On April 29, 2015, we purchased an additional 2.7% newly-issued limited partner interest in OpCo, resulting in an aggregate 13.3% limited partner interest in OpCo effective April 1, 2015. The 12,686,115 subordinated units of the Partnership, all of which were previously owned by Westlake, were converted into common units of the Partnership on August 30, 2017. On September 29, 2017, we completed a secondary public offering of 5,175,000 common units and purchased an additional 5.0% newly-issued limited partner interest in OpCo, resulting in an aggregate 18.3% limited partner interest in OpCo effective July 1, 2017. On March 29, 2019, we completed a private placement of 2,940,818 common units and used the net proceeds to purchase an additional 4.5% interest in OpCo, effective January 1, 2019, resulting in us owning an aggregate 22.8% limited partner interest in OpCo.</w:t>
      </w:r>
    </w:p>
    <w:p>
      <w:pPr>
        <w:spacing w:after="0" w:line="121" w:lineRule="exact"/>
        <w:rPr>
          <w:sz w:val="20"/>
          <w:szCs w:val="20"/>
          <w:color w:val="auto"/>
        </w:rPr>
      </w:pPr>
    </w:p>
    <w:p>
      <w:pPr>
        <w:ind w:firstLine="395"/>
        <w:spacing w:after="0" w:line="247" w:lineRule="auto"/>
        <w:rPr>
          <w:sz w:val="20"/>
          <w:szCs w:val="20"/>
          <w:color w:val="auto"/>
        </w:rPr>
      </w:pPr>
      <w:r>
        <w:rPr>
          <w:rFonts w:ascii="Arial" w:cs="Arial" w:eastAsia="Arial" w:hAnsi="Arial"/>
          <w:sz w:val="18"/>
          <w:szCs w:val="18"/>
          <w:color w:val="auto"/>
        </w:rPr>
        <w:t>Currently, our sole revenue generating asset is our 22.8% limited partner interest in OpCo, a limited partnership formed by Westlake and us in anticipation of the IPO to own and operate an ethylene production business. We control OpCo through our ownership of its general partner. Westlake retains the remaining 77.2% limited partner interest in OpCo as well as a significant interest in us through its ownership of our general partner, 40.1% of our limited partner units (consisting of 14,122,230 common units) and our incentive distribution rights. OpCo's assets include (1) two ethylene production facilities ("Petro 1" and "Petro 2" and, collectively, "Lake Charles Olefins") at Westlake's Lake Charles, Louisiana site; (2) one ethylene production facility ("Calvert City Olefins") at Westlake's Calvert City, Kentucky site; and (3) a 200-mile common carrier ethylene pipeline (the "Longview Pipeline") that runs from Mont Belvieu, Texas to Westlake's Longview, Texas facility.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Generate Revenue</w:t>
      </w:r>
    </w:p>
    <w:p>
      <w:pPr>
        <w:spacing w:after="0" w:line="102" w:lineRule="exact"/>
        <w:rPr>
          <w:sz w:val="20"/>
          <w:szCs w:val="20"/>
          <w:color w:val="auto"/>
        </w:rPr>
      </w:pPr>
    </w:p>
    <w:p>
      <w:pPr>
        <w:ind w:right="20" w:firstLine="395"/>
        <w:spacing w:after="0" w:line="299" w:lineRule="auto"/>
        <w:rPr>
          <w:sz w:val="20"/>
          <w:szCs w:val="20"/>
          <w:color w:val="auto"/>
        </w:rPr>
      </w:pPr>
      <w:r>
        <w:rPr>
          <w:rFonts w:ascii="Arial" w:cs="Arial" w:eastAsia="Arial" w:hAnsi="Arial"/>
          <w:sz w:val="15"/>
          <w:szCs w:val="15"/>
          <w:color w:val="auto"/>
        </w:rPr>
        <w:t>We generate revenue primarily by selling ethylene and the resulting co-products we produce. OpCo and Westlake have entered into an ethylene sales agreement (the "Ethylene Sales Agreement") pursuant to which we generate a substantial majority of our revenue. The Ethylene Sales Agreement is a long-term, fee-based agreement with a minimum purchase commitment and includes variable pricing based on OpCo's actual feedstock and natural gas costs and estimated other costs of producing ethylene (including OpCo's estimated operating costs and a five-year average of OpCo's expected future maintenance capital expenditures and other turnaround expenditures based on OpCo's planned ethylene production capacity for the year), plus a fixed margin per pound of $0.10 less revenue from co-products sales. Pursuant to the Ethylene Sales Agreement, Westlake's obligation to pay for the annual minimum commitment (95% of OpCo's budgeted ethylene production), which is measured on an annual basis, is not reduced for a force majeure event lasting fewer than 45 consecutive days. In the event of a force majeure event, we recognize buyer deficiency fees representing fixed margin and unavoided operating and maintenance capital expenditures and maintenance expenses per pound of volume committed by Westlake during the force majeure period. In the event Westlake purchases less than its annual commitment, we recognize buyer deficiency fees representing fixed margin and all expenses and expenditures incurred per pound of volume committed but not taken by Westlake. Payment for the buyer deficiency fee is scheduled to be received by the Partnership after the conclusion of the year.</w:t>
      </w:r>
    </w:p>
    <w:p>
      <w:pPr>
        <w:spacing w:after="0" w:line="110" w:lineRule="exact"/>
        <w:rPr>
          <w:sz w:val="20"/>
          <w:szCs w:val="20"/>
          <w:color w:val="auto"/>
        </w:rPr>
      </w:pPr>
    </w:p>
    <w:p>
      <w:pPr>
        <w:ind w:right="20" w:firstLine="395"/>
        <w:spacing w:after="0" w:line="284" w:lineRule="auto"/>
        <w:rPr>
          <w:sz w:val="20"/>
          <w:szCs w:val="20"/>
          <w:color w:val="auto"/>
        </w:rPr>
      </w:pPr>
      <w:r>
        <w:rPr>
          <w:rFonts w:ascii="Arial" w:cs="Arial" w:eastAsia="Arial" w:hAnsi="Arial"/>
          <w:sz w:val="16"/>
          <w:szCs w:val="16"/>
          <w:color w:val="auto"/>
        </w:rPr>
        <w:t>Westlake has an option to take 95% of volumes in excess of the minimum commitment on an annual basis under the Ethylene Sales Agreement if we produce more than our planned production. Under the Ethylene Sales Agreement, the price for the sale of such excess ethylene to Westlake is based on a formula similar to that used for the minimum purchase commitment, with the exception of certain fixed costs. In addition, under the Ethylene Sales Agreement, if production costs billed to Westlake on an annual basis are less than 95% of the actual production costs incurred by OpCo during the contract year, OpCo is entitled to recover the shortfall in such production costs (proportionate to the volume sold to Westlake) in the subsequent year ("Shortfall"). The Shortfall is generally recognized during the period in which the related operating, maintenance or turnaround activities occur.</w:t>
      </w: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340" w:firstLine="395"/>
        <w:spacing w:after="0" w:line="252" w:lineRule="auto"/>
        <w:rPr>
          <w:sz w:val="20"/>
          <w:szCs w:val="20"/>
          <w:color w:val="auto"/>
        </w:rPr>
      </w:pPr>
      <w:r>
        <w:rPr>
          <w:rFonts w:ascii="Arial" w:cs="Arial" w:eastAsia="Arial" w:hAnsi="Arial"/>
          <w:sz w:val="18"/>
          <w:szCs w:val="18"/>
          <w:color w:val="auto"/>
        </w:rPr>
        <w:t>The Ethylene Sales Agreement provides that, if compliance with any law adopted or modified following our IPO results in OpCo incurring additional costs in excess of $500,000 in any contract year, OpCo is entitled to charge Westlake a monthly surcharge following efforts to mitigate the effects of such compliance.</w:t>
      </w:r>
    </w:p>
    <w:p>
      <w:pPr>
        <w:spacing w:after="0" w:line="138" w:lineRule="exact"/>
        <w:rPr>
          <w:sz w:val="20"/>
          <w:szCs w:val="20"/>
          <w:color w:val="auto"/>
        </w:rPr>
      </w:pPr>
    </w:p>
    <w:p>
      <w:pPr>
        <w:ind w:firstLine="395"/>
        <w:spacing w:after="0" w:line="248" w:lineRule="auto"/>
        <w:rPr>
          <w:sz w:val="20"/>
          <w:szCs w:val="20"/>
          <w:color w:val="auto"/>
        </w:rPr>
      </w:pPr>
      <w:r>
        <w:rPr>
          <w:rFonts w:ascii="Arial" w:cs="Arial" w:eastAsia="Arial" w:hAnsi="Arial"/>
          <w:sz w:val="18"/>
          <w:szCs w:val="18"/>
          <w:color w:val="auto"/>
        </w:rPr>
        <w:t>We sell ethylene production in excess of volumes sold to Westlake, as well as all associated co-products resulting from the ethylene production, directly to third parties on either a spot or contract basis. Net proceeds (after transportation and other costs) from the sales of associated co-products that result from the production of ethylene purchased by Westlake are netted against the ethylene price charged to Westlake under the Ethylene Sales Agreement, thereby substantially reducing our exposure to fluctuations in the market prices of these co-products. During 2022, all third-party ethylene and associated co-products sales generated 15.7% of our total revenues.</w:t>
      </w:r>
    </w:p>
    <w:p>
      <w:pPr>
        <w:spacing w:after="0" w:line="141" w:lineRule="exact"/>
        <w:rPr>
          <w:sz w:val="20"/>
          <w:szCs w:val="20"/>
          <w:color w:val="auto"/>
        </w:rPr>
      </w:pPr>
    </w:p>
    <w:p>
      <w:pPr>
        <w:ind w:right="20" w:firstLine="395"/>
        <w:spacing w:after="0" w:line="248" w:lineRule="auto"/>
        <w:rPr>
          <w:sz w:val="20"/>
          <w:szCs w:val="20"/>
          <w:color w:val="auto"/>
        </w:rPr>
      </w:pPr>
      <w:r>
        <w:rPr>
          <w:rFonts w:ascii="Arial" w:cs="Arial" w:eastAsia="Arial" w:hAnsi="Arial"/>
          <w:sz w:val="18"/>
          <w:szCs w:val="18"/>
          <w:color w:val="auto"/>
        </w:rPr>
        <w:t>Under the Services and Secondment Agreement, OpCo uses a portion of its production capacity to process purge gas for Westlake. On August 4, 2016, OpCo and Westlake entered into an amendment to the Ethylene Sales Agreement in order to provide that certain of the pricing components that make up the price for ethylene sold thereunder would be modified to reflect the portion of OpCo's production capacity that is used to process Westlake's purge gas instead of producing ethylene and to clarify that costs specific to the processing of Westlake's purge gas would be recovered under the Services and Secondment Agreement, and not the Ethylene Sales Agreement.</w:t>
      </w:r>
    </w:p>
    <w:p>
      <w:pPr>
        <w:spacing w:after="0" w:line="14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Please refer to Note 2 to the consolidated financial statements included within this report for more information on the Ethylene Sales Agreement.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Source Feedstock</w:t>
      </w:r>
    </w:p>
    <w:p>
      <w:pPr>
        <w:spacing w:after="0" w:line="89" w:lineRule="exact"/>
        <w:rPr>
          <w:sz w:val="20"/>
          <w:szCs w:val="20"/>
          <w:color w:val="auto"/>
        </w:rPr>
      </w:pPr>
    </w:p>
    <w:p>
      <w:pPr>
        <w:ind w:right="80" w:firstLine="395"/>
        <w:spacing w:after="0" w:line="291" w:lineRule="auto"/>
        <w:rPr>
          <w:sz w:val="20"/>
          <w:szCs w:val="20"/>
          <w:color w:val="auto"/>
        </w:rPr>
      </w:pPr>
      <w:r>
        <w:rPr>
          <w:rFonts w:ascii="Arial" w:cs="Arial" w:eastAsia="Arial" w:hAnsi="Arial"/>
          <w:sz w:val="16"/>
          <w:szCs w:val="16"/>
          <w:color w:val="auto"/>
        </w:rPr>
        <w:t>OpCo has entered into a 12-year feedstock supply agreement (the "Feedstock Supply Agreement") with Westlake Petrochemicals LLC, a wholly owned subsidiary of Westlake, under which Westlake Petrochemicals LLC supplies OpCo with ethane and other feedstocks that OpCo uses to produce ethylene under the Ethylene Sales Agreement. For its approximately five percent merchant sales, OpCo may purchase the ethane and other feedstocks to produce ethylene and resulting co-products to sell to unrelated third parties from Westlake Petrochemicals LLC.</w:t>
      </w:r>
    </w:p>
    <w:p>
      <w:pPr>
        <w:spacing w:after="0" w:line="10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Please refer to Note 2 to the consolidated financial statements included within this report for more information on the Feedstock Supply Agreement.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We Evaluate Operations</w:t>
      </w:r>
    </w:p>
    <w:p>
      <w:pPr>
        <w:spacing w:after="0" w:line="102" w:lineRule="exact"/>
        <w:rPr>
          <w:sz w:val="20"/>
          <w:szCs w:val="20"/>
          <w:color w:val="auto"/>
        </w:rPr>
      </w:pPr>
    </w:p>
    <w:p>
      <w:pPr>
        <w:jc w:val="both"/>
        <w:ind w:right="440" w:firstLine="395"/>
        <w:spacing w:after="0" w:line="252" w:lineRule="auto"/>
        <w:rPr>
          <w:sz w:val="20"/>
          <w:szCs w:val="20"/>
          <w:color w:val="auto"/>
        </w:rPr>
      </w:pPr>
      <w:r>
        <w:rPr>
          <w:rFonts w:ascii="Arial" w:cs="Arial" w:eastAsia="Arial" w:hAnsi="Arial"/>
          <w:sz w:val="18"/>
          <w:szCs w:val="18"/>
          <w:color w:val="auto"/>
        </w:rPr>
        <w:t>Our management uses a variety of financial and operating metrics to analyze our performance. These metrics are significant factors in assessing our operating results and profitability and include: (1) production volumes, (2) operating and maintenance expenses, including turnaround costs, and (3) MLP distributable cash flow and EBITDA.</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Volumes</w:t>
      </w:r>
    </w:p>
    <w:p>
      <w:pPr>
        <w:spacing w:after="0" w:line="96" w:lineRule="exact"/>
        <w:rPr>
          <w:sz w:val="20"/>
          <w:szCs w:val="20"/>
          <w:color w:val="auto"/>
        </w:rPr>
      </w:pPr>
    </w:p>
    <w:p>
      <w:pPr>
        <w:ind w:right="140" w:firstLine="395"/>
        <w:spacing w:after="0" w:line="252" w:lineRule="auto"/>
        <w:rPr>
          <w:sz w:val="20"/>
          <w:szCs w:val="20"/>
          <w:color w:val="auto"/>
        </w:rPr>
      </w:pPr>
      <w:r>
        <w:rPr>
          <w:rFonts w:ascii="Arial" w:cs="Arial" w:eastAsia="Arial" w:hAnsi="Arial"/>
          <w:sz w:val="18"/>
          <w:szCs w:val="18"/>
          <w:color w:val="auto"/>
        </w:rPr>
        <w:t>The amount of profit we generate primarily depends on the volumes of ethylene and resulting co-products we are able to produce at Calvert City Olefins and Lake Charles Olefins. Although Westlake has committed to purchasing minimum volumes from us under the Ethylene Sales Agreement, our results of operations are impacted by our ability to:</w:t>
      </w:r>
    </w:p>
    <w:p>
      <w:pPr>
        <w:spacing w:after="0" w:line="72" w:lineRule="exact"/>
        <w:rPr>
          <w:sz w:val="20"/>
          <w:szCs w:val="20"/>
          <w:color w:val="auto"/>
        </w:rPr>
      </w:pPr>
    </w:p>
    <w:p>
      <w:pPr>
        <w:ind w:left="640" w:right="440" w:hanging="319"/>
        <w:spacing w:after="0" w:line="261" w:lineRule="auto"/>
        <w:tabs>
          <w:tab w:leader="none" w:pos="636" w:val="left"/>
        </w:tabs>
        <w:numPr>
          <w:ilvl w:val="0"/>
          <w:numId w:val="27"/>
        </w:numPr>
        <w:rPr>
          <w:rFonts w:ascii="Arial" w:cs="Arial" w:eastAsia="Arial" w:hAnsi="Arial"/>
          <w:sz w:val="18"/>
          <w:szCs w:val="18"/>
          <w:color w:val="auto"/>
        </w:rPr>
      </w:pPr>
      <w:r>
        <w:rPr>
          <w:rFonts w:ascii="Arial" w:cs="Arial" w:eastAsia="Arial" w:hAnsi="Arial"/>
          <w:sz w:val="18"/>
          <w:szCs w:val="18"/>
          <w:color w:val="auto"/>
        </w:rPr>
        <w:t>produce sufficient volumes of ethylene to meet our commitments under the Ethylene Sales Agreement or recover our estimated costs through the pricing provisions of the Ethylene Sales Agreement;</w:t>
      </w:r>
    </w:p>
    <w:p>
      <w:pPr>
        <w:spacing w:after="0" w:line="49" w:lineRule="exact"/>
        <w:rPr>
          <w:rFonts w:ascii="Arial" w:cs="Arial" w:eastAsia="Arial" w:hAnsi="Arial"/>
          <w:sz w:val="18"/>
          <w:szCs w:val="18"/>
          <w:color w:val="auto"/>
        </w:rPr>
      </w:pPr>
    </w:p>
    <w:p>
      <w:pPr>
        <w:ind w:left="640" w:hanging="319"/>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contract with third parties for the remaining uncommitted production capacity;</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add or increase capacity at our existing production facilities, or add additional production capacity via organic expansion projects and acquisitions; and</w:t>
      </w:r>
    </w:p>
    <w:p>
      <w:pPr>
        <w:spacing w:after="0" w:line="130" w:lineRule="exact"/>
        <w:rPr>
          <w:rFonts w:ascii="Arial" w:cs="Arial" w:eastAsia="Arial" w:hAnsi="Arial"/>
          <w:sz w:val="15"/>
          <w:szCs w:val="15"/>
          <w:color w:val="auto"/>
        </w:rPr>
      </w:pPr>
    </w:p>
    <w:p>
      <w:pPr>
        <w:ind w:left="640" w:hanging="319"/>
        <w:spacing w:after="0"/>
        <w:tabs>
          <w:tab w:leader="none" w:pos="6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achieve or exceed the specified yield factors for natural gas, ethane and other feedstock under the Ethylene Sales Agreement.</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 Maintenance Capital Expenditures and Turnaround Costs</w:t>
      </w:r>
    </w:p>
    <w:p>
      <w:pPr>
        <w:spacing w:after="0" w:line="83" w:lineRule="exact"/>
        <w:rPr>
          <w:sz w:val="20"/>
          <w:szCs w:val="20"/>
          <w:color w:val="auto"/>
        </w:rPr>
      </w:pPr>
    </w:p>
    <w:p>
      <w:pPr>
        <w:ind w:right="20" w:firstLine="395"/>
        <w:spacing w:after="0" w:line="281" w:lineRule="auto"/>
        <w:rPr>
          <w:sz w:val="20"/>
          <w:szCs w:val="20"/>
          <w:color w:val="auto"/>
        </w:rPr>
      </w:pPr>
      <w:r>
        <w:rPr>
          <w:rFonts w:ascii="Arial" w:cs="Arial" w:eastAsia="Arial" w:hAnsi="Arial"/>
          <w:sz w:val="16"/>
          <w:szCs w:val="16"/>
          <w:color w:val="auto"/>
        </w:rPr>
        <w:t>Our management seeks to maximize the profitability of our operations by effectively managing operating expenses, maintenance capital expenditures and turnaround costs. Our operating expenses are comprised primarily of feedstock costs and natural gas, labor expenses (including contractor services), utility costs (other than natural gas) and turnaround and maintenance expenses. With the exception of feedstock (including natural gas) and utilities-related expenses, operating expenses generally remain relatively stable across broad ranges of production volumes but can fluctuate from period to period depending on the circumstances, particularly maintenance and turnaround activities. Our maintenance capital expenditures and turnaround costs are comprised primarily of maintenance of our ethylene production facilities and the amortization of capitalized turnaround costs. These capital expenditures relate to the maintenance and integrity of our facilities. We capitalize the costs of major maintenance activities, or turnarounds, and amortize the costs over the period until the next planned turnaround of the affected facility.</w:t>
      </w:r>
    </w:p>
    <w:p>
      <w:pPr>
        <w:spacing w:after="0" w:line="119" w:lineRule="exact"/>
        <w:rPr>
          <w:sz w:val="20"/>
          <w:szCs w:val="20"/>
          <w:color w:val="auto"/>
        </w:rPr>
      </w:pPr>
    </w:p>
    <w:p>
      <w:pPr>
        <w:ind w:right="20" w:firstLine="395"/>
        <w:spacing w:after="0" w:line="280" w:lineRule="auto"/>
        <w:rPr>
          <w:sz w:val="20"/>
          <w:szCs w:val="20"/>
          <w:color w:val="auto"/>
        </w:rPr>
      </w:pPr>
      <w:r>
        <w:rPr>
          <w:rFonts w:ascii="Arial" w:cs="Arial" w:eastAsia="Arial" w:hAnsi="Arial"/>
          <w:sz w:val="16"/>
          <w:szCs w:val="16"/>
          <w:color w:val="auto"/>
        </w:rPr>
        <w:t>Operating expenses, maintenance capital expenditures and turnaround costs are built into the price per pound of ethylene charged to Westlake under the Ethylene Sales Agreement. Because the expenses other than feedstock costs and natural gas are based on forecasted amounts and remain a fixed component of the price per pound of ethylene sold under the Ethylene Sales Agreement for any given 12-month period, our ability to manage operating expenses, maintenance expenditures and turnaround costs may directly affect our profitability and cash flows. The impact on profitability is partially mitigated by the fact that we generally recognize any Shortfall as revenue in the period such costs and expenses are incurred. We seek to manage our operating and maintenance expenses on our ethylene production facilities by scheduling maintenance and turnarounds over time to avoid significant variability in our operating margins and minimize the impact on our cash flows, without compromising our commitment to safety and environmental stewardship. In addition, we reserve cash on an annual basis from what we would otherwise distribute to minimize the impact of turnaround costs in the year of incurrence. The purchase price under the Ethylene Sales Agreement is not designed to cover capital expenditures for expansions.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MLP Distributable Cash Flow and EBITDA</w:t>
      </w:r>
    </w:p>
    <w:p>
      <w:pPr>
        <w:spacing w:after="0" w:line="96" w:lineRule="exact"/>
        <w:rPr>
          <w:sz w:val="20"/>
          <w:szCs w:val="20"/>
          <w:color w:val="auto"/>
        </w:rPr>
      </w:pPr>
    </w:p>
    <w:p>
      <w:pPr>
        <w:ind w:firstLine="395"/>
        <w:spacing w:after="0" w:line="277" w:lineRule="auto"/>
        <w:rPr>
          <w:sz w:val="20"/>
          <w:szCs w:val="20"/>
          <w:color w:val="auto"/>
        </w:rPr>
      </w:pPr>
      <w:r>
        <w:rPr>
          <w:rFonts w:ascii="Arial" w:cs="Arial" w:eastAsia="Arial" w:hAnsi="Arial"/>
          <w:sz w:val="16"/>
          <w:szCs w:val="16"/>
          <w:color w:val="auto"/>
        </w:rPr>
        <w:t>The body of accounting principles generally accepted in the United States is commonly referred to as "GAAP." For this purpose, a non-GAAP financial measure is generally defined by the Securities and Exchange Commission ("SEC") as a numerical measure of a registrant's historical or future financial performance, financial position or cash flows that (1) excludes amounts, or is subject to adjustments that have the effect of excluding amounts, that are included in the most directly comparable measure calculated and presented in accordance with GAAP in the statement of income, balance sheet or statement of cash flows (or equivalent statements) of the registrant; or (2) includes amounts, or is subject to adjustments that have the effect of including amounts, that are excluded from the most directly comparable measure so calculated and presented. We use the non-GAAP measures of MLP distributable cash flow and EBITDA to analyze our performance. We define distributable cash flow as net income plus depreciation, amortization and disposition of property, plant and equipment, less contributions for turnaround reserves, maintenance capital expenditures and mark-to-market adjustment on derivative contracts. We define MLP distributable cash flow as distributable cash flow less distributable cash flow attributable to Westlake's noncontrolling interest in OpCo and distributions attributable to the incentive distribution rights holder. MLP distributable cash flow does not reflect changes in working capital balances. We define EBITDA as net income before interest expense, income taxes, depreciation and amortization. We use each of MLP distributable cash flow and EBITDA to analyze our performance. Fees for a buyer deficiency and Shortfall are included in net income in the periods in which they are recognized. MLP distributable cash flow and EBITDA are non-GAAP supplemental financial measures that management and external users of our consolidated financial statements, such as industry analysts, investors, lenders and rating agencies, may use to assess our operating performance as compared to other publicly-traded partnerships; our ability to incur and service debt and fund capital expenditures; and the viability of acquisitions and other capital expenditure projects and the returns on investment of various investment opportunities.</w:t>
      </w:r>
    </w:p>
    <w:p>
      <w:pPr>
        <w:spacing w:after="0" w:line="129" w:lineRule="exact"/>
        <w:rPr>
          <w:sz w:val="20"/>
          <w:szCs w:val="20"/>
          <w:color w:val="auto"/>
        </w:rPr>
      </w:pPr>
    </w:p>
    <w:p>
      <w:pPr>
        <w:ind w:right="20" w:firstLine="395"/>
        <w:spacing w:after="0" w:line="284" w:lineRule="auto"/>
        <w:rPr>
          <w:sz w:val="20"/>
          <w:szCs w:val="20"/>
          <w:color w:val="auto"/>
        </w:rPr>
      </w:pPr>
      <w:r>
        <w:rPr>
          <w:rFonts w:ascii="Arial" w:cs="Arial" w:eastAsia="Arial" w:hAnsi="Arial"/>
          <w:sz w:val="16"/>
          <w:szCs w:val="16"/>
          <w:color w:val="auto"/>
        </w:rPr>
        <w:t>MLP distributable cash flow is not a substitute for the GAAP measures of net income and net cash provided by operating activities. MLP distributable cash flow has important limitations as an analytical tool because it excludes some but not all items that affect net income and net cash provided by operating activities. EBITDA is not a substitute for the GAAP measures of net income, income from operations and net cash provided by operating activities. In addition, it should be noted that companies calculate EBITDA differently and, therefore, EBITDA as presented for us may not be comparable to EBITDA reported by other companies. EBITDA has material limitations as a performance measure because it excludes interest expense, depreciation and amortization, and income taxes. Reconciliations for each of MLP distributable cash flow and EBITDA are included in the "—Results of Operations" section below.</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Our Business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Supply and Demand for Ethylene and Resulting Co-products</w:t>
      </w:r>
    </w:p>
    <w:p>
      <w:pPr>
        <w:spacing w:after="0" w:line="96" w:lineRule="exact"/>
        <w:rPr>
          <w:sz w:val="20"/>
          <w:szCs w:val="20"/>
          <w:color w:val="auto"/>
        </w:rPr>
      </w:pPr>
    </w:p>
    <w:p>
      <w:pPr>
        <w:ind w:firstLine="395"/>
        <w:spacing w:after="0" w:line="247" w:lineRule="auto"/>
        <w:rPr>
          <w:sz w:val="20"/>
          <w:szCs w:val="20"/>
          <w:color w:val="auto"/>
        </w:rPr>
      </w:pPr>
      <w:r>
        <w:rPr>
          <w:rFonts w:ascii="Arial" w:cs="Arial" w:eastAsia="Arial" w:hAnsi="Arial"/>
          <w:sz w:val="18"/>
          <w:szCs w:val="18"/>
          <w:color w:val="auto"/>
        </w:rPr>
        <w:t>We generate a substantial majority of our revenue from the Ethylene Sales Agreement. This contract is intended to promote cash flow stability and minimize our direct exposure to commodity price fluctuations in the following ways: (1) the cost-plus pricing structure of the Ethylene Sales Agreement is expected to generate a fixed margin of $0.10 per pound, adjusting automatically for changes in feedstock costs; and (2) Westlake is committed to purchase 95% of the annual planned output, subject to a maximum commitment of 3.8 billion pounds of ethylene per year, with an option to purchase an additional 95% of actual output in excess of the planned output on a contract year basis. As a result, our direct exposure to commodity price risk is limited to approximately 5% of our total ethylene production, which is that portion sold to third parties, assuming Westlake exercises its option to purchase 95% of the over production, as well as to our co-products sales.</w:t>
      </w:r>
    </w:p>
    <w:p>
      <w:pPr>
        <w:spacing w:after="0" w:line="141" w:lineRule="exact"/>
        <w:rPr>
          <w:sz w:val="20"/>
          <w:szCs w:val="20"/>
          <w:color w:val="auto"/>
        </w:rPr>
      </w:pPr>
    </w:p>
    <w:p>
      <w:pPr>
        <w:ind w:right="140" w:firstLine="395"/>
        <w:spacing w:after="0" w:line="284" w:lineRule="auto"/>
        <w:rPr>
          <w:sz w:val="20"/>
          <w:szCs w:val="20"/>
          <w:color w:val="auto"/>
        </w:rPr>
      </w:pPr>
      <w:r>
        <w:rPr>
          <w:rFonts w:ascii="Arial" w:cs="Arial" w:eastAsia="Arial" w:hAnsi="Arial"/>
          <w:sz w:val="16"/>
          <w:szCs w:val="16"/>
          <w:color w:val="auto"/>
        </w:rPr>
        <w:t>We also have indirect exposure to commodity price fluctuations to the extent such fluctuations affect the ethylene consumption patterns of third-party purchasers. Demand for ethylene exhibits cyclical commodity characteristics as margins earned on ethylene derivative products are influenced by changes in the balance between supply and demand, the resulting operating rates and general economic activity. While we believe we have substantially mitigated our indirect exposure to commodity price fluctuations during the term of the Ethylene Sales Agreement through the minimum purchase commitment and the cost-plus based pricing, our ability to execute our growth strategy in our areas of operation will depend, in part, on the demand for ethylene derivatives in the geographical areas served by our ethylene production facilities.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89" w:lineRule="exact"/>
        <w:rPr>
          <w:sz w:val="20"/>
          <w:szCs w:val="20"/>
          <w:color w:val="auto"/>
        </w:rPr>
      </w:pPr>
    </w:p>
    <w:p>
      <w:pPr>
        <w:ind w:right="100" w:firstLine="395"/>
        <w:spacing w:after="0" w:line="297" w:lineRule="auto"/>
        <w:rPr>
          <w:sz w:val="20"/>
          <w:szCs w:val="20"/>
          <w:color w:val="auto"/>
        </w:rPr>
      </w:pPr>
      <w:r>
        <w:rPr>
          <w:rFonts w:ascii="Arial" w:cs="Arial" w:eastAsia="Arial" w:hAnsi="Arial"/>
          <w:sz w:val="15"/>
          <w:szCs w:val="15"/>
          <w:color w:val="auto"/>
        </w:rPr>
        <w:t>On July 12, 2022, OpCo entered into the Second Amendment (the "OpCo Revolver Amendment") to the Amended and Restated Senior Unsecured Revolving Credit Agreement (as so amended, the "OpCo Revolver"). The OpCo Revolver Amendment, among other things, extended the maturity date of the OpCo Revolver to July 12, 2027 and provided for the replacement of the London Interbank Offered Rate ("LIBOR") with the Secured Overnight Financing Rate, as administered by the Federal Reserve Bank of New York ("SOFR"). Borrowings under the OpCo Revolver now bear interest at a variable rate of either</w:t>
      </w:r>
    </w:p>
    <w:p>
      <w:pPr>
        <w:ind w:right="60" w:firstLine="5"/>
        <w:spacing w:after="0" w:line="248" w:lineRule="auto"/>
        <w:tabs>
          <w:tab w:leader="none" w:pos="239" w:val="left"/>
        </w:tabs>
        <w:numPr>
          <w:ilvl w:val="0"/>
          <w:numId w:val="28"/>
        </w:numPr>
        <w:rPr>
          <w:rFonts w:ascii="Arial" w:cs="Arial" w:eastAsia="Arial" w:hAnsi="Arial"/>
          <w:sz w:val="18"/>
          <w:szCs w:val="18"/>
          <w:color w:val="auto"/>
        </w:rPr>
      </w:pPr>
      <w:r>
        <w:rPr>
          <w:rFonts w:ascii="Arial" w:cs="Arial" w:eastAsia="Arial" w:hAnsi="Arial"/>
          <w:sz w:val="18"/>
          <w:szCs w:val="18"/>
          <w:color w:val="auto"/>
        </w:rPr>
        <w:t>SOFR plus the Applicable Margin plus a 0.10% credit spread adjustment or, if SOFR is no longer available, (b) the Alternate Base Rate plus the Applicable Margin minus 1.0%. The Applicable Margin under the OpCo Revolver is 1.75%.</w:t>
      </w:r>
    </w:p>
    <w:p>
      <w:pPr>
        <w:spacing w:after="0" w:line="139" w:lineRule="exact"/>
        <w:rPr>
          <w:sz w:val="20"/>
          <w:szCs w:val="20"/>
          <w:color w:val="auto"/>
        </w:rPr>
      </w:pPr>
    </w:p>
    <w:p>
      <w:pPr>
        <w:ind w:right="40" w:firstLine="395"/>
        <w:spacing w:after="0" w:line="247" w:lineRule="auto"/>
        <w:rPr>
          <w:sz w:val="20"/>
          <w:szCs w:val="20"/>
          <w:color w:val="auto"/>
        </w:rPr>
      </w:pPr>
      <w:r>
        <w:rPr>
          <w:rFonts w:ascii="Arial" w:cs="Arial" w:eastAsia="Arial" w:hAnsi="Arial"/>
          <w:sz w:val="18"/>
          <w:szCs w:val="18"/>
          <w:color w:val="auto"/>
        </w:rPr>
        <w:t>On July 12, 2022, the Partnership entered into the Fourth Amendment (the "MLP Revolver Amendment") to the Senior Unsecured Revolving Credit Agreement (the "MLP Revolver"). The MLP Revolver Amendment, among other things, extended the maturity date of the MLP Revolver to July 12, 2027 and provided for the replacement of LIBOR with SOFR as the reference rate. Borrowings under the MLP Revolver now bear interest at a variable rate of either (a) SOFR plus the Applicable Margin plus a 0.10% credit spread adjustment or, if SOFR is no longer available, (b) the Alternate Base Rate plus the Applicable Margin minus 1.0%. The Applicable Margin under the MLP Revolver varies between 1.75% and 2.75%, depending on the Partnership's Consolidated Leverage Ratio.</w:t>
      </w: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table below and descriptions that follow represent the consolidated results of operations of the Partnership for the years ended December 31, 2022,</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2021 and 2020.</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Year Ended December 31,</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6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67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53"/>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13"/>
        </w:trPr>
        <w:tc>
          <w:tcPr>
            <w:tcW w:w="6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280" w:type="dxa"/>
            <w:vAlign w:val="bottom"/>
            <w:gridSpan w:val="7"/>
          </w:tcPr>
          <w:p>
            <w:pPr>
              <w:jc w:val="center"/>
              <w:ind w:right="153"/>
              <w:spacing w:after="0"/>
              <w:rPr>
                <w:sz w:val="20"/>
                <w:szCs w:val="20"/>
                <w:color w:val="auto"/>
              </w:rPr>
            </w:pPr>
            <w:r>
              <w:rPr>
                <w:rFonts w:ascii="Arial" w:cs="Arial" w:eastAsia="Arial" w:hAnsi="Arial"/>
                <w:sz w:val="14"/>
                <w:szCs w:val="14"/>
                <w:b w:val="1"/>
                <w:bCs w:val="1"/>
                <w:color w:val="auto"/>
                <w:w w:val="89"/>
              </w:rPr>
              <w:t>(in thousands of dollars, except unit amounts and per unit data)</w:t>
            </w:r>
          </w:p>
        </w:tc>
        <w:tc>
          <w:tcPr>
            <w:tcW w:w="0" w:type="dxa"/>
            <w:vAlign w:val="bottom"/>
          </w:tcPr>
          <w:p>
            <w:pPr>
              <w:spacing w:after="0"/>
              <w:rPr>
                <w:sz w:val="1"/>
                <w:szCs w:val="1"/>
                <w:color w:val="auto"/>
              </w:rPr>
            </w:pPr>
          </w:p>
        </w:tc>
      </w:tr>
      <w:tr>
        <w:trPr>
          <w:trHeight w:val="24"/>
        </w:trPr>
        <w:tc>
          <w:tcPr>
            <w:tcW w:w="6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sales—Westlake</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1,342,910</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1,026,586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888,245</w:t>
            </w:r>
          </w:p>
        </w:tc>
        <w:tc>
          <w:tcPr>
            <w:tcW w:w="0" w:type="dxa"/>
            <w:vAlign w:val="bottom"/>
          </w:tcPr>
          <w:p>
            <w:pPr>
              <w:spacing w:after="0"/>
              <w:rPr>
                <w:sz w:val="1"/>
                <w:szCs w:val="1"/>
                <w:color w:val="auto"/>
              </w:rPr>
            </w:pPr>
          </w:p>
        </w:tc>
      </w:tr>
      <w:tr>
        <w:trPr>
          <w:trHeight w:val="223"/>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co-products, ethylene and other sales—third parties</w:t>
            </w: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250,237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188,272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78,425</w:t>
            </w:r>
          </w:p>
        </w:tc>
        <w:tc>
          <w:tcPr>
            <w:tcW w:w="0" w:type="dxa"/>
            <w:vAlign w:val="bottom"/>
          </w:tcPr>
          <w:p>
            <w:pPr>
              <w:spacing w:after="0"/>
              <w:rPr>
                <w:sz w:val="1"/>
                <w:szCs w:val="1"/>
                <w:color w:val="auto"/>
              </w:rPr>
            </w:pPr>
          </w:p>
        </w:tc>
      </w:tr>
      <w:tr>
        <w:trPr>
          <w:trHeight w:val="21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sales</w:t>
            </w: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1,593,147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1,214,858</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966,670</w:t>
            </w:r>
          </w:p>
        </w:tc>
        <w:tc>
          <w:tcPr>
            <w:tcW w:w="0" w:type="dxa"/>
            <w:vAlign w:val="bottom"/>
          </w:tcPr>
          <w:p>
            <w:pPr>
              <w:spacing w:after="0"/>
              <w:rPr>
                <w:sz w:val="1"/>
                <w:szCs w:val="1"/>
                <w:color w:val="auto"/>
              </w:rPr>
            </w:pP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377,365</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441,706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378,883</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29,678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31,018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25,895</w:t>
            </w:r>
          </w:p>
        </w:tc>
        <w:tc>
          <w:tcPr>
            <w:tcW w:w="0" w:type="dxa"/>
            <w:vAlign w:val="bottom"/>
          </w:tcPr>
          <w:p>
            <w:pPr>
              <w:spacing w:after="0"/>
              <w:rPr>
                <w:sz w:val="1"/>
                <w:szCs w:val="1"/>
                <w:color w:val="auto"/>
              </w:rPr>
            </w:pPr>
          </w:p>
        </w:tc>
      </w:tr>
      <w:tr>
        <w:trPr>
          <w:trHeight w:val="217"/>
        </w:trPr>
        <w:tc>
          <w:tcPr>
            <w:tcW w:w="672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347,687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410,688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352,988</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4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720" w:type="dxa"/>
            <w:vAlign w:val="bottom"/>
          </w:tcPr>
          <w:p>
            <w:pPr>
              <w:ind w:left="340"/>
              <w:spacing w:after="0"/>
              <w:rPr>
                <w:sz w:val="20"/>
                <w:szCs w:val="20"/>
                <w:color w:val="auto"/>
              </w:rPr>
            </w:pPr>
            <w:r>
              <w:rPr>
                <w:rFonts w:ascii="Arial" w:cs="Arial" w:eastAsia="Arial" w:hAnsi="Arial"/>
                <w:sz w:val="18"/>
                <w:szCs w:val="18"/>
                <w:color w:val="auto"/>
              </w:rPr>
              <w:t>Interest expense—Westlake</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(13,407)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(8,816)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(12,038)</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net</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7"/>
        </w:trPr>
        <w:tc>
          <w:tcPr>
            <w:tcW w:w="672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335,846</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401,934</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341,683</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7"/>
        </w:trPr>
        <w:tc>
          <w:tcPr>
            <w:tcW w:w="67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4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334,829</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401,385</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341,119</w:t>
            </w:r>
          </w:p>
        </w:tc>
        <w:tc>
          <w:tcPr>
            <w:tcW w:w="0" w:type="dxa"/>
            <w:vAlign w:val="bottom"/>
          </w:tcPr>
          <w:p>
            <w:pPr>
              <w:spacing w:after="0"/>
              <w:rPr>
                <w:sz w:val="1"/>
                <w:szCs w:val="1"/>
                <w:color w:val="auto"/>
              </w:rPr>
            </w:pPr>
          </w:p>
        </w:tc>
      </w:tr>
      <w:tr>
        <w:trPr>
          <w:trHeight w:val="224"/>
        </w:trPr>
        <w:tc>
          <w:tcPr>
            <w:tcW w:w="6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Less: Net income attributable to noncontrolling interest in OpCo</w:t>
            </w:r>
          </w:p>
        </w:tc>
        <w:tc>
          <w:tcPr>
            <w:tcW w:w="24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270,656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318,838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274,952</w:t>
            </w:r>
          </w:p>
        </w:tc>
        <w:tc>
          <w:tcPr>
            <w:tcW w:w="0" w:type="dxa"/>
            <w:vAlign w:val="bottom"/>
          </w:tcPr>
          <w:p>
            <w:pPr>
              <w:spacing w:after="0"/>
              <w:rPr>
                <w:sz w:val="1"/>
                <w:szCs w:val="1"/>
                <w:color w:val="auto"/>
              </w:rPr>
            </w:pPr>
          </w:p>
        </w:tc>
      </w:tr>
      <w:tr>
        <w:trPr>
          <w:trHeight w:val="151"/>
        </w:trPr>
        <w:tc>
          <w:tcPr>
            <w:tcW w:w="6720" w:type="dxa"/>
            <w:vAlign w:val="bottom"/>
          </w:tcPr>
          <w:p>
            <w:pPr>
              <w:ind w:left="20"/>
              <w:spacing w:after="0" w:line="152" w:lineRule="exact"/>
              <w:rPr>
                <w:sz w:val="20"/>
                <w:szCs w:val="20"/>
                <w:color w:val="auto"/>
              </w:rPr>
            </w:pPr>
            <w:r>
              <w:rPr>
                <w:rFonts w:ascii="Arial" w:cs="Arial" w:eastAsia="Arial" w:hAnsi="Arial"/>
                <w:sz w:val="16"/>
                <w:szCs w:val="16"/>
                <w:b w:val="1"/>
                <w:bCs w:val="1"/>
                <w:color w:val="auto"/>
              </w:rPr>
              <w:t>Net income attributable to Westlake Chemical</w:t>
            </w:r>
          </w:p>
        </w:tc>
        <w:tc>
          <w:tcPr>
            <w:tcW w:w="24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w w:val="99"/>
              </w:rPr>
              <w:t>$</w:t>
            </w:r>
          </w:p>
        </w:tc>
        <w:tc>
          <w:tcPr>
            <w:tcW w:w="12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64,173</w:t>
            </w:r>
          </w:p>
        </w:tc>
        <w:tc>
          <w:tcPr>
            <w:tcW w:w="44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82,547</w:t>
            </w:r>
          </w:p>
        </w:tc>
        <w:tc>
          <w:tcPr>
            <w:tcW w:w="100" w:type="dxa"/>
            <w:vAlign w:val="bottom"/>
          </w:tcPr>
          <w:p>
            <w:pPr>
              <w:spacing w:after="0"/>
              <w:rPr>
                <w:sz w:val="13"/>
                <w:szCs w:val="13"/>
                <w:color w:val="auto"/>
              </w:rPr>
            </w:pPr>
          </w:p>
        </w:tc>
        <w:tc>
          <w:tcPr>
            <w:tcW w:w="34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w w:val="99"/>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66,167</w:t>
            </w:r>
          </w:p>
        </w:tc>
        <w:tc>
          <w:tcPr>
            <w:tcW w:w="0" w:type="dxa"/>
            <w:vAlign w:val="bottom"/>
          </w:tcPr>
          <w:p>
            <w:pPr>
              <w:spacing w:after="0"/>
              <w:rPr>
                <w:sz w:val="1"/>
                <w:szCs w:val="1"/>
                <w:color w:val="auto"/>
              </w:rPr>
            </w:pPr>
          </w:p>
        </w:tc>
      </w:tr>
      <w:tr>
        <w:trPr>
          <w:trHeight w:val="211"/>
        </w:trPr>
        <w:tc>
          <w:tcPr>
            <w:tcW w:w="6720" w:type="dxa"/>
            <w:vAlign w:val="bottom"/>
          </w:tcPr>
          <w:p>
            <w:pPr>
              <w:ind w:left="180"/>
              <w:spacing w:after="0"/>
              <w:rPr>
                <w:sz w:val="20"/>
                <w:szCs w:val="20"/>
                <w:color w:val="auto"/>
              </w:rPr>
            </w:pPr>
            <w:r>
              <w:rPr>
                <w:rFonts w:ascii="Arial" w:cs="Arial" w:eastAsia="Arial" w:hAnsi="Arial"/>
                <w:sz w:val="18"/>
                <w:szCs w:val="18"/>
                <w:b w:val="1"/>
                <w:bCs w:val="1"/>
                <w:color w:val="auto"/>
              </w:rPr>
              <w:t>Partners LP and limited partners' interest in net income</w:t>
            </w:r>
          </w:p>
        </w:tc>
        <w:tc>
          <w:tcPr>
            <w:tcW w:w="240" w:type="dxa"/>
            <w:vAlign w:val="bottom"/>
            <w:vMerge w:val="continue"/>
          </w:tcPr>
          <w:p>
            <w:pPr>
              <w:spacing w:after="0"/>
              <w:rPr>
                <w:sz w:val="18"/>
                <w:szCs w:val="18"/>
                <w:color w:val="auto"/>
              </w:rPr>
            </w:pPr>
          </w:p>
        </w:tc>
        <w:tc>
          <w:tcPr>
            <w:tcW w:w="1200" w:type="dxa"/>
            <w:vAlign w:val="bottom"/>
            <w:vMerge w:val="continue"/>
          </w:tcPr>
          <w:p>
            <w:pPr>
              <w:spacing w:after="0"/>
              <w:rPr>
                <w:sz w:val="18"/>
                <w:szCs w:val="18"/>
                <w:color w:val="auto"/>
              </w:rPr>
            </w:pPr>
          </w:p>
        </w:tc>
        <w:tc>
          <w:tcPr>
            <w:tcW w:w="44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720" w:type="dxa"/>
            <w:vAlign w:val="bottom"/>
            <w:shd w:val="clear" w:color="auto" w:fill="CCEEFF"/>
          </w:tcPr>
          <w:p>
            <w:pPr>
              <w:ind w:left="20"/>
              <w:spacing w:after="0" w:line="138" w:lineRule="exact"/>
              <w:rPr>
                <w:sz w:val="20"/>
                <w:szCs w:val="20"/>
                <w:color w:val="auto"/>
              </w:rPr>
            </w:pPr>
            <w:r>
              <w:rPr>
                <w:rFonts w:ascii="Arial" w:cs="Arial" w:eastAsia="Arial" w:hAnsi="Arial"/>
                <w:sz w:val="16"/>
                <w:szCs w:val="16"/>
                <w:color w:val="auto"/>
              </w:rPr>
              <w:t>Net income attributable to Westlake Chemical Partners LP</w:t>
            </w:r>
          </w:p>
        </w:tc>
        <w:tc>
          <w:tcPr>
            <w:tcW w:w="2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6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 limited partner unit (basic and diluted)</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6720" w:type="dxa"/>
            <w:vAlign w:val="bottom"/>
          </w:tcPr>
          <w:p>
            <w:pPr>
              <w:ind w:left="340"/>
              <w:spacing w:after="0"/>
              <w:rPr>
                <w:sz w:val="20"/>
                <w:szCs w:val="20"/>
                <w:color w:val="auto"/>
              </w:rPr>
            </w:pPr>
            <w:r>
              <w:rPr>
                <w:rFonts w:ascii="Arial" w:cs="Arial" w:eastAsia="Arial" w:hAnsi="Arial"/>
                <w:sz w:val="18"/>
                <w:szCs w:val="18"/>
                <w:color w:val="auto"/>
              </w:rPr>
              <w:t>Common units</w:t>
            </w:r>
          </w:p>
        </w:tc>
        <w:tc>
          <w:tcPr>
            <w:tcW w:w="240" w:type="dxa"/>
            <w:vAlign w:val="bottom"/>
          </w:tcPr>
          <w:p>
            <w:pPr>
              <w:jc w:val="right"/>
              <w:ind w:right="32"/>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1.82</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720" w:type="dxa"/>
            <w:vAlign w:val="bottom"/>
            <w:shd w:val="clear" w:color="auto" w:fill="CCEEFF"/>
          </w:tcPr>
          <w:p>
            <w:pPr>
              <w:ind w:left="20"/>
              <w:spacing w:after="0" w:line="138" w:lineRule="exact"/>
              <w:rPr>
                <w:sz w:val="20"/>
                <w:szCs w:val="20"/>
                <w:color w:val="auto"/>
              </w:rPr>
            </w:pPr>
            <w:r>
              <w:rPr>
                <w:rFonts w:ascii="Arial" w:cs="Arial" w:eastAsia="Arial" w:hAnsi="Arial"/>
                <w:sz w:val="16"/>
                <w:szCs w:val="16"/>
                <w:color w:val="auto"/>
              </w:rPr>
              <w:t>Weighted average limited partner units outstanding</w:t>
            </w:r>
          </w:p>
        </w:tc>
        <w:tc>
          <w:tcPr>
            <w:tcW w:w="24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6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(basic and diluted)</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720" w:type="dxa"/>
            <w:vAlign w:val="bottom"/>
          </w:tcPr>
          <w:p>
            <w:pPr>
              <w:ind w:left="340"/>
              <w:spacing w:after="0"/>
              <w:rPr>
                <w:sz w:val="20"/>
                <w:szCs w:val="20"/>
                <w:color w:val="auto"/>
              </w:rPr>
            </w:pPr>
            <w:r>
              <w:rPr>
                <w:rFonts w:ascii="Arial" w:cs="Arial" w:eastAsia="Arial" w:hAnsi="Arial"/>
                <w:sz w:val="18"/>
                <w:szCs w:val="18"/>
                <w:color w:val="auto"/>
              </w:rPr>
              <w:t>Common units—publicly and privately held</w:t>
            </w:r>
          </w:p>
        </w:tc>
        <w:tc>
          <w:tcPr>
            <w:tcW w:w="2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21,095,106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21,084,103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21,073,041</w:t>
            </w:r>
          </w:p>
        </w:tc>
        <w:tc>
          <w:tcPr>
            <w:tcW w:w="0" w:type="dxa"/>
            <w:vAlign w:val="bottom"/>
          </w:tcPr>
          <w:p>
            <w:pPr>
              <w:spacing w:after="0"/>
              <w:rPr>
                <w:sz w:val="1"/>
                <w:szCs w:val="1"/>
                <w:color w:val="auto"/>
              </w:rPr>
            </w:pPr>
          </w:p>
        </w:tc>
      </w:tr>
      <w:tr>
        <w:trPr>
          <w:trHeight w:val="249"/>
        </w:trPr>
        <w:tc>
          <w:tcPr>
            <w:tcW w:w="67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Common units—Westlake</w:t>
            </w: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14,122,230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14,122,230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14,122,230</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720" w:type="dxa"/>
            <w:vAlign w:val="bottom"/>
          </w:tcPr>
          <w:p>
            <w:pPr>
              <w:ind w:left="20"/>
              <w:spacing w:after="0" w:line="197" w:lineRule="exact"/>
              <w:rPr>
                <w:sz w:val="20"/>
                <w:szCs w:val="20"/>
                <w:color w:val="auto"/>
              </w:rPr>
            </w:pPr>
            <w:r>
              <w:rPr>
                <w:rFonts w:ascii="Arial" w:cs="Arial" w:eastAsia="Arial" w:hAnsi="Arial"/>
                <w:sz w:val="18"/>
                <w:szCs w:val="18"/>
                <w:color w:val="auto"/>
              </w:rPr>
              <w:t xml:space="preserve">MLP distributable cash flow </w:t>
            </w:r>
            <w:r>
              <w:rPr>
                <w:rFonts w:ascii="Arial" w:cs="Arial" w:eastAsia="Arial" w:hAnsi="Arial"/>
                <w:sz w:val="22"/>
                <w:szCs w:val="22"/>
                <w:color w:val="auto"/>
                <w:vertAlign w:val="superscript"/>
              </w:rPr>
              <w:t>(1)</w:t>
            </w:r>
          </w:p>
        </w:tc>
        <w:tc>
          <w:tcPr>
            <w:tcW w:w="240" w:type="dxa"/>
            <w:vAlign w:val="bottom"/>
          </w:tcPr>
          <w:p>
            <w:pPr>
              <w:jc w:val="right"/>
              <w:ind w:right="32"/>
              <w:spacing w:after="0" w:line="196" w:lineRule="exact"/>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line="196" w:lineRule="exact"/>
              <w:rPr>
                <w:sz w:val="20"/>
                <w:szCs w:val="20"/>
                <w:color w:val="auto"/>
              </w:rPr>
            </w:pPr>
            <w:r>
              <w:rPr>
                <w:rFonts w:ascii="Arial" w:cs="Arial" w:eastAsia="Arial" w:hAnsi="Arial"/>
                <w:sz w:val="18"/>
                <w:szCs w:val="18"/>
                <w:color w:val="auto"/>
              </w:rPr>
              <w:t>75,870</w:t>
            </w:r>
          </w:p>
        </w:tc>
        <w:tc>
          <w:tcPr>
            <w:tcW w:w="440" w:type="dxa"/>
            <w:vAlign w:val="bottom"/>
            <w:gridSpan w:val="2"/>
          </w:tcPr>
          <w:p>
            <w:pPr>
              <w:jc w:val="right"/>
              <w:ind w:right="220"/>
              <w:spacing w:after="0" w:line="196"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70,057</w:t>
            </w:r>
          </w:p>
        </w:tc>
        <w:tc>
          <w:tcPr>
            <w:tcW w:w="100" w:type="dxa"/>
            <w:vAlign w:val="bottom"/>
          </w:tcPr>
          <w:p>
            <w:pPr>
              <w:spacing w:after="0"/>
              <w:rPr>
                <w:sz w:val="17"/>
                <w:szCs w:val="17"/>
                <w:color w:val="auto"/>
              </w:rPr>
            </w:pPr>
          </w:p>
        </w:tc>
        <w:tc>
          <w:tcPr>
            <w:tcW w:w="340" w:type="dxa"/>
            <w:vAlign w:val="bottom"/>
          </w:tcPr>
          <w:p>
            <w:pPr>
              <w:jc w:val="right"/>
              <w:ind w:right="132"/>
              <w:spacing w:after="0" w:line="196" w:lineRule="exact"/>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line="196" w:lineRule="exact"/>
              <w:rPr>
                <w:sz w:val="20"/>
                <w:szCs w:val="20"/>
                <w:color w:val="auto"/>
              </w:rPr>
            </w:pPr>
            <w:r>
              <w:rPr>
                <w:rFonts w:ascii="Arial" w:cs="Arial" w:eastAsia="Arial" w:hAnsi="Arial"/>
                <w:sz w:val="18"/>
                <w:szCs w:val="18"/>
                <w:color w:val="auto"/>
              </w:rPr>
              <w:t>71,983</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6720" w:type="dxa"/>
            <w:vAlign w:val="bottom"/>
            <w:shd w:val="clear" w:color="auto" w:fill="CCEEFF"/>
          </w:tcPr>
          <w:p>
            <w:pPr>
              <w:ind w:left="20"/>
              <w:spacing w:after="0" w:line="217" w:lineRule="exact"/>
              <w:rPr>
                <w:sz w:val="20"/>
                <w:szCs w:val="20"/>
                <w:color w:val="auto"/>
              </w:rPr>
            </w:pPr>
            <w:r>
              <w:rPr>
                <w:rFonts w:ascii="Arial" w:cs="Arial" w:eastAsia="Arial" w:hAnsi="Arial"/>
                <w:sz w:val="18"/>
                <w:szCs w:val="18"/>
                <w:color w:val="auto"/>
              </w:rPr>
              <w:t xml:space="preserve">EBITDA </w:t>
            </w:r>
            <w:r>
              <w:rPr>
                <w:rFonts w:ascii="Arial" w:cs="Arial" w:eastAsia="Arial" w:hAnsi="Arial"/>
                <w:sz w:val="22"/>
                <w:szCs w:val="22"/>
                <w:color w:val="auto"/>
                <w:vertAlign w:val="superscript"/>
              </w:rPr>
              <w:t>(1)</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470,327</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519,564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456,875</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9" w:lineRule="exact"/>
        <w:rPr>
          <w:sz w:val="20"/>
          <w:szCs w:val="20"/>
          <w:color w:val="auto"/>
        </w:rPr>
      </w:pP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160" w:right="1040" w:hanging="130"/>
        <w:spacing w:after="0" w:line="228" w:lineRule="auto"/>
        <w:rPr>
          <w:sz w:val="20"/>
          <w:szCs w:val="20"/>
          <w:color w:val="auto"/>
        </w:rPr>
      </w:pPr>
      <w:r>
        <w:rPr>
          <w:rFonts w:ascii="Arial" w:cs="Arial" w:eastAsia="Arial" w:hAnsi="Arial"/>
          <w:sz w:val="18"/>
          <w:szCs w:val="18"/>
          <w:color w:val="auto"/>
        </w:rPr>
        <w:t>Product sales price and volume percentage change from prior year</w:t>
      </w:r>
    </w:p>
    <w:p>
      <w:pPr>
        <w:spacing w:after="0" w:line="20" w:lineRule="exact"/>
        <w:rPr>
          <w:sz w:val="20"/>
          <w:szCs w:val="20"/>
          <w:color w:val="auto"/>
        </w:rPr>
      </w:pPr>
      <w:r>
        <w:rPr>
          <w:sz w:val="20"/>
          <w:szCs w:val="20"/>
          <w:color w:val="auto"/>
        </w:rPr>
        <w:br w:type="column"/>
      </w:r>
    </w:p>
    <w:p>
      <w:pPr>
        <w:ind w:left="2180"/>
        <w:spacing w:after="0"/>
        <w:rPr>
          <w:sz w:val="20"/>
          <w:szCs w:val="20"/>
          <w:color w:val="auto"/>
        </w:rPr>
      </w:pPr>
      <w:r>
        <w:rPr>
          <w:rFonts w:ascii="Arial" w:cs="Arial" w:eastAsia="Arial" w:hAnsi="Arial"/>
          <w:sz w:val="14"/>
          <w:szCs w:val="14"/>
          <w:b w:val="1"/>
          <w:bCs w:val="1"/>
          <w:color w:val="auto"/>
        </w:rPr>
        <w:t>Year Ended 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700" w:type="dxa"/>
            <w:vAlign w:val="bottom"/>
            <w:tcBorders>
              <w:top w:val="single" w:sz="8" w:color="auto"/>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2022</w:t>
            </w:r>
          </w:p>
        </w:tc>
        <w:tc>
          <w:tcPr>
            <w:tcW w:w="106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60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130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32"/>
        </w:trPr>
        <w:tc>
          <w:tcPr>
            <w:tcW w:w="1700" w:type="dxa"/>
            <w:vAlign w:val="bottom"/>
            <w:gridSpan w:val="3"/>
          </w:tcPr>
          <w:p>
            <w:pPr>
              <w:jc w:val="center"/>
              <w:ind w:right="340"/>
              <w:spacing w:after="0" w:line="132" w:lineRule="exact"/>
              <w:rPr>
                <w:sz w:val="20"/>
                <w:szCs w:val="20"/>
                <w:color w:val="auto"/>
              </w:rPr>
            </w:pPr>
            <w:r>
              <w:rPr>
                <w:rFonts w:ascii="Arial" w:cs="Arial" w:eastAsia="Arial" w:hAnsi="Arial"/>
                <w:sz w:val="14"/>
                <w:szCs w:val="14"/>
                <w:b w:val="1"/>
                <w:bCs w:val="1"/>
                <w:color w:val="auto"/>
                <w:w w:val="87"/>
              </w:rPr>
              <w:t>Average Sales</w:t>
            </w:r>
          </w:p>
        </w:tc>
        <w:tc>
          <w:tcPr>
            <w:tcW w:w="13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Volume</w:t>
            </w:r>
          </w:p>
        </w:tc>
        <w:tc>
          <w:tcPr>
            <w:tcW w:w="1600" w:type="dxa"/>
            <w:vAlign w:val="bottom"/>
            <w:gridSpan w:val="2"/>
          </w:tcPr>
          <w:p>
            <w:pPr>
              <w:jc w:val="center"/>
              <w:ind w:right="260"/>
              <w:spacing w:after="0" w:line="132" w:lineRule="exact"/>
              <w:rPr>
                <w:sz w:val="20"/>
                <w:szCs w:val="20"/>
                <w:color w:val="auto"/>
              </w:rPr>
            </w:pPr>
            <w:r>
              <w:rPr>
                <w:rFonts w:ascii="Arial" w:cs="Arial" w:eastAsia="Arial" w:hAnsi="Arial"/>
                <w:sz w:val="14"/>
                <w:szCs w:val="14"/>
                <w:b w:val="1"/>
                <w:bCs w:val="1"/>
                <w:color w:val="auto"/>
                <w:w w:val="85"/>
              </w:rPr>
              <w:t>Average Sales</w:t>
            </w:r>
          </w:p>
        </w:tc>
        <w:tc>
          <w:tcPr>
            <w:tcW w:w="1300" w:type="dxa"/>
            <w:vAlign w:val="bottom"/>
            <w:vMerge w:val="restart"/>
          </w:tcPr>
          <w:p>
            <w:pPr>
              <w:jc w:val="right"/>
              <w:ind w:right="341"/>
              <w:spacing w:after="0"/>
              <w:rPr>
                <w:sz w:val="20"/>
                <w:szCs w:val="20"/>
                <w:color w:val="auto"/>
              </w:rPr>
            </w:pPr>
            <w:r>
              <w:rPr>
                <w:rFonts w:ascii="Arial" w:cs="Arial" w:eastAsia="Arial" w:hAnsi="Arial"/>
                <w:sz w:val="14"/>
                <w:szCs w:val="14"/>
                <w:b w:val="1"/>
                <w:bCs w:val="1"/>
                <w:color w:val="auto"/>
              </w:rPr>
              <w:t>Volume</w:t>
            </w:r>
          </w:p>
        </w:tc>
        <w:tc>
          <w:tcPr>
            <w:tcW w:w="0" w:type="dxa"/>
            <w:vAlign w:val="bottom"/>
          </w:tcPr>
          <w:p>
            <w:pPr>
              <w:spacing w:after="0"/>
              <w:rPr>
                <w:sz w:val="1"/>
                <w:szCs w:val="1"/>
                <w:color w:val="auto"/>
              </w:rPr>
            </w:pPr>
          </w:p>
        </w:tc>
      </w:tr>
      <w:tr>
        <w:trPr>
          <w:trHeight w:val="191"/>
        </w:trPr>
        <w:tc>
          <w:tcPr>
            <w:tcW w:w="17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93"/>
              </w:rPr>
              <w:t>Price</w:t>
            </w:r>
          </w:p>
        </w:tc>
        <w:tc>
          <w:tcPr>
            <w:tcW w:w="1320" w:type="dxa"/>
            <w:vAlign w:val="bottom"/>
            <w:gridSpan w:val="2"/>
            <w:vMerge w:val="continue"/>
          </w:tcPr>
          <w:p>
            <w:pPr>
              <w:spacing w:after="0"/>
              <w:rPr>
                <w:sz w:val="16"/>
                <w:szCs w:val="16"/>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Price</w:t>
            </w:r>
          </w:p>
        </w:tc>
        <w:tc>
          <w:tcPr>
            <w:tcW w:w="1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394"/>
        </w:trPr>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+20.3 %</w:t>
            </w:r>
          </w:p>
        </w:tc>
        <w:tc>
          <w:tcPr>
            <w:tcW w:w="10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+21.8 %</w:t>
            </w:r>
          </w:p>
        </w:tc>
        <w:tc>
          <w:tcPr>
            <w:tcW w:w="260" w:type="dxa"/>
            <w:vAlign w:val="bottom"/>
          </w:tcPr>
          <w:p>
            <w:pPr>
              <w:spacing w:after="0"/>
              <w:rPr>
                <w:sz w:val="24"/>
                <w:szCs w:val="24"/>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+26.8%</w:t>
            </w:r>
          </w:p>
        </w:tc>
        <w:tc>
          <w:tcPr>
            <w:tcW w:w="240" w:type="dxa"/>
            <w:vAlign w:val="bottom"/>
          </w:tcPr>
          <w:p>
            <w:pPr>
              <w:spacing w:after="0"/>
              <w:rPr>
                <w:sz w:val="24"/>
                <w:szCs w:val="24"/>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-3374390</wp:posOffset>
            </wp:positionH>
            <wp:positionV relativeFrom="paragraph">
              <wp:posOffset>-257810</wp:posOffset>
            </wp:positionV>
            <wp:extent cx="7135495" cy="2590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5495" cy="259080"/>
                    </a:xfrm>
                    <a:prstGeom prst="rect">
                      <a:avLst/>
                    </a:prstGeom>
                    <a:noFill/>
                  </pic:spPr>
                </pic:pic>
              </a:graphicData>
            </a:graphic>
          </wp:anchor>
        </w:drawing>
      </w:r>
    </w:p>
    <w:p>
      <w:pPr>
        <w:spacing w:after="0" w:line="221" w:lineRule="exact"/>
        <w:rPr>
          <w:sz w:val="20"/>
          <w:szCs w:val="20"/>
          <w:color w:val="auto"/>
        </w:rPr>
      </w:pPr>
    </w:p>
    <w:p>
      <w:pPr>
        <w:ind w:left="3700"/>
        <w:spacing w:after="0"/>
        <w:rPr>
          <w:sz w:val="20"/>
          <w:szCs w:val="20"/>
          <w:color w:val="auto"/>
        </w:rPr>
      </w:pPr>
      <w:r>
        <w:rPr>
          <w:rFonts w:ascii="Arial" w:cs="Arial" w:eastAsia="Arial" w:hAnsi="Arial"/>
          <w:sz w:val="14"/>
          <w:szCs w:val="14"/>
          <w:b w:val="1"/>
          <w:bCs w:val="1"/>
          <w:color w:val="auto"/>
        </w:rPr>
        <w:t>Year Ended December 31,</w:t>
      </w:r>
    </w:p>
    <w:p>
      <w:pPr>
        <w:spacing w:after="0" w:line="26" w:lineRule="exact"/>
        <w:rPr>
          <w:sz w:val="20"/>
          <w:szCs w:val="20"/>
          <w:color w:val="auto"/>
        </w:rPr>
      </w:pPr>
    </w:p>
    <w:p>
      <w:pPr>
        <w:sectPr>
          <w:pgSz w:w="11900" w:h="16838" w:orient="portrait"/>
          <w:cols w:equalWidth="0" w:num="2">
            <w:col w:w="4600" w:space="720"/>
            <w:col w:w="5920"/>
          </w:cols>
          <w:pgMar w:left="320" w:top="122" w:right="339" w:bottom="1440" w:gutter="0" w:footer="0" w:header="0"/>
          <w:type w:val="continuous"/>
        </w:sectPr>
      </w:pPr>
    </w:p>
    <w:tbl>
      <w:tblPr>
        <w:tblLayout w:type="fixed"/>
        <w:tblInd w:w="0" w:type="dxa"/>
        <w:tblCellMar>
          <w:top w:w="0" w:type="dxa"/>
          <w:left w:w="0" w:type="dxa"/>
          <w:bottom w:w="0" w:type="dxa"/>
          <w:right w:w="0" w:type="dxa"/>
        </w:tblCellMar>
      </w:tblPr>
      <w:tr>
        <w:trPr>
          <w:trHeight w:val="204"/>
        </w:trPr>
        <w:tc>
          <w:tcPr>
            <w:tcW w:w="834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CCEEFF"/>
            </w:tcBorders>
          </w:tcPr>
          <w:p>
            <w:pPr>
              <w:spacing w:after="0"/>
              <w:rPr>
                <w:sz w:val="17"/>
                <w:szCs w:val="17"/>
                <w:color w:val="auto"/>
              </w:rPr>
            </w:pPr>
          </w:p>
        </w:tc>
        <w:tc>
          <w:tcPr>
            <w:tcW w:w="1300" w:type="dxa"/>
            <w:vAlign w:val="bottom"/>
            <w:tcBorders>
              <w:top w:val="single" w:sz="8" w:color="auto"/>
              <w:bottom w:val="single" w:sz="8" w:color="auto"/>
            </w:tcBorders>
          </w:tcPr>
          <w:p>
            <w:pPr>
              <w:jc w:val="right"/>
              <w:ind w:right="418"/>
              <w:spacing w:after="0"/>
              <w:rPr>
                <w:sz w:val="20"/>
                <w:szCs w:val="20"/>
                <w:color w:val="auto"/>
              </w:rPr>
            </w:pPr>
            <w:r>
              <w:rPr>
                <w:rFonts w:ascii="Arial" w:cs="Arial" w:eastAsia="Arial" w:hAnsi="Arial"/>
                <w:sz w:val="14"/>
                <w:szCs w:val="14"/>
                <w:b w:val="1"/>
                <w:bCs w:val="1"/>
                <w:color w:val="auto"/>
              </w:rPr>
              <w:t>2021</w:t>
            </w:r>
          </w:p>
        </w:tc>
      </w:tr>
      <w:tr>
        <w:trPr>
          <w:trHeight w:val="211"/>
        </w:trPr>
        <w:tc>
          <w:tcPr>
            <w:tcW w:w="8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Domestic US prices percentage change from prior-year period for fuel cost and feedstock</w:t>
            </w:r>
          </w:p>
        </w:tc>
        <w:tc>
          <w:tcPr>
            <w:tcW w:w="8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r>
      <w:tr>
        <w:trPr>
          <w:trHeight w:val="223"/>
        </w:trPr>
        <w:tc>
          <w:tcPr>
            <w:tcW w:w="9180" w:type="dxa"/>
            <w:vAlign w:val="bottom"/>
            <w:gridSpan w:val="2"/>
          </w:tcPr>
          <w:p>
            <w:pPr>
              <w:ind w:left="20"/>
              <w:spacing w:after="0"/>
              <w:rPr>
                <w:sz w:val="20"/>
                <w:szCs w:val="20"/>
                <w:color w:val="auto"/>
              </w:rPr>
            </w:pPr>
            <w:r>
              <w:rPr>
                <w:rFonts w:ascii="Arial" w:cs="Arial" w:eastAsia="Arial" w:hAnsi="Arial"/>
                <w:sz w:val="18"/>
                <w:szCs w:val="18"/>
                <w:color w:val="auto"/>
              </w:rPr>
              <w:t>Fuel cost (Natural Gas)</w:t>
            </w:r>
          </w:p>
        </w:tc>
        <w:tc>
          <w:tcPr>
            <w:tcW w:w="520" w:type="dxa"/>
            <w:vAlign w:val="bottom"/>
          </w:tcPr>
          <w:p>
            <w:pPr>
              <w:jc w:val="right"/>
              <w:spacing w:after="0"/>
              <w:rPr>
                <w:sz w:val="20"/>
                <w:szCs w:val="20"/>
                <w:color w:val="auto"/>
              </w:rPr>
            </w:pPr>
            <w:r>
              <w:rPr>
                <w:rFonts w:ascii="Arial" w:cs="Arial" w:eastAsia="Arial" w:hAnsi="Arial"/>
                <w:sz w:val="18"/>
                <w:szCs w:val="18"/>
                <w:color w:val="auto"/>
                <w:w w:val="93"/>
              </w:rPr>
              <w:t>+67 %</w:t>
            </w:r>
          </w:p>
        </w:tc>
        <w:tc>
          <w:tcPr>
            <w:tcW w:w="2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+86 %</w:t>
            </w:r>
          </w:p>
        </w:tc>
      </w:tr>
      <w:tr>
        <w:trPr>
          <w:trHeight w:val="224"/>
        </w:trPr>
        <w:tc>
          <w:tcPr>
            <w:tcW w:w="9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Feedstock (Ethane)</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+56 %</w:t>
            </w:r>
          </w:p>
        </w:tc>
        <w:tc>
          <w:tcPr>
            <w:tcW w:w="2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+63 %</w:t>
            </w:r>
          </w:p>
        </w:tc>
      </w:tr>
    </w:tbl>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95" w:lineRule="exact"/>
        <w:rPr>
          <w:sz w:val="20"/>
          <w:szCs w:val="20"/>
          <w:color w:val="auto"/>
        </w:rPr>
      </w:pPr>
    </w:p>
    <w:p>
      <w:pPr>
        <w:ind w:left="400" w:hanging="395"/>
        <w:spacing w:after="0"/>
        <w:tabs>
          <w:tab w:leader="none" w:pos="4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See above for discussions on non-GAAP financial measures. Reconciliations for each of MLP distributable cash flow and EBITDA are included below.</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55"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Reconciliation of MLP Distributable Cash Flow to Net Income and Net Cash Provided by Operating Activities</w:t>
      </w:r>
    </w:p>
    <w:p>
      <w:pPr>
        <w:spacing w:after="0" w:line="118"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6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6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Year Ended December 31,</w:t>
            </w:r>
          </w:p>
        </w:tc>
        <w:tc>
          <w:tcPr>
            <w:tcW w:w="3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34"/>
        </w:trPr>
        <w:tc>
          <w:tcPr>
            <w:tcW w:w="67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184"/>
        </w:trPr>
        <w:tc>
          <w:tcPr>
            <w:tcW w:w="67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r>
      <w:tr>
        <w:trPr>
          <w:trHeight w:val="213"/>
        </w:trPr>
        <w:tc>
          <w:tcPr>
            <w:tcW w:w="6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(dollars in thousands)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4"/>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463,736</w:t>
            </w:r>
          </w:p>
        </w:tc>
        <w:tc>
          <w:tcPr>
            <w:tcW w:w="440" w:type="dxa"/>
            <w:vAlign w:val="bottom"/>
            <w:gridSpan w:val="2"/>
            <w:shd w:val="clear" w:color="auto" w:fill="CCEEFF"/>
          </w:tcPr>
          <w:p>
            <w:pPr>
              <w:jc w:val="right"/>
              <w:ind w:right="164"/>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408,439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373,397</w:t>
            </w:r>
          </w:p>
        </w:tc>
      </w:tr>
      <w:tr>
        <w:trPr>
          <w:trHeight w:val="223"/>
        </w:trPr>
        <w:tc>
          <w:tcPr>
            <w:tcW w:w="6700" w:type="dxa"/>
            <w:vAlign w:val="bottom"/>
          </w:tcPr>
          <w:p>
            <w:pPr>
              <w:ind w:left="340"/>
              <w:spacing w:after="0"/>
              <w:rPr>
                <w:sz w:val="20"/>
                <w:szCs w:val="20"/>
                <w:color w:val="auto"/>
              </w:rPr>
            </w:pPr>
            <w:r>
              <w:rPr>
                <w:rFonts w:ascii="Arial" w:cs="Arial" w:eastAsia="Arial" w:hAnsi="Arial"/>
                <w:sz w:val="18"/>
                <w:szCs w:val="18"/>
                <w:color w:val="auto"/>
              </w:rPr>
              <w:t>Loss from disposition of property, plant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4"/>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 and 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(31,278)</w:t>
            </w:r>
          </w:p>
        </w:tc>
      </w:tr>
      <w:tr>
        <w:trPr>
          <w:trHeight w:val="217"/>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334,829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401,385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341,119</w:t>
            </w:r>
          </w:p>
        </w:tc>
      </w:tr>
      <w:tr>
        <w:trPr>
          <w:trHeight w:val="204"/>
        </w:trPr>
        <w:tc>
          <w:tcPr>
            <w:tcW w:w="670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Add:</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185"/>
        </w:trPr>
        <w:tc>
          <w:tcPr>
            <w:tcW w:w="6700" w:type="dxa"/>
            <w:vAlign w:val="bottom"/>
          </w:tcPr>
          <w:p>
            <w:pPr>
              <w:ind w:left="340"/>
              <w:spacing w:after="0" w:line="185" w:lineRule="exact"/>
              <w:rPr>
                <w:sz w:val="20"/>
                <w:szCs w:val="20"/>
                <w:color w:val="auto"/>
              </w:rPr>
            </w:pPr>
            <w:r>
              <w:rPr>
                <w:rFonts w:ascii="Arial" w:cs="Arial" w:eastAsia="Arial" w:hAnsi="Arial"/>
                <w:sz w:val="18"/>
                <w:szCs w:val="18"/>
                <w:color w:val="auto"/>
              </w:rPr>
              <w:t>Depreciation, amortization and disposition of property, plant and</w:t>
            </w: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23"/>
        </w:trPr>
        <w:tc>
          <w:tcPr>
            <w:tcW w:w="6700" w:type="dxa"/>
            <w:vAlign w:val="bottom"/>
          </w:tcPr>
          <w:p>
            <w:pPr>
              <w:ind w:left="460"/>
              <w:spacing w:after="0"/>
              <w:rPr>
                <w:sz w:val="20"/>
                <w:szCs w:val="20"/>
                <w:color w:val="auto"/>
              </w:rPr>
            </w:pPr>
            <w:r>
              <w:rPr>
                <w:rFonts w:ascii="Arial" w:cs="Arial" w:eastAsia="Arial" w:hAnsi="Arial"/>
                <w:sz w:val="18"/>
                <w:szCs w:val="18"/>
                <w:color w:val="auto"/>
              </w:rPr>
              <w:t>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125,781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113,032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104,154</w:t>
            </w:r>
          </w:p>
        </w:tc>
      </w:tr>
      <w:tr>
        <w:trPr>
          <w:trHeight w:val="224"/>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Mark-to-market adjustment gain on derivative contracts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w:t>
            </w:r>
          </w:p>
        </w:tc>
      </w:tr>
      <w:tr>
        <w:trPr>
          <w:trHeight w:val="223"/>
        </w:trPr>
        <w:tc>
          <w:tcPr>
            <w:tcW w:w="6700" w:type="dxa"/>
            <w:vAlign w:val="bottom"/>
          </w:tcPr>
          <w:p>
            <w:pPr>
              <w:ind w:left="20"/>
              <w:spacing w:after="0"/>
              <w:rPr>
                <w:sz w:val="20"/>
                <w:szCs w:val="20"/>
                <w:color w:val="auto"/>
              </w:rPr>
            </w:pPr>
            <w:r>
              <w:rPr>
                <w:rFonts w:ascii="Arial" w:cs="Arial" w:eastAsia="Arial" w:hAnsi="Arial"/>
                <w:sz w:val="18"/>
                <w:szCs w:val="18"/>
                <w:color w:val="auto"/>
              </w:rPr>
              <w:t>Less:</w:t>
            </w: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24"/>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Contribution to turnaround reserves</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(29,175)</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(80,090)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(39,937)</w:t>
            </w:r>
          </w:p>
        </w:tc>
      </w:tr>
      <w:tr>
        <w:trPr>
          <w:trHeight w:val="223"/>
        </w:trPr>
        <w:tc>
          <w:tcPr>
            <w:tcW w:w="6700" w:type="dxa"/>
            <w:vAlign w:val="bottom"/>
          </w:tcPr>
          <w:p>
            <w:pPr>
              <w:ind w:left="340"/>
              <w:spacing w:after="0"/>
              <w:rPr>
                <w:sz w:val="20"/>
                <w:szCs w:val="20"/>
                <w:color w:val="auto"/>
              </w:rPr>
            </w:pPr>
            <w:r>
              <w:rPr>
                <w:rFonts w:ascii="Arial" w:cs="Arial" w:eastAsia="Arial" w:hAnsi="Arial"/>
                <w:sz w:val="18"/>
                <w:szCs w:val="18"/>
                <w:color w:val="auto"/>
              </w:rPr>
              <w:t>Maintenance capital expenditures</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(45,249)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(87,783)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(37,343)</w:t>
            </w:r>
          </w:p>
        </w:tc>
      </w:tr>
      <w:tr>
        <w:trPr>
          <w:trHeight w:val="185"/>
        </w:trPr>
        <w:tc>
          <w:tcPr>
            <w:tcW w:w="6700" w:type="dxa"/>
            <w:vAlign w:val="bottom"/>
            <w:shd w:val="clear" w:color="auto" w:fill="CCEEFF"/>
          </w:tcPr>
          <w:p>
            <w:pPr>
              <w:ind w:left="340"/>
              <w:spacing w:after="0" w:line="185" w:lineRule="exact"/>
              <w:rPr>
                <w:sz w:val="20"/>
                <w:szCs w:val="20"/>
                <w:color w:val="auto"/>
              </w:rPr>
            </w:pPr>
            <w:r>
              <w:rPr>
                <w:rFonts w:ascii="Arial" w:cs="Arial" w:eastAsia="Arial" w:hAnsi="Arial"/>
                <w:sz w:val="18"/>
                <w:szCs w:val="18"/>
                <w:color w:val="auto"/>
              </w:rPr>
              <w:t>Distributable cash flow attributable to noncontrolling interest in</w:t>
            </w: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r>
      <w:tr>
        <w:trPr>
          <w:trHeight w:val="223"/>
        </w:trPr>
        <w:tc>
          <w:tcPr>
            <w:tcW w:w="670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OpCo</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(310,316)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(276,487)</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(294,670)</w:t>
            </w:r>
          </w:p>
        </w:tc>
      </w:tr>
      <w:tr>
        <w:trPr>
          <w:trHeight w:val="217"/>
        </w:trPr>
        <w:tc>
          <w:tcPr>
            <w:tcW w:w="6700" w:type="dxa"/>
            <w:vAlign w:val="bottom"/>
          </w:tcPr>
          <w:p>
            <w:pPr>
              <w:ind w:left="20"/>
              <w:spacing w:after="0"/>
              <w:rPr>
                <w:sz w:val="20"/>
                <w:szCs w:val="20"/>
                <w:color w:val="auto"/>
              </w:rPr>
            </w:pPr>
            <w:r>
              <w:rPr>
                <w:rFonts w:ascii="Arial" w:cs="Arial" w:eastAsia="Arial" w:hAnsi="Arial"/>
                <w:sz w:val="18"/>
                <w:szCs w:val="18"/>
                <w:color w:val="auto"/>
              </w:rPr>
              <w:t>MLP distributable cash flow</w:t>
            </w: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75,870</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64"/>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70,057</w:t>
            </w:r>
          </w:p>
        </w:tc>
        <w:tc>
          <w:tcPr>
            <w:tcW w:w="100" w:type="dxa"/>
            <w:vAlign w:val="bottom"/>
          </w:tcPr>
          <w:p>
            <w:pPr>
              <w:spacing w:after="0"/>
              <w:rPr>
                <w:sz w:val="18"/>
                <w:szCs w:val="18"/>
                <w:color w:val="auto"/>
              </w:rPr>
            </w:pPr>
          </w:p>
        </w:tc>
        <w:tc>
          <w:tcPr>
            <w:tcW w:w="34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71,983</w:t>
            </w:r>
          </w:p>
        </w:tc>
      </w:tr>
      <w:tr>
        <w:trPr>
          <w:trHeight w:val="20"/>
        </w:trPr>
        <w:tc>
          <w:tcPr>
            <w:tcW w:w="67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782"/>
        </w:trPr>
        <w:tc>
          <w:tcPr>
            <w:tcW w:w="10120" w:type="dxa"/>
            <w:vAlign w:val="bottom"/>
            <w:gridSpan w:val="8"/>
          </w:tcPr>
          <w:p>
            <w:pPr>
              <w:ind w:left="1320"/>
              <w:spacing w:after="0"/>
              <w:rPr>
                <w:sz w:val="20"/>
                <w:szCs w:val="20"/>
                <w:color w:val="auto"/>
              </w:rPr>
            </w:pPr>
            <w:r>
              <w:rPr>
                <w:rFonts w:ascii="Arial" w:cs="Arial" w:eastAsia="Arial" w:hAnsi="Arial"/>
                <w:sz w:val="18"/>
                <w:szCs w:val="18"/>
                <w:b w:val="1"/>
                <w:bCs w:val="1"/>
                <w:color w:val="auto"/>
                <w:w w:val="91"/>
              </w:rPr>
              <w:t>Reconciliation of EBITDA to Net Income, Income from Operations and Net Cash Provided by Operating Activities</w:t>
            </w:r>
          </w:p>
        </w:tc>
        <w:tc>
          <w:tcPr>
            <w:tcW w:w="1080" w:type="dxa"/>
            <w:vAlign w:val="bottom"/>
          </w:tcPr>
          <w:p>
            <w:pPr>
              <w:spacing w:after="0"/>
              <w:rPr>
                <w:sz w:val="24"/>
                <w:szCs w:val="24"/>
                <w:color w:val="auto"/>
              </w:rPr>
            </w:pPr>
          </w:p>
        </w:tc>
      </w:tr>
      <w:tr>
        <w:trPr>
          <w:trHeight w:val="279"/>
        </w:trPr>
        <w:tc>
          <w:tcPr>
            <w:tcW w:w="6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Year Ended December 31,</w:t>
            </w:r>
          </w:p>
        </w:tc>
        <w:tc>
          <w:tcPr>
            <w:tcW w:w="3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4"/>
        </w:trPr>
        <w:tc>
          <w:tcPr>
            <w:tcW w:w="67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184"/>
        </w:trPr>
        <w:tc>
          <w:tcPr>
            <w:tcW w:w="67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254"/>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2020</w:t>
            </w:r>
          </w:p>
        </w:tc>
      </w:tr>
      <w:tr>
        <w:trPr>
          <w:trHeight w:val="213"/>
        </w:trPr>
        <w:tc>
          <w:tcPr>
            <w:tcW w:w="6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8"/>
              </w:rPr>
              <w:t>(dollars in thousands)</w:t>
            </w:r>
          </w:p>
        </w:tc>
        <w:tc>
          <w:tcPr>
            <w:tcW w:w="34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4"/>
        </w:trPr>
        <w:tc>
          <w:tcPr>
            <w:tcW w:w="67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40" w:type="dxa"/>
            <w:vAlign w:val="bottom"/>
            <w:gridSpan w:val="2"/>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463,736</w:t>
            </w:r>
          </w:p>
        </w:tc>
        <w:tc>
          <w:tcPr>
            <w:tcW w:w="440" w:type="dxa"/>
            <w:vAlign w:val="bottom"/>
            <w:gridSpan w:val="2"/>
            <w:shd w:val="clear" w:color="auto" w:fill="CCEEFF"/>
          </w:tcPr>
          <w:p>
            <w:pPr>
              <w:jc w:val="right"/>
              <w:ind w:right="164"/>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408,439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373,397</w:t>
            </w:r>
          </w:p>
        </w:tc>
      </w:tr>
      <w:tr>
        <w:trPr>
          <w:trHeight w:val="223"/>
        </w:trPr>
        <w:tc>
          <w:tcPr>
            <w:tcW w:w="6700" w:type="dxa"/>
            <w:vAlign w:val="bottom"/>
          </w:tcPr>
          <w:p>
            <w:pPr>
              <w:ind w:left="340"/>
              <w:spacing w:after="0"/>
              <w:rPr>
                <w:sz w:val="20"/>
                <w:szCs w:val="20"/>
                <w:color w:val="auto"/>
              </w:rPr>
            </w:pPr>
            <w:r>
              <w:rPr>
                <w:rFonts w:ascii="Arial" w:cs="Arial" w:eastAsia="Arial" w:hAnsi="Arial"/>
                <w:sz w:val="18"/>
                <w:szCs w:val="18"/>
                <w:color w:val="auto"/>
              </w:rPr>
              <w:t>Loss from disposition of property, plant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(4,707)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(4,198)</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24"/>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operating assets and liabilities and 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(124,200)</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(2,856)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(31,278)</w:t>
            </w:r>
          </w:p>
        </w:tc>
      </w:tr>
      <w:tr>
        <w:trPr>
          <w:trHeight w:val="217"/>
        </w:trPr>
        <w:tc>
          <w:tcPr>
            <w:tcW w:w="6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334,829</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401,385</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341,119</w:t>
            </w:r>
          </w:p>
        </w:tc>
      </w:tr>
      <w:tr>
        <w:trPr>
          <w:trHeight w:val="204"/>
        </w:trPr>
        <w:tc>
          <w:tcPr>
            <w:tcW w:w="670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Less:</w:t>
            </w: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r>
      <w:tr>
        <w:trPr>
          <w:trHeight w:val="223"/>
        </w:trPr>
        <w:tc>
          <w:tcPr>
            <w:tcW w:w="6700" w:type="dxa"/>
            <w:vAlign w:val="bottom"/>
          </w:tcPr>
          <w:p>
            <w:pPr>
              <w:ind w:left="340"/>
              <w:spacing w:after="0"/>
              <w:rPr>
                <w:sz w:val="20"/>
                <w:szCs w:val="20"/>
                <w:color w:val="auto"/>
              </w:rPr>
            </w:pPr>
            <w:r>
              <w:rPr>
                <w:rFonts w:ascii="Arial" w:cs="Arial" w:eastAsia="Arial" w:hAnsi="Arial"/>
                <w:sz w:val="18"/>
                <w:szCs w:val="18"/>
                <w:color w:val="auto"/>
              </w:rPr>
              <w:t>Other income, net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733</w:t>
            </w:r>
          </w:p>
        </w:tc>
      </w:tr>
      <w:tr>
        <w:trPr>
          <w:trHeight w:val="224"/>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expense—Westlake</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(12,038)</w:t>
            </w:r>
          </w:p>
        </w:tc>
      </w:tr>
      <w:tr>
        <w:trPr>
          <w:trHeight w:val="223"/>
        </w:trPr>
        <w:tc>
          <w:tcPr>
            <w:tcW w:w="67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(1,017)</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w:t>
            </w:r>
          </w:p>
        </w:tc>
      </w:tr>
      <w:tr>
        <w:trPr>
          <w:trHeight w:val="217"/>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operations</w:t>
            </w: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347,687</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410,688</w:t>
            </w:r>
          </w:p>
        </w:tc>
        <w:tc>
          <w:tcPr>
            <w:tcW w:w="10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352,988</w:t>
            </w:r>
          </w:p>
        </w:tc>
      </w:tr>
      <w:tr>
        <w:trPr>
          <w:trHeight w:val="203"/>
        </w:trPr>
        <w:tc>
          <w:tcPr>
            <w:tcW w:w="6700" w:type="dxa"/>
            <w:vAlign w:val="bottom"/>
          </w:tcPr>
          <w:p>
            <w:pPr>
              <w:ind w:left="20"/>
              <w:spacing w:after="0" w:line="203" w:lineRule="exact"/>
              <w:rPr>
                <w:sz w:val="20"/>
                <w:szCs w:val="20"/>
                <w:color w:val="auto"/>
              </w:rPr>
            </w:pPr>
            <w:r>
              <w:rPr>
                <w:rFonts w:ascii="Arial" w:cs="Arial" w:eastAsia="Arial" w:hAnsi="Arial"/>
                <w:sz w:val="18"/>
                <w:szCs w:val="18"/>
                <w:color w:val="auto"/>
              </w:rPr>
              <w:t>Add:</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r>
      <w:tr>
        <w:trPr>
          <w:trHeight w:val="224"/>
        </w:trPr>
        <w:tc>
          <w:tcPr>
            <w:tcW w:w="67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121,074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108,814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103,154</w:t>
            </w:r>
          </w:p>
        </w:tc>
      </w:tr>
      <w:tr>
        <w:trPr>
          <w:trHeight w:val="223"/>
        </w:trPr>
        <w:tc>
          <w:tcPr>
            <w:tcW w:w="67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733</w:t>
            </w:r>
          </w:p>
        </w:tc>
      </w:tr>
      <w:tr>
        <w:trPr>
          <w:trHeight w:val="237"/>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EBITDA</w:t>
            </w: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470,327</w:t>
            </w:r>
          </w:p>
        </w:tc>
        <w:tc>
          <w:tcPr>
            <w:tcW w:w="440" w:type="dxa"/>
            <w:vAlign w:val="bottom"/>
            <w:gridSpan w:val="2"/>
            <w:shd w:val="clear" w:color="auto" w:fill="CCEEFF"/>
          </w:tcPr>
          <w:p>
            <w:pPr>
              <w:jc w:val="right"/>
              <w:ind w:right="164"/>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519,564</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456,875</w:t>
            </w: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2" w:name="page43"/>
    <w:bookmarkEnd w:id="4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83" w:lineRule="exact"/>
        <w:rPr>
          <w:sz w:val="20"/>
          <w:szCs w:val="20"/>
          <w:color w:val="auto"/>
        </w:rPr>
      </w:pPr>
    </w:p>
    <w:p>
      <w:pPr>
        <w:ind w:right="40" w:firstLine="395"/>
        <w:spacing w:after="0" w:line="279" w:lineRule="auto"/>
        <w:rPr>
          <w:sz w:val="20"/>
          <w:szCs w:val="20"/>
          <w:color w:val="auto"/>
        </w:rPr>
      </w:pPr>
      <w:r>
        <w:rPr>
          <w:rFonts w:ascii="Arial" w:cs="Arial" w:eastAsia="Arial" w:hAnsi="Arial"/>
          <w:sz w:val="16"/>
          <w:szCs w:val="16"/>
          <w:color w:val="auto"/>
        </w:rPr>
        <w:t>For the year ended December 31, 2022, net income was $334.8 million on net sales of $1,593.1 million. This represents a decrease in net income of $66.6 million as compared to net income of $401.4 million on net sales of $1,214.9 million for the year ended December 31, 2021. Net income attributable to the Partnership in 2022 was $64.2 million as compared to $82.5 million in 2021, a decrease of $18.3 million. Income from operations was $347.7 million for 2022, as compared to $410.7 million for 2021. The decrease in income from operations, as well as net income and net income attributable to the Partnership, was primarily due to increased ethane feedstock costs and natural gas prices, lower ethylene sales prices to third parties and a decrease in the buyer deficiency fee and Shortfall in 2022 as compared to 2021. The buyer deficiency fee was $23.8 million in 2022 as compared to a buyer deficiency fee and Shortfall of $110.3 million in 2021. These decreases were partially offset by higher ethylene sales prices and volumes to Westlake pursuant to the terms of the Ethylene Sales Agreement and higher co-products sales prices and volumes in 2022. The higher production in 2022 as compared to 2021 was due to OpCo's Petro 2 turnaround and the force majeure events in 2021. Net sales for 2022 increased by $378.2 million as compared to 2021 mainly due to higher co-products sales prices and volumes and higher ethylene sales prices due to higher ethane feedstock costs and natural gas prices and volumes to Westlake pursuant to the terms of the Ethylene Sales Agreement, partially offset by lower ethylene sales prices to third parties and the smaller buyer deficiency fee recognized in 2022 as compared to the buyer deficiency fee and Shortfall recognized in 2021.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Compared with 2021</w:t>
      </w:r>
    </w:p>
    <w:p>
      <w:pPr>
        <w:spacing w:after="0" w:line="96" w:lineRule="exact"/>
        <w:rPr>
          <w:sz w:val="20"/>
          <w:szCs w:val="20"/>
          <w:color w:val="auto"/>
        </w:rPr>
      </w:pPr>
    </w:p>
    <w:p>
      <w:pPr>
        <w:ind w:firstLine="395"/>
        <w:spacing w:after="0" w:line="282" w:lineRule="auto"/>
        <w:rPr>
          <w:sz w:val="20"/>
          <w:szCs w:val="20"/>
          <w:color w:val="auto"/>
        </w:rPr>
      </w:pPr>
      <w:r>
        <w:rPr>
          <w:rFonts w:ascii="Arial" w:cs="Arial" w:eastAsia="Arial" w:hAnsi="Arial"/>
          <w:sz w:val="16"/>
          <w:szCs w:val="16"/>
          <w:i w:val="1"/>
          <w:iCs w:val="1"/>
          <w:color w:val="auto"/>
        </w:rPr>
        <w:t>Net Sales</w:t>
      </w:r>
      <w:r>
        <w:rPr>
          <w:rFonts w:ascii="Arial" w:cs="Arial" w:eastAsia="Arial" w:hAnsi="Arial"/>
          <w:sz w:val="16"/>
          <w:szCs w:val="16"/>
          <w:color w:val="auto"/>
        </w:rPr>
        <w:t>. Net sales increased by $378.2 million, or 31.1%, to $1,593.1 million in 2022 from $1,214.9 million in 2021. The increase in net sales in 2022</w:t>
      </w:r>
      <w:r>
        <w:rPr>
          <w:rFonts w:ascii="Arial" w:cs="Arial" w:eastAsia="Arial" w:hAnsi="Arial"/>
          <w:sz w:val="16"/>
          <w:szCs w:val="16"/>
          <w:i w:val="1"/>
          <w:iCs w:val="1"/>
          <w:color w:val="auto"/>
        </w:rPr>
        <w:t xml:space="preserve"> </w:t>
      </w:r>
      <w:r>
        <w:rPr>
          <w:rFonts w:ascii="Arial" w:cs="Arial" w:eastAsia="Arial" w:hAnsi="Arial"/>
          <w:sz w:val="16"/>
          <w:szCs w:val="16"/>
          <w:color w:val="auto"/>
        </w:rPr>
        <w:t>was primarily due to higher co-products sales prices and volumes and higher ethylene sales prices due to higher ethane feedstock costs and natural gas prices and volumes to Westlake, partially offset by lower ethylene sales prices to third parties. In addition, the buyer deficiency fee of $23.8 million recognized in 2022 was lower than the buyer deficiency fee and Shortfall of $110.3 million recognized in 2021. The higher average sales prices in 2022 contributed to a 20.3% increase in net sales compared to 2021. The higher sales volumes during 2022 contributed to an increase in net sales of 21.8% for the year ended December 31, 2022 compared to the year ended December 31, 2021. The increase in sales volume during 2022 was primarily due to higher production resulting in increased co-products sales volumes as well as higher ethylene sales volumes to Westlake.</w:t>
      </w:r>
    </w:p>
    <w:p>
      <w:pPr>
        <w:spacing w:after="0" w:line="118" w:lineRule="exact"/>
        <w:rPr>
          <w:sz w:val="20"/>
          <w:szCs w:val="20"/>
          <w:color w:val="auto"/>
        </w:rPr>
      </w:pPr>
    </w:p>
    <w:p>
      <w:pPr>
        <w:jc w:val="both"/>
        <w:ind w:right="120" w:firstLine="395"/>
        <w:spacing w:after="0" w:line="299" w:lineRule="auto"/>
        <w:rPr>
          <w:sz w:val="20"/>
          <w:szCs w:val="20"/>
          <w:color w:val="auto"/>
        </w:rPr>
      </w:pPr>
      <w:r>
        <w:rPr>
          <w:rFonts w:ascii="Arial" w:cs="Arial" w:eastAsia="Arial" w:hAnsi="Arial"/>
          <w:sz w:val="16"/>
          <w:szCs w:val="16"/>
          <w:i w:val="1"/>
          <w:iCs w:val="1"/>
          <w:color w:val="auto"/>
        </w:rPr>
        <w:t>Gross Profit</w:t>
      </w:r>
      <w:r>
        <w:rPr>
          <w:rFonts w:ascii="Arial" w:cs="Arial" w:eastAsia="Arial" w:hAnsi="Arial"/>
          <w:sz w:val="16"/>
          <w:szCs w:val="16"/>
          <w:color w:val="auto"/>
        </w:rPr>
        <w:t>. Gross profit was $377.4 million in 2022, as compared to gross profit of $441.7 million in 2021. The gross profit margin was 23.7% in 2022</w:t>
      </w:r>
      <w:r>
        <w:rPr>
          <w:rFonts w:ascii="Arial" w:cs="Arial" w:eastAsia="Arial" w:hAnsi="Arial"/>
          <w:sz w:val="16"/>
          <w:szCs w:val="16"/>
          <w:i w:val="1"/>
          <w:iCs w:val="1"/>
          <w:color w:val="auto"/>
        </w:rPr>
        <w:t xml:space="preserve"> </w:t>
      </w:r>
      <w:r>
        <w:rPr>
          <w:rFonts w:ascii="Arial" w:cs="Arial" w:eastAsia="Arial" w:hAnsi="Arial"/>
          <w:sz w:val="16"/>
          <w:szCs w:val="16"/>
          <w:color w:val="auto"/>
        </w:rPr>
        <w:t>as compared to 36.4% in 2021. The decreased gross profit margin in 2022 was primarily due to increased ethane feedstock costs and natural gas prices, lower third party ethylene sales prices and the larger buyer deficiency fee and Shortfall recognized during 2021.</w:t>
      </w:r>
    </w:p>
    <w:p>
      <w:pPr>
        <w:spacing w:after="0" w:line="102" w:lineRule="exact"/>
        <w:rPr>
          <w:sz w:val="20"/>
          <w:szCs w:val="20"/>
          <w:color w:val="auto"/>
        </w:rPr>
      </w:pPr>
    </w:p>
    <w:p>
      <w:pPr>
        <w:jc w:val="both"/>
        <w:ind w:right="120" w:firstLine="395"/>
        <w:spacing w:after="0" w:line="324" w:lineRule="auto"/>
        <w:rPr>
          <w:sz w:val="20"/>
          <w:szCs w:val="20"/>
          <w:color w:val="auto"/>
        </w:rPr>
      </w:pPr>
      <w:r>
        <w:rPr>
          <w:rFonts w:ascii="Arial" w:cs="Arial" w:eastAsia="Arial" w:hAnsi="Arial"/>
          <w:sz w:val="16"/>
          <w:szCs w:val="16"/>
          <w:i w:val="1"/>
          <w:iCs w:val="1"/>
          <w:color w:val="auto"/>
        </w:rPr>
        <w:t>Selling, General and Administrative Expenses</w:t>
      </w:r>
      <w:r>
        <w:rPr>
          <w:rFonts w:ascii="Arial" w:cs="Arial" w:eastAsia="Arial" w:hAnsi="Arial"/>
          <w:sz w:val="16"/>
          <w:szCs w:val="16"/>
          <w:color w:val="auto"/>
        </w:rPr>
        <w:t>. Selling, general and administrative expenses decreased by $1.3 million, or 4.2%, to $29.7 million in 2022</w:t>
      </w:r>
      <w:r>
        <w:rPr>
          <w:rFonts w:ascii="Arial" w:cs="Arial" w:eastAsia="Arial" w:hAnsi="Arial"/>
          <w:sz w:val="16"/>
          <w:szCs w:val="16"/>
          <w:i w:val="1"/>
          <w:iCs w:val="1"/>
          <w:color w:val="auto"/>
        </w:rPr>
        <w:t xml:space="preserve"> </w:t>
      </w:r>
      <w:r>
        <w:rPr>
          <w:rFonts w:ascii="Arial" w:cs="Arial" w:eastAsia="Arial" w:hAnsi="Arial"/>
          <w:sz w:val="16"/>
          <w:szCs w:val="16"/>
          <w:color w:val="auto"/>
        </w:rPr>
        <w:t>from $31.0 million in 2021. The decrease in 2022, as compared to 2021, was mainly attributable to lower service costs.</w:t>
      </w:r>
    </w:p>
    <w:p>
      <w:pPr>
        <w:spacing w:after="0" w:line="82" w:lineRule="exact"/>
        <w:rPr>
          <w:sz w:val="20"/>
          <w:szCs w:val="20"/>
          <w:color w:val="auto"/>
        </w:rPr>
      </w:pPr>
    </w:p>
    <w:p>
      <w:pPr>
        <w:jc w:val="both"/>
        <w:ind w:right="40" w:firstLine="395"/>
        <w:spacing w:after="0" w:line="261" w:lineRule="auto"/>
        <w:rPr>
          <w:sz w:val="20"/>
          <w:szCs w:val="20"/>
          <w:color w:val="auto"/>
        </w:rPr>
      </w:pPr>
      <w:r>
        <w:rPr>
          <w:rFonts w:ascii="Arial" w:cs="Arial" w:eastAsia="Arial" w:hAnsi="Arial"/>
          <w:sz w:val="18"/>
          <w:szCs w:val="18"/>
          <w:i w:val="1"/>
          <w:iCs w:val="1"/>
          <w:color w:val="auto"/>
        </w:rPr>
        <w:t>Interest Expense—Westlake</w:t>
      </w:r>
      <w:r>
        <w:rPr>
          <w:rFonts w:ascii="Arial" w:cs="Arial" w:eastAsia="Arial" w:hAnsi="Arial"/>
          <w:sz w:val="18"/>
          <w:szCs w:val="18"/>
          <w:color w:val="auto"/>
        </w:rPr>
        <w:t>. Interest expense increased by $4.6 million to $13.4 million in 2022 from $8.8 million in 2021, largely due to a higher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rate on debt owed to Westlake.</w:t>
      </w:r>
    </w:p>
    <w:p>
      <w:pPr>
        <w:spacing w:after="0" w:line="129" w:lineRule="exact"/>
        <w:rPr>
          <w:sz w:val="20"/>
          <w:szCs w:val="20"/>
          <w:color w:val="auto"/>
        </w:rPr>
      </w:pPr>
    </w:p>
    <w:p>
      <w:pPr>
        <w:ind w:right="100" w:firstLine="395"/>
        <w:spacing w:after="0" w:line="261" w:lineRule="auto"/>
        <w:rPr>
          <w:sz w:val="20"/>
          <w:szCs w:val="20"/>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Other income, net increased by $1.5 million to $1.6 million in 2022 from $0.1 million in 2021, primarily due to an increase in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earned under the Investment Management Agreement.</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Provision for income taxes was $1.0 million in 2022 as compared to $0.5 million in 2021.</w:t>
      </w:r>
    </w:p>
    <w:p>
      <w:pPr>
        <w:spacing w:after="0" w:line="161" w:lineRule="exact"/>
        <w:rPr>
          <w:sz w:val="20"/>
          <w:szCs w:val="20"/>
          <w:color w:val="auto"/>
        </w:rPr>
      </w:pPr>
    </w:p>
    <w:p>
      <w:pPr>
        <w:jc w:val="both"/>
        <w:ind w:right="40" w:firstLine="395"/>
        <w:spacing w:after="0" w:line="252" w:lineRule="auto"/>
        <w:rPr>
          <w:sz w:val="20"/>
          <w:szCs w:val="20"/>
          <w:color w:val="auto"/>
        </w:rPr>
      </w:pPr>
      <w:r>
        <w:rPr>
          <w:rFonts w:ascii="Arial" w:cs="Arial" w:eastAsia="Arial" w:hAnsi="Arial"/>
          <w:sz w:val="18"/>
          <w:szCs w:val="18"/>
          <w:i w:val="1"/>
          <w:iCs w:val="1"/>
          <w:color w:val="auto"/>
        </w:rPr>
        <w:t xml:space="preserve">MLP Distributable Cash Flow. </w:t>
      </w:r>
      <w:r>
        <w:rPr>
          <w:rFonts w:ascii="Arial" w:cs="Arial" w:eastAsia="Arial" w:hAnsi="Arial"/>
          <w:sz w:val="18"/>
          <w:szCs w:val="18"/>
          <w:color w:val="auto"/>
        </w:rPr>
        <w:t>MLP distributable cash flow increased by $5.8 million to $75.9 million in 2022 from $70.1 million in 2021. The increase</w:t>
      </w:r>
      <w:r>
        <w:rPr>
          <w:rFonts w:ascii="Arial" w:cs="Arial" w:eastAsia="Arial" w:hAnsi="Arial"/>
          <w:sz w:val="18"/>
          <w:szCs w:val="18"/>
          <w:i w:val="1"/>
          <w:iCs w:val="1"/>
          <w:color w:val="auto"/>
        </w:rPr>
        <w:t xml:space="preserve"> </w:t>
      </w:r>
      <w:r>
        <w:rPr>
          <w:rFonts w:ascii="Arial" w:cs="Arial" w:eastAsia="Arial" w:hAnsi="Arial"/>
          <w:sz w:val="18"/>
          <w:szCs w:val="18"/>
          <w:color w:val="auto"/>
        </w:rPr>
        <w:t>in MLP distributable cash flow was primarily a result of decreased turnaround reserves and maintenance capital expenditures, partially offset by lower earnings at OpCo.</w:t>
      </w:r>
    </w:p>
    <w:p>
      <w:pPr>
        <w:spacing w:after="0" w:line="138" w:lineRule="exact"/>
        <w:rPr>
          <w:sz w:val="20"/>
          <w:szCs w:val="20"/>
          <w:color w:val="auto"/>
        </w:rPr>
      </w:pPr>
    </w:p>
    <w:p>
      <w:pPr>
        <w:jc w:val="both"/>
        <w:ind w:right="60" w:firstLine="395"/>
        <w:spacing w:after="0" w:line="299" w:lineRule="auto"/>
        <w:rPr>
          <w:sz w:val="20"/>
          <w:szCs w:val="20"/>
          <w:color w:val="auto"/>
        </w:rPr>
      </w:pPr>
      <w:r>
        <w:rPr>
          <w:rFonts w:ascii="Arial" w:cs="Arial" w:eastAsia="Arial" w:hAnsi="Arial"/>
          <w:sz w:val="16"/>
          <w:szCs w:val="16"/>
          <w:i w:val="1"/>
          <w:iCs w:val="1"/>
          <w:color w:val="auto"/>
        </w:rPr>
        <w:t xml:space="preserve">EBITDA. </w:t>
      </w:r>
      <w:r>
        <w:rPr>
          <w:rFonts w:ascii="Arial" w:cs="Arial" w:eastAsia="Arial" w:hAnsi="Arial"/>
          <w:sz w:val="16"/>
          <w:szCs w:val="16"/>
          <w:color w:val="auto"/>
        </w:rPr>
        <w:t>EBITDA decreased by $49.3 million to $470.3 million in 2022 from EBITDA of $519.6 million in 2021. The decreased EBITDA, as compared</w:t>
      </w:r>
      <w:r>
        <w:rPr>
          <w:rFonts w:ascii="Arial" w:cs="Arial" w:eastAsia="Arial" w:hAnsi="Arial"/>
          <w:sz w:val="16"/>
          <w:szCs w:val="16"/>
          <w:i w:val="1"/>
          <w:iCs w:val="1"/>
          <w:color w:val="auto"/>
        </w:rPr>
        <w:t xml:space="preserve"> </w:t>
      </w:r>
      <w:r>
        <w:rPr>
          <w:rFonts w:ascii="Arial" w:cs="Arial" w:eastAsia="Arial" w:hAnsi="Arial"/>
          <w:sz w:val="16"/>
          <w:szCs w:val="16"/>
          <w:color w:val="auto"/>
        </w:rPr>
        <w:t>to the prior year, was primarily due to increased ethane feedstock costs and natural gas prices, lower ethylene sales prices to third parties, and a decrease in the buyer deficiency fee and Shortfall in 2022 compared to 2021, partially offset by higher ethylene sales to Westlake and higher co-products sales in 2022.</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2021 Compared with 2020</w:t>
      </w:r>
    </w:p>
    <w:p>
      <w:pPr>
        <w:spacing w:after="0" w:line="83" w:lineRule="exact"/>
        <w:rPr>
          <w:sz w:val="20"/>
          <w:szCs w:val="20"/>
          <w:color w:val="auto"/>
        </w:rPr>
      </w:pPr>
    </w:p>
    <w:p>
      <w:pPr>
        <w:ind w:firstLine="395"/>
        <w:spacing w:after="0" w:line="284" w:lineRule="auto"/>
        <w:rPr>
          <w:sz w:val="20"/>
          <w:szCs w:val="20"/>
          <w:color w:val="auto"/>
        </w:rPr>
      </w:pPr>
      <w:r>
        <w:rPr>
          <w:rFonts w:ascii="Arial" w:cs="Arial" w:eastAsia="Arial" w:hAnsi="Arial"/>
          <w:sz w:val="16"/>
          <w:szCs w:val="16"/>
          <w:i w:val="1"/>
          <w:iCs w:val="1"/>
          <w:color w:val="auto"/>
        </w:rPr>
        <w:t>Net Sales</w:t>
      </w:r>
      <w:r>
        <w:rPr>
          <w:rFonts w:ascii="Arial" w:cs="Arial" w:eastAsia="Arial" w:hAnsi="Arial"/>
          <w:sz w:val="16"/>
          <w:szCs w:val="16"/>
          <w:color w:val="auto"/>
        </w:rPr>
        <w:t>. Net sales increased by $248.2 million, or 25.7%, to $1,214.9 million in 2021 from $966.7 million in 2020. The increase in net sales in 2021</w:t>
      </w:r>
      <w:r>
        <w:rPr>
          <w:rFonts w:ascii="Arial" w:cs="Arial" w:eastAsia="Arial" w:hAnsi="Arial"/>
          <w:sz w:val="16"/>
          <w:szCs w:val="16"/>
          <w:i w:val="1"/>
          <w:iCs w:val="1"/>
          <w:color w:val="auto"/>
        </w:rPr>
        <w:t xml:space="preserve"> </w:t>
      </w:r>
      <w:r>
        <w:rPr>
          <w:rFonts w:ascii="Arial" w:cs="Arial" w:eastAsia="Arial" w:hAnsi="Arial"/>
          <w:sz w:val="16"/>
          <w:szCs w:val="16"/>
          <w:color w:val="auto"/>
        </w:rPr>
        <w:t>was primarily due to the higher sales price to third parties and Westlake pursuant to the terms of the Ethylene Sales Agreement and the buyer deficiency fee and Shortfall of $110.3 million recognized in 2021 as compared to $69.6 million in 2020, partially offset by lower production during the year, mainly due to the force majeure events occurring in 2021. The average sales prices in 2021 contributed to a 26.8% increase in net sales, compared to 2020. The lower sales volumes during 2021 contributed to a decrease in net sales of 3.6% for the year ended December 31, 2021 compared to the year ended December 31, 2020. The decrease in sales volume during 2021 was primarily due to OpCo's Petro 2 turnaround and the force majeure events in 2021.</w:t>
      </w:r>
    </w:p>
    <w:p>
      <w:pPr>
        <w:spacing w:after="0" w:line="115" w:lineRule="exact"/>
        <w:rPr>
          <w:sz w:val="20"/>
          <w:szCs w:val="20"/>
          <w:color w:val="auto"/>
        </w:rPr>
      </w:pPr>
    </w:p>
    <w:p>
      <w:pPr>
        <w:ind w:right="100" w:firstLine="395"/>
        <w:spacing w:after="0" w:line="250" w:lineRule="auto"/>
        <w:rPr>
          <w:sz w:val="20"/>
          <w:szCs w:val="20"/>
          <w:color w:val="auto"/>
        </w:rPr>
      </w:pPr>
      <w:r>
        <w:rPr>
          <w:rFonts w:ascii="Arial" w:cs="Arial" w:eastAsia="Arial" w:hAnsi="Arial"/>
          <w:sz w:val="18"/>
          <w:szCs w:val="18"/>
          <w:i w:val="1"/>
          <w:iCs w:val="1"/>
          <w:color w:val="auto"/>
        </w:rPr>
        <w:t>Gross Profit</w:t>
      </w:r>
      <w:r>
        <w:rPr>
          <w:rFonts w:ascii="Arial" w:cs="Arial" w:eastAsia="Arial" w:hAnsi="Arial"/>
          <w:sz w:val="18"/>
          <w:szCs w:val="18"/>
          <w:color w:val="auto"/>
        </w:rPr>
        <w:t>. Gross profit was $441.7 million in 2021, as compared to gross profit of $378.9 million in 2020. The gross profit margin was 36.4% in 2021</w:t>
      </w:r>
      <w:r>
        <w:rPr>
          <w:rFonts w:ascii="Arial" w:cs="Arial" w:eastAsia="Arial" w:hAnsi="Arial"/>
          <w:sz w:val="18"/>
          <w:szCs w:val="18"/>
          <w:i w:val="1"/>
          <w:iCs w:val="1"/>
          <w:color w:val="auto"/>
        </w:rPr>
        <w:t xml:space="preserve"> </w:t>
      </w:r>
      <w:r>
        <w:rPr>
          <w:rFonts w:ascii="Arial" w:cs="Arial" w:eastAsia="Arial" w:hAnsi="Arial"/>
          <w:sz w:val="18"/>
          <w:szCs w:val="18"/>
          <w:color w:val="auto"/>
        </w:rPr>
        <w:t>as compared to 39.2% in 2020. The increase in gross profit was primarily due to the higher sales price for ethylene sold to third parties and an increase in the buyer deficiency fee and Shortfall revenue in 2021 compared to 2020. The decreased 2021 gross profit margin was primarily due to increased feedstock and conversion costs as compared to 2020.</w:t>
      </w:r>
    </w:p>
    <w:p>
      <w:pPr>
        <w:spacing w:after="0" w:line="138" w:lineRule="exact"/>
        <w:rPr>
          <w:sz w:val="20"/>
          <w:szCs w:val="20"/>
          <w:color w:val="auto"/>
        </w:rPr>
      </w:pPr>
    </w:p>
    <w:p>
      <w:pPr>
        <w:ind w:right="40" w:firstLine="395"/>
        <w:spacing w:after="0" w:line="261" w:lineRule="auto"/>
        <w:rPr>
          <w:sz w:val="20"/>
          <w:szCs w:val="20"/>
          <w:color w:val="auto"/>
        </w:rPr>
      </w:pPr>
      <w:r>
        <w:rPr>
          <w:rFonts w:ascii="Arial" w:cs="Arial" w:eastAsia="Arial" w:hAnsi="Arial"/>
          <w:sz w:val="18"/>
          <w:szCs w:val="18"/>
          <w:i w:val="1"/>
          <w:iCs w:val="1"/>
          <w:color w:val="auto"/>
        </w:rPr>
        <w:t>Selling, General and Administrative Expenses</w:t>
      </w:r>
      <w:r>
        <w:rPr>
          <w:rFonts w:ascii="Arial" w:cs="Arial" w:eastAsia="Arial" w:hAnsi="Arial"/>
          <w:sz w:val="18"/>
          <w:szCs w:val="18"/>
          <w:color w:val="auto"/>
        </w:rPr>
        <w:t>. Selling, general and administrative expenses increased by $5.1 million, or 19.7%, to $31.0 million in 2021</w:t>
      </w:r>
      <w:r>
        <w:rPr>
          <w:rFonts w:ascii="Arial" w:cs="Arial" w:eastAsia="Arial" w:hAnsi="Arial"/>
          <w:sz w:val="18"/>
          <w:szCs w:val="18"/>
          <w:i w:val="1"/>
          <w:iCs w:val="1"/>
          <w:color w:val="auto"/>
        </w:rPr>
        <w:t xml:space="preserve"> </w:t>
      </w:r>
      <w:r>
        <w:rPr>
          <w:rFonts w:ascii="Arial" w:cs="Arial" w:eastAsia="Arial" w:hAnsi="Arial"/>
          <w:sz w:val="18"/>
          <w:szCs w:val="18"/>
          <w:color w:val="auto"/>
        </w:rPr>
        <w:t>from $25.9 million in 2020. The increase in 2021, as compared to 2020, was mainly attributable to higher service costs.</w:t>
      </w:r>
    </w:p>
    <w:p>
      <w:pPr>
        <w:spacing w:after="0" w:line="129"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i w:val="1"/>
          <w:iCs w:val="1"/>
          <w:color w:val="auto"/>
        </w:rPr>
        <w:t>Interest Expense—Westlake</w:t>
      </w:r>
      <w:r>
        <w:rPr>
          <w:rFonts w:ascii="Arial" w:cs="Arial" w:eastAsia="Arial" w:hAnsi="Arial"/>
          <w:sz w:val="18"/>
          <w:szCs w:val="18"/>
          <w:color w:val="auto"/>
        </w:rPr>
        <w:t>. Interest expense decreased by $3.2 million to $8.8 million in 2021 from $12.0 million in 2020, largely due to a lower average</w:t>
      </w:r>
      <w:r>
        <w:rPr>
          <w:rFonts w:ascii="Arial" w:cs="Arial" w:eastAsia="Arial" w:hAnsi="Arial"/>
          <w:sz w:val="18"/>
          <w:szCs w:val="18"/>
          <w:i w:val="1"/>
          <w:iCs w:val="1"/>
          <w:color w:val="auto"/>
        </w:rPr>
        <w:t xml:space="preserve"> </w:t>
      </w:r>
      <w:r>
        <w:rPr>
          <w:rFonts w:ascii="Arial" w:cs="Arial" w:eastAsia="Arial" w:hAnsi="Arial"/>
          <w:sz w:val="18"/>
          <w:szCs w:val="18"/>
          <w:color w:val="auto"/>
        </w:rPr>
        <w:t>interest rate on debt owed to Westlake.</w:t>
      </w:r>
    </w:p>
    <w:p>
      <w:pPr>
        <w:spacing w:after="0" w:line="129" w:lineRule="exact"/>
        <w:rPr>
          <w:sz w:val="20"/>
          <w:szCs w:val="20"/>
          <w:color w:val="auto"/>
        </w:rPr>
      </w:pPr>
    </w:p>
    <w:p>
      <w:pPr>
        <w:ind w:right="100" w:firstLine="395"/>
        <w:spacing w:after="0" w:line="261" w:lineRule="auto"/>
        <w:rPr>
          <w:sz w:val="20"/>
          <w:szCs w:val="20"/>
          <w:color w:val="auto"/>
        </w:rPr>
      </w:pPr>
      <w:r>
        <w:rPr>
          <w:rFonts w:ascii="Arial" w:cs="Arial" w:eastAsia="Arial" w:hAnsi="Arial"/>
          <w:sz w:val="18"/>
          <w:szCs w:val="18"/>
          <w:i w:val="1"/>
          <w:iCs w:val="1"/>
          <w:color w:val="auto"/>
        </w:rPr>
        <w:t xml:space="preserve">Other Income, net. </w:t>
      </w:r>
      <w:r>
        <w:rPr>
          <w:rFonts w:ascii="Arial" w:cs="Arial" w:eastAsia="Arial" w:hAnsi="Arial"/>
          <w:sz w:val="18"/>
          <w:szCs w:val="18"/>
          <w:color w:val="auto"/>
        </w:rPr>
        <w:t>Other income, net decreased by $0.6 million to $0.1 million in 2021 from $0.7 million in 2020, primarily due to a decrease in interest</w:t>
      </w:r>
      <w:r>
        <w:rPr>
          <w:rFonts w:ascii="Arial" w:cs="Arial" w:eastAsia="Arial" w:hAnsi="Arial"/>
          <w:sz w:val="18"/>
          <w:szCs w:val="18"/>
          <w:i w:val="1"/>
          <w:iCs w:val="1"/>
          <w:color w:val="auto"/>
        </w:rPr>
        <w:t xml:space="preserve"> </w:t>
      </w:r>
      <w:r>
        <w:rPr>
          <w:rFonts w:ascii="Arial" w:cs="Arial" w:eastAsia="Arial" w:hAnsi="Arial"/>
          <w:sz w:val="18"/>
          <w:szCs w:val="18"/>
          <w:color w:val="auto"/>
        </w:rPr>
        <w:t>income earned under the Investment Management Agreement as a result of lower average interest rates.</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8"/>
          <w:szCs w:val="18"/>
          <w:i w:val="1"/>
          <w:iCs w:val="1"/>
          <w:color w:val="auto"/>
        </w:rPr>
        <w:t xml:space="preserve">Provision for Income Taxes. </w:t>
      </w:r>
      <w:r>
        <w:rPr>
          <w:rFonts w:ascii="Arial" w:cs="Arial" w:eastAsia="Arial" w:hAnsi="Arial"/>
          <w:sz w:val="18"/>
          <w:szCs w:val="18"/>
          <w:color w:val="auto"/>
        </w:rPr>
        <w:t>Provision for income taxes was $0.5 million in 2021 as compared to $0.6 million in 2020.</w:t>
      </w:r>
    </w:p>
    <w:p>
      <w:pPr>
        <w:spacing w:after="0" w:line="161" w:lineRule="exact"/>
        <w:rPr>
          <w:sz w:val="20"/>
          <w:szCs w:val="20"/>
          <w:color w:val="auto"/>
        </w:rPr>
      </w:pPr>
    </w:p>
    <w:p>
      <w:pPr>
        <w:ind w:right="20" w:firstLine="395"/>
        <w:spacing w:after="0" w:line="250" w:lineRule="auto"/>
        <w:rPr>
          <w:sz w:val="20"/>
          <w:szCs w:val="20"/>
          <w:color w:val="auto"/>
        </w:rPr>
      </w:pPr>
      <w:r>
        <w:rPr>
          <w:rFonts w:ascii="Arial" w:cs="Arial" w:eastAsia="Arial" w:hAnsi="Arial"/>
          <w:sz w:val="18"/>
          <w:szCs w:val="18"/>
          <w:i w:val="1"/>
          <w:iCs w:val="1"/>
          <w:color w:val="auto"/>
        </w:rPr>
        <w:t xml:space="preserve">MLP Distributable Cash Flow. </w:t>
      </w:r>
      <w:r>
        <w:rPr>
          <w:rFonts w:ascii="Arial" w:cs="Arial" w:eastAsia="Arial" w:hAnsi="Arial"/>
          <w:sz w:val="18"/>
          <w:szCs w:val="18"/>
          <w:color w:val="auto"/>
        </w:rPr>
        <w:t>MLP distributable cash flow decreased by $1.9 million to $70.1 million in 2021 from $72.0 million in 2020. The decrease</w:t>
      </w:r>
      <w:r>
        <w:rPr>
          <w:rFonts w:ascii="Arial" w:cs="Arial" w:eastAsia="Arial" w:hAnsi="Arial"/>
          <w:sz w:val="18"/>
          <w:szCs w:val="18"/>
          <w:i w:val="1"/>
          <w:iCs w:val="1"/>
          <w:color w:val="auto"/>
        </w:rPr>
        <w:t xml:space="preserve"> </w:t>
      </w:r>
      <w:r>
        <w:rPr>
          <w:rFonts w:ascii="Arial" w:cs="Arial" w:eastAsia="Arial" w:hAnsi="Arial"/>
          <w:sz w:val="18"/>
          <w:szCs w:val="18"/>
          <w:color w:val="auto"/>
        </w:rPr>
        <w:t>in MLP distributable cash flow was primarily a result of lower production, increased turnaround reserves and higher maintenance expense in 2021 compared to 2020, partially offset by the buyer deficiency fee and Shortfall of $110.3 million recognized in 2021 as compared to $69.6 million in 2020 and lower interest expense during the year.</w:t>
      </w:r>
    </w:p>
    <w:p>
      <w:pPr>
        <w:spacing w:after="0" w:line="138" w:lineRule="exact"/>
        <w:rPr>
          <w:sz w:val="20"/>
          <w:szCs w:val="20"/>
          <w:color w:val="auto"/>
        </w:rPr>
      </w:pPr>
    </w:p>
    <w:p>
      <w:pPr>
        <w:jc w:val="both"/>
        <w:ind w:right="60" w:firstLine="395"/>
        <w:spacing w:after="0" w:line="299" w:lineRule="auto"/>
        <w:rPr>
          <w:sz w:val="20"/>
          <w:szCs w:val="20"/>
          <w:color w:val="auto"/>
        </w:rPr>
      </w:pPr>
      <w:r>
        <w:rPr>
          <w:rFonts w:ascii="Arial" w:cs="Arial" w:eastAsia="Arial" w:hAnsi="Arial"/>
          <w:sz w:val="16"/>
          <w:szCs w:val="16"/>
          <w:i w:val="1"/>
          <w:iCs w:val="1"/>
          <w:color w:val="auto"/>
        </w:rPr>
        <w:t xml:space="preserve">EBITDA. </w:t>
      </w:r>
      <w:r>
        <w:rPr>
          <w:rFonts w:ascii="Arial" w:cs="Arial" w:eastAsia="Arial" w:hAnsi="Arial"/>
          <w:sz w:val="16"/>
          <w:szCs w:val="16"/>
          <w:color w:val="auto"/>
        </w:rPr>
        <w:t>EBITDA increased by $62.7 million to $519.6 million in 2021 from 2020 EBITDA of $456.9 million. The increased EBITDA, as compared to</w:t>
      </w:r>
      <w:r>
        <w:rPr>
          <w:rFonts w:ascii="Arial" w:cs="Arial" w:eastAsia="Arial" w:hAnsi="Arial"/>
          <w:sz w:val="16"/>
          <w:szCs w:val="16"/>
          <w:i w:val="1"/>
          <w:iCs w:val="1"/>
          <w:color w:val="auto"/>
        </w:rPr>
        <w:t xml:space="preserve"> </w:t>
      </w:r>
      <w:r>
        <w:rPr>
          <w:rFonts w:ascii="Arial" w:cs="Arial" w:eastAsia="Arial" w:hAnsi="Arial"/>
          <w:sz w:val="16"/>
          <w:szCs w:val="16"/>
          <w:color w:val="auto"/>
        </w:rPr>
        <w:t>the prior year, was primarily due to the buyer deficiency fee and Shortfall of $110.3 million recognized during 2021 compared to the buyer deficiency of $69.6 million recognized in 2020, partially offset by lower sales volumes as a result of lower production and higher feedstock and conversion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83" w:lineRule="exact"/>
        <w:rPr>
          <w:sz w:val="20"/>
          <w:szCs w:val="20"/>
          <w:color w:val="auto"/>
        </w:rPr>
      </w:pPr>
    </w:p>
    <w:p>
      <w:pPr>
        <w:ind w:firstLine="395"/>
        <w:spacing w:after="0" w:line="280" w:lineRule="auto"/>
        <w:rPr>
          <w:sz w:val="20"/>
          <w:szCs w:val="20"/>
          <w:color w:val="auto"/>
        </w:rPr>
      </w:pPr>
      <w:r>
        <w:rPr>
          <w:rFonts w:ascii="Arial" w:cs="Arial" w:eastAsia="Arial" w:hAnsi="Arial"/>
          <w:sz w:val="16"/>
          <w:szCs w:val="16"/>
          <w:color w:val="auto"/>
        </w:rPr>
        <w:t>Operating activities provided cash of $463.7 million in 2022 as compared to cash provided by operating activities of $408.4 million in 2021. The $55.3 million increase in cash flows from operating activities was mainly due to OpCo's Petro 2 facility turnaround activities in 2021, partially offset by a decrease in net income and in cash provided by working capital. Changes in components of working capital, which we define for the purposes of this cash flow discussion as accounts receivable, net—Westlake, accounts receivable, net—third parties, inventories, prepaid expenses and other current assets less accounts payable— Westlake, accounts payable—third parties and accrued and other liabilities, provided cash of $9.5 million in 2022 as compared to $25.6 million of cash provided in 2021, resulting in an unfavorable change of $16.1 million. This change in 2022 as compared to 2021 was primarily due to decreases in accounts payable—third parties and accrued and other liabilities due to the 2022 payment of 2021 accruals related to the Petro 2 turnaround activities that occurred in 2021, as well as increases in accounts receivable—third parties due to higher sales in 2022 resulting from the Petro 2 turnaround in the second half of 2021. These unfavorable changes were partially offset by a favorable change in net accounts receivable—Westlake due to the collections of the 2021 buyer deficiency fee and a significant portion of the 2021 Shortfall during 2022.</w:t>
      </w: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44" w:name="page45"/>
    <w:bookmarkEnd w:id="4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Operating activities provided cash of $408.4 million in 2021 as compared to cash provided by operating activities of $373.4 million in 2020. The $35.0</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million increase in cash flows from operating activities was mainly due to increase in net income and in cash provided by working capital, partially offset by</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OpCo's Petro 2 facility turnaround activities during 2021 as compared to 2020. Changes in components of working capital, which we define for the purposes of</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this cash flow discussion as accounts receivable, net—Westlake, accounts receivable, net—third parties, inventories, prepaid expenses and other current assets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less accounts payable—Westlake, accounts payable—third parties and accrued and other liabilities, provided cash of $25.6 million in 2021 as compared to</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$67.9 million of cash used in 2020, resulting in an overall favorable change of $93.5 million. This change in 2021 as compared to 2020 was due to changes in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receivable due from Westlake resulting from the buyer deficiency fee and Shortfall recognized in 2021 as compared to 2020 and favorable changes in third</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party accounts payable and accrued and other liabilities due to the timing of payments related to the turnaround costs and capital expenditures. These favorable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changes were partially offset by an unfavorable change related to turnaround costs incurred during 2021.</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8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Net cash used for investing activities during 2022 was $12.0 million as compared to net cash used for investing activities of $64.3 million in 2021.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$52.3 million decrease in cash used for investing activities was mainly due to maturities of investments under the Investment Management Agreement in 2022</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as compared to 2021. During 2022, we invested $319.9 million with Westlake, and $362.0 million of such investments matured. Capital expenditures were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$54.1 million in 2022 as compared to $81.2 million in 2021. Capital expenditures in 2022 were lower than in 2021 primarily due to OpCo's Petro 2 turnaround</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in 2021. Remaining capital expenditures during 2022 and 2021 were related to projects to improve production capacity or reduce costs, maintenance and safety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and environmental projects at our facilities.</w:t>
      </w:r>
    </w:p>
    <w:p>
      <w:pPr>
        <w:spacing w:after="0" w:line="150" w:lineRule="exact"/>
        <w:rPr>
          <w:sz w:val="20"/>
          <w:szCs w:val="20"/>
          <w:color w:val="auto"/>
        </w:rPr>
      </w:pPr>
    </w:p>
    <w:p>
      <w:pPr>
        <w:ind w:right="60" w:firstLine="395"/>
        <w:spacing w:after="0" w:line="247" w:lineRule="auto"/>
        <w:rPr>
          <w:sz w:val="20"/>
          <w:szCs w:val="20"/>
          <w:color w:val="auto"/>
        </w:rPr>
      </w:pPr>
      <w:r>
        <w:rPr>
          <w:rFonts w:ascii="Arial" w:cs="Arial" w:eastAsia="Arial" w:hAnsi="Arial"/>
          <w:sz w:val="18"/>
          <w:szCs w:val="18"/>
          <w:color w:val="auto"/>
        </w:rPr>
        <w:t>Net cash used for investing activities during 2021 was $64.3 million as compared to net cash provided by investing activities of $2.0 million in 2020, mainly due to increased additions to property, plant, and equipment, partially offset by maturities of investments under the Investment Management Agreement in 2021, as compared to 2020. During 2021, we invested $276.0 million with Westlake, and $293.0 million of such investments matured. Capital expenditures were $81.2 million in 2021 as compared to $37.0 million in 2020. The higher capital expenditure in 2021 was primarily associated with OpCo's Petro 2 turnaround. Remaining capital expenditures during 2021 and 2020 were related to projects to improve production capacity or reduce costs, maintenance and safety and environmental projects at our facilities.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96" w:lineRule="exact"/>
        <w:rPr>
          <w:sz w:val="20"/>
          <w:szCs w:val="20"/>
          <w:color w:val="auto"/>
        </w:rPr>
      </w:pPr>
    </w:p>
    <w:p>
      <w:pPr>
        <w:ind w:right="20" w:firstLine="395"/>
        <w:spacing w:after="0" w:line="324" w:lineRule="auto"/>
        <w:rPr>
          <w:sz w:val="20"/>
          <w:szCs w:val="20"/>
          <w:color w:val="auto"/>
        </w:rPr>
      </w:pPr>
      <w:r>
        <w:rPr>
          <w:rFonts w:ascii="Arial" w:cs="Arial" w:eastAsia="Arial" w:hAnsi="Arial"/>
          <w:sz w:val="16"/>
          <w:szCs w:val="16"/>
          <w:color w:val="auto"/>
        </w:rPr>
        <w:t>Net cash used for financing activities during 2022 was $404.0 million as compared to net cash used for financing activities of $344.2 million in 2021. The cash outflows during 2022 were related to distributions of $337.6 million to Westlake and of $66.4 million to other unitholders by the Partnership.</w:t>
      </w:r>
    </w:p>
    <w:p>
      <w:pPr>
        <w:spacing w:after="0" w:line="82" w:lineRule="exact"/>
        <w:rPr>
          <w:sz w:val="20"/>
          <w:szCs w:val="20"/>
          <w:color w:val="auto"/>
        </w:rPr>
      </w:pPr>
    </w:p>
    <w:p>
      <w:pPr>
        <w:ind w:right="20" w:firstLine="395"/>
        <w:spacing w:after="0" w:line="299" w:lineRule="auto"/>
        <w:rPr>
          <w:sz w:val="20"/>
          <w:szCs w:val="20"/>
          <w:color w:val="auto"/>
        </w:rPr>
      </w:pPr>
      <w:r>
        <w:rPr>
          <w:rFonts w:ascii="Arial" w:cs="Arial" w:eastAsia="Arial" w:hAnsi="Arial"/>
          <w:sz w:val="16"/>
          <w:szCs w:val="16"/>
          <w:color w:val="auto"/>
        </w:rPr>
        <w:t>Net cash used for financing activities during 2021 was $344.2 million as compared to net cash used for financing activities of $378.2 million in 2020. The cash outflows during 2021 were related to distributions of $277.9 million to Westlake and of $66.4 million to other unitholders by the Partnership. The cash outflows during 2020 were related to distributions of $311.8 million to Westlake and of $66.4 million to other unitholders by the Partnership.</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Financing Arrangements</w:t>
      </w:r>
    </w:p>
    <w:p>
      <w:pPr>
        <w:spacing w:after="0" w:line="96" w:lineRule="exact"/>
        <w:rPr>
          <w:sz w:val="20"/>
          <w:szCs w:val="20"/>
          <w:color w:val="auto"/>
        </w:rPr>
      </w:pPr>
    </w:p>
    <w:p>
      <w:pPr>
        <w:jc w:val="both"/>
        <w:ind w:right="60" w:firstLine="395"/>
        <w:spacing w:after="0" w:line="287" w:lineRule="auto"/>
        <w:rPr>
          <w:sz w:val="20"/>
          <w:szCs w:val="20"/>
          <w:color w:val="auto"/>
        </w:rPr>
      </w:pPr>
      <w:r>
        <w:rPr>
          <w:rFonts w:ascii="Arial" w:cs="Arial" w:eastAsia="Arial" w:hAnsi="Arial"/>
          <w:sz w:val="16"/>
          <w:szCs w:val="16"/>
          <w:color w:val="auto"/>
        </w:rPr>
        <w:t>Pursuant to the terms of the Equity Distribution Agreement, entered in October 2018 and amended in February 2020, among the Partnership and various investment banks, the Partnership may offer and sell the Partnership's common units from time to time to or through the investment banks, as the Partnership's sales agents or as principals, having an aggregate offering amount of up to $50.0 million (the "ATM Program"). The Partnership intends to use the net proceeds of sales of the common units, if any, for general partnership purposes, including the funding of potential drop-downs and other acquisitions. No common units had been issued under the ATM Program as of December 31, 2022.</w:t>
      </w:r>
    </w:p>
    <w:p>
      <w:pPr>
        <w:spacing w:after="0" w:line="111" w:lineRule="exact"/>
        <w:rPr>
          <w:sz w:val="20"/>
          <w:szCs w:val="20"/>
          <w:color w:val="auto"/>
        </w:rPr>
      </w:pPr>
    </w:p>
    <w:p>
      <w:pPr>
        <w:ind w:firstLine="395"/>
        <w:spacing w:after="0" w:line="252" w:lineRule="auto"/>
        <w:rPr>
          <w:sz w:val="20"/>
          <w:szCs w:val="20"/>
          <w:color w:val="auto"/>
        </w:rPr>
      </w:pPr>
      <w:r>
        <w:rPr>
          <w:rFonts w:ascii="Arial" w:cs="Arial" w:eastAsia="Arial" w:hAnsi="Arial"/>
          <w:sz w:val="18"/>
          <w:szCs w:val="18"/>
          <w:color w:val="auto"/>
        </w:rPr>
        <w:t>Based on the terms of our cash distribution policy, we expect that we will distribute to our partners most of the excess cash generated by our operations. To the extent we do not generate sufficient cash flow to fund capital expenditures, we expect to fund them primarily from external sources, including borrowing directly from Westlake, as well as future issuances of equity interests or debt.</w:t>
      </w: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120" w:firstLine="395"/>
        <w:spacing w:after="0" w:line="287" w:lineRule="auto"/>
        <w:rPr>
          <w:sz w:val="20"/>
          <w:szCs w:val="20"/>
          <w:color w:val="auto"/>
        </w:rPr>
      </w:pPr>
      <w:r>
        <w:rPr>
          <w:rFonts w:ascii="Arial" w:cs="Arial" w:eastAsia="Arial" w:hAnsi="Arial"/>
          <w:sz w:val="16"/>
          <w:szCs w:val="16"/>
          <w:color w:val="auto"/>
        </w:rPr>
        <w:t>The Partnership maintains separate bank accounts, but Westlake continues to provide treasury services on our behalf under the Services and Secondment Agreement. Our sources of liquidity include cash generated from operations, the OpCo Revolver, the MLP Revolver and, if necessary and possible under then current market conditions, the issuance of additional equity interests or debt. We believe that cash generated from these sources will be sufficient to meet our short-term working capital requirements and long-term capital expenditure requirements and to make quarterly cash distributions. Westlake may also provide other direct and indirect financing to us from time to time, although it is not obligated to do so.</w:t>
      </w:r>
    </w:p>
    <w:p>
      <w:pPr>
        <w:spacing w:after="0" w:line="111" w:lineRule="exact"/>
        <w:rPr>
          <w:sz w:val="20"/>
          <w:szCs w:val="20"/>
          <w:color w:val="auto"/>
        </w:rPr>
      </w:pPr>
    </w:p>
    <w:p>
      <w:pPr>
        <w:ind w:right="20" w:firstLine="395"/>
        <w:spacing w:after="0" w:line="316" w:lineRule="auto"/>
        <w:rPr>
          <w:sz w:val="20"/>
          <w:szCs w:val="20"/>
          <w:color w:val="auto"/>
        </w:rPr>
      </w:pPr>
      <w:r>
        <w:rPr>
          <w:rFonts w:ascii="Arial" w:cs="Arial" w:eastAsia="Arial" w:hAnsi="Arial"/>
          <w:sz w:val="15"/>
          <w:szCs w:val="15"/>
          <w:color w:val="auto"/>
        </w:rPr>
        <w:t>In order to fund non-annual turnaround expenditures, we cause OpCo to reserve an amount for turnaround costs during each twelve-month period designed to cover future turnaround activities. Each of OpCo's ethylene production facilities requires turnaround maintenance approximately every five years. By reserving additional cash annually, we intend to reduce the variability in OpCo's cash flow. Westlake's purchase price for ethylene purchased under the Ethylene Sales Agreement includes a component (adjusted annually) designed to cover, over the long term, substantially all of OpCo's turnaround expenditures.</w:t>
      </w:r>
    </w:p>
    <w:p>
      <w:pPr>
        <w:spacing w:after="0" w:line="92" w:lineRule="exact"/>
        <w:rPr>
          <w:sz w:val="20"/>
          <w:szCs w:val="20"/>
          <w:color w:val="auto"/>
        </w:rPr>
      </w:pPr>
    </w:p>
    <w:p>
      <w:pPr>
        <w:ind w:right="60" w:firstLine="395"/>
        <w:spacing w:after="0" w:line="252" w:lineRule="auto"/>
        <w:rPr>
          <w:sz w:val="20"/>
          <w:szCs w:val="20"/>
          <w:color w:val="auto"/>
        </w:rPr>
      </w:pPr>
      <w:r>
        <w:rPr>
          <w:rFonts w:ascii="Arial" w:cs="Arial" w:eastAsia="Arial" w:hAnsi="Arial"/>
          <w:sz w:val="18"/>
          <w:szCs w:val="18"/>
          <w:color w:val="auto"/>
        </w:rPr>
        <w:t>Our cash is generated from cash distributions from OpCo. OpCo is a restricted subsidiary under certain indentures governing Westlake's senior notes, and these restrictions limit OpCo's ability to incur additional debt, among other things. Westlake's credit facility and various indentures do not prevent OpCo from making distributions to us.</w:t>
      </w:r>
    </w:p>
    <w:p>
      <w:pPr>
        <w:spacing w:after="0" w:line="138" w:lineRule="exact"/>
        <w:rPr>
          <w:sz w:val="20"/>
          <w:szCs w:val="20"/>
          <w:color w:val="auto"/>
        </w:rPr>
      </w:pPr>
    </w:p>
    <w:p>
      <w:pPr>
        <w:jc w:val="both"/>
        <w:ind w:right="40" w:firstLine="395"/>
        <w:spacing w:after="0" w:line="327" w:lineRule="auto"/>
        <w:rPr>
          <w:sz w:val="20"/>
          <w:szCs w:val="20"/>
          <w:color w:val="auto"/>
        </w:rPr>
      </w:pPr>
      <w:r>
        <w:rPr>
          <w:rFonts w:ascii="Arial" w:cs="Arial" w:eastAsia="Arial" w:hAnsi="Arial"/>
          <w:sz w:val="15"/>
          <w:szCs w:val="15"/>
          <w:color w:val="auto"/>
        </w:rPr>
        <w:t>We, OpCo and Westlake are parties to an Investment Management Agreement that authorizes Westlake to invest the Partnership's and OpCo's excess cash with Westlake for durations of up to a maximum of nine months. Per the terms of the Investment Management Agreement, cash invested with Westlake earns a market return plus five basis points and Westlake provides daily availability of the invested cash to meet any liquidity needs of the Partnership or OpCo.</w:t>
      </w:r>
    </w:p>
    <w:p>
      <w:pPr>
        <w:spacing w:after="0" w:line="84" w:lineRule="exact"/>
        <w:rPr>
          <w:sz w:val="20"/>
          <w:szCs w:val="20"/>
          <w:color w:val="auto"/>
        </w:rPr>
      </w:pPr>
    </w:p>
    <w:p>
      <w:pPr>
        <w:ind w:left="400"/>
        <w:spacing w:after="0"/>
        <w:rPr>
          <w:sz w:val="20"/>
          <w:szCs w:val="20"/>
          <w:color w:val="auto"/>
        </w:rPr>
      </w:pPr>
      <w:r>
        <w:rPr>
          <w:rFonts w:ascii="Arial" w:cs="Arial" w:eastAsia="Arial" w:hAnsi="Arial"/>
          <w:sz w:val="15"/>
          <w:szCs w:val="15"/>
          <w:color w:val="auto"/>
        </w:rPr>
        <w:t>On January 23, 2023, the board of directors of Westlake Chemical Partners GP LLC, our general partner, approved a quarterly distribution of $0.4714 per</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unit payable on February 16, 2023 to unitholders of record on February 2, 2023, which equates to approximately $16.6 million per quarter, or approximately</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color w:val="auto"/>
        </w:rPr>
        <w:t>$66.4 million per year in aggregate, based on the number of common units outstanding on December 31, 2022. We do not have a legal or contractual obligation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to pay distributions on a quarterly basis or any other basis at our minimum quarterly distribution rate or any other rate.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Expenditures</w:t>
      </w:r>
    </w:p>
    <w:p>
      <w:pPr>
        <w:spacing w:after="0" w:line="83" w:lineRule="exact"/>
        <w:rPr>
          <w:sz w:val="20"/>
          <w:szCs w:val="20"/>
          <w:color w:val="auto"/>
        </w:rPr>
      </w:pPr>
    </w:p>
    <w:p>
      <w:pPr>
        <w:jc w:val="both"/>
        <w:ind w:right="100" w:firstLine="395"/>
        <w:spacing w:after="0" w:line="250" w:lineRule="auto"/>
        <w:rPr>
          <w:sz w:val="20"/>
          <w:szCs w:val="20"/>
          <w:color w:val="auto"/>
        </w:rPr>
      </w:pPr>
      <w:r>
        <w:rPr>
          <w:rFonts w:ascii="Arial" w:cs="Arial" w:eastAsia="Arial" w:hAnsi="Arial"/>
          <w:sz w:val="18"/>
          <w:szCs w:val="18"/>
          <w:color w:val="auto"/>
        </w:rPr>
        <w:t>Westlake has historically funded expansion capital expenditures related to Lake Charles Olefins and Calvert City Olefins. No such funding was required by OpCo during 2022, 2021 or 2020. Total capital expenditures for the years ended December 31, 2022, 2021 and 2020 were $54.1 million, $81.2 million, and $37.0 million, respectively. We expect that Westlake will loan additional cash to OpCo to fund its expansion capital expenditures in the future, but Westlake is under no obligation to do so.</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96" w:lineRule="exact"/>
        <w:rPr>
          <w:sz w:val="20"/>
          <w:szCs w:val="20"/>
          <w:color w:val="auto"/>
        </w:rPr>
      </w:pPr>
    </w:p>
    <w:p>
      <w:pPr>
        <w:ind w:right="360" w:firstLine="395"/>
        <w:spacing w:after="0" w:line="362" w:lineRule="auto"/>
        <w:rPr>
          <w:sz w:val="20"/>
          <w:szCs w:val="20"/>
          <w:color w:val="auto"/>
        </w:rPr>
      </w:pPr>
      <w:r>
        <w:rPr>
          <w:rFonts w:ascii="Arial" w:cs="Arial" w:eastAsia="Arial" w:hAnsi="Arial"/>
          <w:sz w:val="15"/>
          <w:szCs w:val="15"/>
          <w:color w:val="auto"/>
        </w:rPr>
        <w:t>As of December 31, 2022, our cash and cash equivalents totaled $64.8 million. In addition, we have cash invested under the Investment Management Agreement and a revolving credit facility with Westlake available to supplement cash on hand, if needed, as described under "Indebtedness" below.</w:t>
      </w:r>
    </w:p>
    <w:p>
      <w:pPr>
        <w:spacing w:after="0" w:line="59" w:lineRule="exact"/>
        <w:rPr>
          <w:sz w:val="20"/>
          <w:szCs w:val="20"/>
          <w:color w:val="auto"/>
        </w:rPr>
      </w:pPr>
    </w:p>
    <w:p>
      <w:pPr>
        <w:ind w:right="20" w:firstLine="395"/>
        <w:spacing w:after="0" w:line="252" w:lineRule="auto"/>
        <w:rPr>
          <w:sz w:val="20"/>
          <w:szCs w:val="20"/>
          <w:color w:val="auto"/>
        </w:rPr>
      </w:pPr>
      <w:r>
        <w:rPr>
          <w:rFonts w:ascii="Arial" w:cs="Arial" w:eastAsia="Arial" w:hAnsi="Arial"/>
          <w:sz w:val="18"/>
          <w:szCs w:val="18"/>
          <w:color w:val="auto"/>
        </w:rPr>
        <w:t>As described above, we, OpCo and Westlake are parties to an Investment Management Agreement that authorizes Westlake to invest the Partnership's and OpCo's excess cash with Westlake for durations of up to a maximum of nine months. The Partnership had $65.0 million of cash invested under the Investment Management Agreement at December 31, 2022.</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OpCo Revolver</w:t>
      </w:r>
    </w:p>
    <w:p>
      <w:pPr>
        <w:spacing w:after="0" w:line="96" w:lineRule="exact"/>
        <w:rPr>
          <w:sz w:val="20"/>
          <w:szCs w:val="20"/>
          <w:color w:val="auto"/>
        </w:rPr>
      </w:pPr>
    </w:p>
    <w:p>
      <w:pPr>
        <w:ind w:firstLine="395"/>
        <w:spacing w:after="0" w:line="281" w:lineRule="auto"/>
        <w:rPr>
          <w:sz w:val="20"/>
          <w:szCs w:val="20"/>
          <w:color w:val="auto"/>
        </w:rPr>
      </w:pPr>
      <w:r>
        <w:rPr>
          <w:rFonts w:ascii="Arial" w:cs="Arial" w:eastAsia="Arial" w:hAnsi="Arial"/>
          <w:sz w:val="16"/>
          <w:szCs w:val="16"/>
          <w:color w:val="auto"/>
        </w:rPr>
        <w:t>In connection with the IPO, OpCo entered into a $600.0 million revolving credit facility with an affiliate of Westlake, as amended in June 2017, September 2018 and July 2022 (the "OpCo Revolver") that may be used to fund growth projects and working capital needs. The OpCo Revolver is scheduled to mature on July 12, 2027. On July 12, 2022, OpCo entered into the Second Amendment (the "OpCo Revolver Amendment") to the OpCo Revolver. The OpCo Revolver Amendment, among other things, extended the maturity date to July 12, 2027 and provided for the replacement of LIBOR with the Secured Overnight Financing Rate, as administered by the Federal Reserve Bank of New York ("SOFR"). Borrowings under the OpCo Revolver now bear interest at a variable rate of either (a) SOFR plus the Applicable Margin plus a 0.10% credit spread adjustment or, if SOFR is no longer available, (b) the Alternate Base Rate plus the Applicable Margin minus 1.0%. The Applicable Margin under the OpCo Revolver is 1.75%. As of December 31, 2022, outstanding borrowings under the OpCo Revolver totaled $22.6 million and bore interest at SOFR plus the Applicable Margin and credit spread adjustment, which is accrued in arrears quarterly.</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MLP Revolver</w:t>
      </w:r>
    </w:p>
    <w:p>
      <w:pPr>
        <w:spacing w:after="0" w:line="83" w:lineRule="exact"/>
        <w:rPr>
          <w:sz w:val="20"/>
          <w:szCs w:val="20"/>
          <w:color w:val="auto"/>
        </w:rPr>
      </w:pPr>
    </w:p>
    <w:p>
      <w:pPr>
        <w:ind w:right="120" w:firstLine="395"/>
        <w:spacing w:after="0" w:line="295" w:lineRule="auto"/>
        <w:rPr>
          <w:sz w:val="20"/>
          <w:szCs w:val="20"/>
          <w:color w:val="auto"/>
        </w:rPr>
      </w:pPr>
      <w:r>
        <w:rPr>
          <w:rFonts w:ascii="Arial" w:cs="Arial" w:eastAsia="Arial" w:hAnsi="Arial"/>
          <w:sz w:val="15"/>
          <w:szCs w:val="15"/>
          <w:color w:val="auto"/>
        </w:rPr>
        <w:t>In 2015, we entered into a senior, unsecured revolving credit agreement with an affiliate of Westlake, as amended in August and November 2017, March 2020 and July 2022 (the "MLP Revolver"). The MLP Revolver has a borrowing capacity of $600.0 million and is scheduled to mature on July 12, 2027. On July 12, 2022, the Partnership entered into the Fourth Amendment (the "MLP Revolver Amendment") to the MLP Revolver. The MLP Revolver Amendment, among other things, extended the maturity date to July 12, 2027 and provided for the replacement of LIBOR with the SOFR as the reference rate. Borrowings under the MLP Revolver now bear interest at a variable rate of either (a) SOFR plus the Applicable Margin plus a 0.10% credit spread adjustment or, if SOFR is no longer available, (b) the Alternate Base Rate plus the Applicable Margin minus 1.0%. The Applicable Margin under the MLP Revolver varies between</w:t>
      </w:r>
    </w:p>
    <w:p>
      <w:pPr>
        <w:spacing w:after="0" w:line="3"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1.75% and 2.75%, depending on the Partnership's Consolidated Leverage Ratio. The MLP Revolver provides that we may pay all or a portion of the interest on any borrowings in kind, in which case any such amounts would be added to the principal amount of the loan. The MLP Revolver requires that we maintain a consolidated leverage ratio of either (1) during any one-year period following certain types of acquisitions (including acquisitions of additional interests in OpCo), 5.50:1.00 or less, or (2) during any other period, 4.50:1.00 or less. The MLP Revolver also contains certain other customary covenants. The repayment of borrowings under the MLP Revolver is subject to acceleration upon the occurrence of an event of default. As of December 31, 2022, the outstanding borrowings under the MLP Revolver totaled $377.1 million and bore interest at SOFR plus the Applicable Margin and credit spread adjustment, which is accrued in arrears quarterly. We intend to use the MLP Revolver to purchase additional limited partnership interests in OpCo in the future, in the event OpCo desires to sell such additional interests to us, for other acquisitions and for general corporate purposes.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96" w:lineRule="exact"/>
        <w:rPr>
          <w:sz w:val="20"/>
          <w:szCs w:val="20"/>
          <w:color w:val="auto"/>
        </w:rPr>
      </w:pPr>
    </w:p>
    <w:p>
      <w:pPr>
        <w:ind w:right="260" w:firstLine="395"/>
        <w:spacing w:after="0" w:line="261" w:lineRule="auto"/>
        <w:rPr>
          <w:sz w:val="20"/>
          <w:szCs w:val="20"/>
          <w:color w:val="auto"/>
        </w:rPr>
      </w:pPr>
      <w:r>
        <w:rPr>
          <w:rFonts w:ascii="Arial" w:cs="Arial" w:eastAsia="Arial" w:hAnsi="Arial"/>
          <w:sz w:val="18"/>
          <w:szCs w:val="18"/>
          <w:color w:val="auto"/>
        </w:rPr>
        <w:t>The Partnership's material cash requirements for contractual obligations and commercial commitments in the near term (next 12 months) and the long-term period (2024 and thereafter) include repayment of long-term debt, interest payments and purchase obligations.</w:t>
      </w:r>
    </w:p>
    <w:p>
      <w:pPr>
        <w:spacing w:after="0" w:line="129" w:lineRule="exact"/>
        <w:rPr>
          <w:sz w:val="20"/>
          <w:szCs w:val="20"/>
          <w:color w:val="auto"/>
        </w:rPr>
      </w:pPr>
    </w:p>
    <w:p>
      <w:pPr>
        <w:ind w:right="220" w:firstLine="395"/>
        <w:spacing w:after="0" w:line="291" w:lineRule="auto"/>
        <w:rPr>
          <w:sz w:val="20"/>
          <w:szCs w:val="20"/>
          <w:color w:val="auto"/>
        </w:rPr>
      </w:pPr>
      <w:r>
        <w:rPr>
          <w:rFonts w:ascii="Arial" w:cs="Arial" w:eastAsia="Arial" w:hAnsi="Arial"/>
          <w:sz w:val="16"/>
          <w:szCs w:val="16"/>
          <w:i w:val="1"/>
          <w:iCs w:val="1"/>
          <w:color w:val="auto"/>
        </w:rPr>
        <w:t xml:space="preserve">Debt Obligations and Interest Payments. </w:t>
      </w:r>
      <w:r>
        <w:rPr>
          <w:rFonts w:ascii="Arial" w:cs="Arial" w:eastAsia="Arial" w:hAnsi="Arial"/>
          <w:sz w:val="16"/>
          <w:szCs w:val="16"/>
          <w:color w:val="auto"/>
        </w:rPr>
        <w:t>As of December 31, 2022, we had $19.2 million of debt related interest expense due within the near term, and</w:t>
      </w:r>
      <w:r>
        <w:rPr>
          <w:rFonts w:ascii="Arial" w:cs="Arial" w:eastAsia="Arial" w:hAnsi="Arial"/>
          <w:sz w:val="16"/>
          <w:szCs w:val="16"/>
          <w:i w:val="1"/>
          <w:iCs w:val="1"/>
          <w:color w:val="auto"/>
        </w:rPr>
        <w:t xml:space="preserve"> </w:t>
      </w:r>
      <w:r>
        <w:rPr>
          <w:rFonts w:ascii="Arial" w:cs="Arial" w:eastAsia="Arial" w:hAnsi="Arial"/>
          <w:sz w:val="16"/>
          <w:szCs w:val="16"/>
          <w:color w:val="auto"/>
        </w:rPr>
        <w:t>debt obligations of $399.7 million and related interest expense of $67.8 million due over the long-term period, respectively. All $399.7 million of our outstanding debt matures in 2027. See Note 8, "Long-Term Debt," in the Notes to Consolidated Financial Statements in "Item 8. Financial Statements and Supplementary Data" for further information on our debt obligations and the expected timing of future principal and interest payments.</w:t>
      </w:r>
    </w:p>
    <w:p>
      <w:pPr>
        <w:spacing w:after="0" w:line="108" w:lineRule="exact"/>
        <w:rPr>
          <w:sz w:val="20"/>
          <w:szCs w:val="20"/>
          <w:color w:val="auto"/>
        </w:rPr>
      </w:pPr>
    </w:p>
    <w:p>
      <w:pPr>
        <w:ind w:right="180" w:firstLine="395"/>
        <w:spacing w:after="0" w:line="248" w:lineRule="auto"/>
        <w:rPr>
          <w:sz w:val="20"/>
          <w:szCs w:val="20"/>
          <w:color w:val="auto"/>
        </w:rPr>
      </w:pPr>
      <w:r>
        <w:rPr>
          <w:rFonts w:ascii="Arial" w:cs="Arial" w:eastAsia="Arial" w:hAnsi="Arial"/>
          <w:sz w:val="18"/>
          <w:szCs w:val="18"/>
          <w:i w:val="1"/>
          <w:iCs w:val="1"/>
          <w:color w:val="auto"/>
        </w:rPr>
        <w:t xml:space="preserve">Purchase Obligations. </w:t>
      </w:r>
      <w:r>
        <w:rPr>
          <w:rFonts w:ascii="Arial" w:cs="Arial" w:eastAsia="Arial" w:hAnsi="Arial"/>
          <w:sz w:val="18"/>
          <w:szCs w:val="18"/>
          <w:color w:val="auto"/>
        </w:rPr>
        <w:t>Purchase obligations include agreements to purchase goods and services that are enforceable and legally binding and that specify</w:t>
      </w:r>
      <w:r>
        <w:rPr>
          <w:rFonts w:ascii="Arial" w:cs="Arial" w:eastAsia="Arial" w:hAnsi="Arial"/>
          <w:sz w:val="18"/>
          <w:szCs w:val="18"/>
          <w:i w:val="1"/>
          <w:iCs w:val="1"/>
          <w:color w:val="auto"/>
        </w:rPr>
        <w:t xml:space="preserve"> </w:t>
      </w:r>
      <w:r>
        <w:rPr>
          <w:rFonts w:ascii="Arial" w:cs="Arial" w:eastAsia="Arial" w:hAnsi="Arial"/>
          <w:sz w:val="18"/>
          <w:szCs w:val="18"/>
          <w:color w:val="auto"/>
        </w:rPr>
        <w:t>all significant terms, including a minimum quantity and price. As of December 31, 2022, we had $27.6 million of enforceable and legally binding purchase commitments due within the near term, and none due over the long-term period. Additionally, we are party to various agreements to purchase goods and services, including the Services and Secondment Agreement, in the ordinary course of our business, as well as various agreements related to our capital projects.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02" w:lineRule="exact"/>
        <w:rPr>
          <w:sz w:val="20"/>
          <w:szCs w:val="20"/>
          <w:color w:val="auto"/>
        </w:rPr>
      </w:pPr>
    </w:p>
    <w:p>
      <w:pPr>
        <w:ind w:right="440" w:firstLine="395"/>
        <w:spacing w:after="0" w:line="291" w:lineRule="auto"/>
        <w:rPr>
          <w:sz w:val="20"/>
          <w:szCs w:val="20"/>
          <w:color w:val="auto"/>
        </w:rPr>
      </w:pPr>
      <w:r>
        <w:rPr>
          <w:rFonts w:ascii="Arial" w:cs="Arial" w:eastAsia="Arial" w:hAnsi="Arial"/>
          <w:sz w:val="16"/>
          <w:szCs w:val="16"/>
          <w:color w:val="auto"/>
        </w:rPr>
        <w:t>Critical accounting policies are those that are important to our financial condition and require management's most difficult, subjective or complex judgments. Different amounts would be reported under different operating conditions or under alternative assumptions. We have evaluated the accounting policies used in the preparation of the accompanying consolidated financial statements and related notes and believe those policies are reasonable and appropriate. Our significant accounting policies are summarized in Note 1 to the consolidated financial statements.</w:t>
      </w:r>
    </w:p>
    <w:p>
      <w:pPr>
        <w:spacing w:after="0" w:line="108" w:lineRule="exact"/>
        <w:rPr>
          <w:sz w:val="20"/>
          <w:szCs w:val="20"/>
          <w:color w:val="auto"/>
        </w:rPr>
      </w:pPr>
    </w:p>
    <w:p>
      <w:pPr>
        <w:ind w:firstLine="395"/>
        <w:spacing w:after="0" w:line="247" w:lineRule="auto"/>
        <w:rPr>
          <w:sz w:val="20"/>
          <w:szCs w:val="20"/>
          <w:color w:val="auto"/>
        </w:rPr>
      </w:pPr>
      <w:r>
        <w:rPr>
          <w:rFonts w:ascii="Arial" w:cs="Arial" w:eastAsia="Arial" w:hAnsi="Arial"/>
          <w:sz w:val="18"/>
          <w:szCs w:val="18"/>
          <w:color w:val="auto"/>
        </w:rPr>
        <w:t>Critical accounting estimates are those estimates made in accordance with GAAP that involve a significant level of estimation uncertainty and have had or are reasonably likely to have a material impact on our financial condition or results of operations. Our more critical accounting estimates include those related to long-lived assets, intangible assets, fair value estimates, goodwill impairment and environmental and legal obligations. Inherent in such estimates are certain key assumptions. We periodically update the estimates used in the preparation of the financial statements based on our latest assessment of the current and projected business and general economic environment. We believe the following to be our most critical accounting estimates required for the preparation of our financial statements.</w:t>
      </w:r>
    </w:p>
    <w:p>
      <w:pPr>
        <w:spacing w:after="0" w:line="143" w:lineRule="exact"/>
        <w:rPr>
          <w:sz w:val="20"/>
          <w:szCs w:val="20"/>
          <w:color w:val="auto"/>
        </w:rPr>
      </w:pPr>
    </w:p>
    <w:p>
      <w:pPr>
        <w:ind w:right="260" w:firstLine="395"/>
        <w:spacing w:after="0" w:line="287" w:lineRule="auto"/>
        <w:rPr>
          <w:sz w:val="20"/>
          <w:szCs w:val="20"/>
          <w:color w:val="auto"/>
        </w:rPr>
      </w:pPr>
      <w:r>
        <w:rPr>
          <w:rFonts w:ascii="Arial" w:cs="Arial" w:eastAsia="Arial" w:hAnsi="Arial"/>
          <w:sz w:val="16"/>
          <w:szCs w:val="16"/>
          <w:i w:val="1"/>
          <w:iCs w:val="1"/>
          <w:color w:val="auto"/>
        </w:rPr>
        <w:t xml:space="preserve">Long-Lived Assets. </w:t>
      </w:r>
      <w:r>
        <w:rPr>
          <w:rFonts w:ascii="Arial" w:cs="Arial" w:eastAsia="Arial" w:hAnsi="Arial"/>
          <w:sz w:val="16"/>
          <w:szCs w:val="16"/>
          <w:color w:val="auto"/>
        </w:rPr>
        <w:t>Key estimates related to long-lived assets include useful lives, recoverability of carrying values and existence of any retirement</w:t>
      </w:r>
      <w:r>
        <w:rPr>
          <w:rFonts w:ascii="Arial" w:cs="Arial" w:eastAsia="Arial" w:hAnsi="Arial"/>
          <w:sz w:val="16"/>
          <w:szCs w:val="16"/>
          <w:i w:val="1"/>
          <w:iCs w:val="1"/>
          <w:color w:val="auto"/>
        </w:rPr>
        <w:t xml:space="preserve"> </w:t>
      </w:r>
      <w:r>
        <w:rPr>
          <w:rFonts w:ascii="Arial" w:cs="Arial" w:eastAsia="Arial" w:hAnsi="Arial"/>
          <w:sz w:val="16"/>
          <w:szCs w:val="16"/>
          <w:color w:val="auto"/>
        </w:rPr>
        <w:t>obligations. Such estimates could be significantly modified. The carrying values of long-lived assets could be impaired by significant changes or projected changes in supply and demand fundamentals (which would have a negative impact on operating rates or margins), new technological developments, new competitors with significant raw material or other cost advantages, adverse changes associated with the U.S. and world economies, the cyclical nature of the chemical and refining industries and uncertainties associated with governmental actions.</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40" w:firstLine="395"/>
        <w:spacing w:after="0" w:line="282" w:lineRule="auto"/>
        <w:rPr>
          <w:sz w:val="20"/>
          <w:szCs w:val="20"/>
          <w:color w:val="auto"/>
        </w:rPr>
      </w:pPr>
      <w:r>
        <w:rPr>
          <w:rFonts w:ascii="Arial" w:cs="Arial" w:eastAsia="Arial" w:hAnsi="Arial"/>
          <w:sz w:val="16"/>
          <w:szCs w:val="16"/>
          <w:color w:val="auto"/>
        </w:rPr>
        <w:t>We evaluate long-lived assets for potential impairment indicators whenever events or changes in circumstances indicate that the carrying amount of an asset may not be recoverable, including when negative conditions such as significant current or projected operating losses exist. Our judgments regarding the existence of impairment indicators are based on legal factors, market conditions and the operational performance of our businesses. Actual impairment losses incurred could vary significantly from amounts estimated. Long-lived assets assessed for impairment are grouped at the lowest level for which identifiable cash flows are largely independent of the cash flows of other assets and liabilities. Additionally, future events could cause us to conclude that impairment indicators exist and that associated long-lived assets of our businesses are impaired. Any resulting impairment loss could have a material adverse impact on our financial condition and results of operations.</w:t>
      </w:r>
    </w:p>
    <w:p>
      <w:pPr>
        <w:spacing w:after="0" w:line="118" w:lineRule="exact"/>
        <w:rPr>
          <w:sz w:val="20"/>
          <w:szCs w:val="20"/>
          <w:color w:val="auto"/>
        </w:rPr>
      </w:pPr>
    </w:p>
    <w:p>
      <w:pPr>
        <w:ind w:right="160" w:firstLine="395"/>
        <w:spacing w:after="0" w:line="250" w:lineRule="auto"/>
        <w:rPr>
          <w:sz w:val="20"/>
          <w:szCs w:val="20"/>
          <w:color w:val="auto"/>
        </w:rPr>
      </w:pPr>
      <w:r>
        <w:rPr>
          <w:rFonts w:ascii="Arial" w:cs="Arial" w:eastAsia="Arial" w:hAnsi="Arial"/>
          <w:sz w:val="18"/>
          <w:szCs w:val="18"/>
          <w:color w:val="auto"/>
        </w:rPr>
        <w:t>The estimated useful lives of long-lived assets range from three to 40 years. Depreciation and amortization of these assets, including amortization of deferred turnaround costs, under the straight-line method over their estimated useful lives totaled $121.1 million, $108.8 million and $103.2 million in 2022, 2021 and 2020, respectively. If the useful lives of the assets were found to be shorter than originally estimated, depreciation or amortization charges would be accelerated.</w:t>
      </w:r>
    </w:p>
    <w:p>
      <w:pPr>
        <w:spacing w:after="0" w:line="138" w:lineRule="exact"/>
        <w:rPr>
          <w:sz w:val="20"/>
          <w:szCs w:val="20"/>
          <w:color w:val="auto"/>
        </w:rPr>
      </w:pPr>
    </w:p>
    <w:p>
      <w:pPr>
        <w:ind w:firstLine="395"/>
        <w:spacing w:after="0" w:line="287" w:lineRule="auto"/>
        <w:rPr>
          <w:sz w:val="20"/>
          <w:szCs w:val="20"/>
          <w:color w:val="auto"/>
        </w:rPr>
      </w:pPr>
      <w:r>
        <w:rPr>
          <w:rFonts w:ascii="Arial" w:cs="Arial" w:eastAsia="Arial" w:hAnsi="Arial"/>
          <w:sz w:val="16"/>
          <w:szCs w:val="16"/>
          <w:color w:val="auto"/>
        </w:rPr>
        <w:t>We defer the costs of planned major maintenance activities, or turnarounds, and amortize the costs over the period until the next planned turnaround of the affected unit. Total costs deferred on turnarounds were $6.7 million, $131.2 million and $3.7 million in 2022, 2021 and 2020, respectively. Amortization in 2022, 2021 and 2020 of previously deferred turnaround costs was $26.0 million, $16.5 million and $11.8 million, respectively. As of December 31, 2022, deferred turnaround costs, net of accumulated amortization, totaled $127.6 million. Expensing turnaround costs as incurred would likely result in greater variability of our quarterly operating results and would adversely affect our financial position and results of operations.</w:t>
      </w:r>
    </w:p>
    <w:p>
      <w:pPr>
        <w:spacing w:after="0" w:line="111" w:lineRule="exact"/>
        <w:rPr>
          <w:sz w:val="20"/>
          <w:szCs w:val="20"/>
          <w:color w:val="auto"/>
        </w:rPr>
      </w:pPr>
    </w:p>
    <w:p>
      <w:pPr>
        <w:ind w:right="520" w:firstLine="395"/>
        <w:spacing w:after="0" w:line="261" w:lineRule="auto"/>
        <w:rPr>
          <w:sz w:val="20"/>
          <w:szCs w:val="20"/>
          <w:color w:val="auto"/>
        </w:rPr>
      </w:pPr>
      <w:r>
        <w:rPr>
          <w:rFonts w:ascii="Arial" w:cs="Arial" w:eastAsia="Arial" w:hAnsi="Arial"/>
          <w:sz w:val="18"/>
          <w:szCs w:val="18"/>
          <w:color w:val="auto"/>
        </w:rPr>
        <w:t>Additional information concerning long-lived assets and related depreciation and amortization appears in Notes 5 and 7 to the audited consolidated financial statements included within this report.</w:t>
      </w:r>
    </w:p>
    <w:p>
      <w:pPr>
        <w:spacing w:after="0" w:line="129" w:lineRule="exact"/>
        <w:rPr>
          <w:sz w:val="20"/>
          <w:szCs w:val="20"/>
          <w:color w:val="auto"/>
        </w:rPr>
      </w:pPr>
    </w:p>
    <w:p>
      <w:pPr>
        <w:ind w:right="40" w:firstLine="395"/>
        <w:spacing w:after="0" w:line="284" w:lineRule="auto"/>
        <w:rPr>
          <w:sz w:val="20"/>
          <w:szCs w:val="20"/>
          <w:color w:val="auto"/>
        </w:rPr>
      </w:pPr>
      <w:r>
        <w:rPr>
          <w:rFonts w:ascii="Arial" w:cs="Arial" w:eastAsia="Arial" w:hAnsi="Arial"/>
          <w:sz w:val="16"/>
          <w:szCs w:val="16"/>
          <w:i w:val="1"/>
          <w:iCs w:val="1"/>
          <w:color w:val="auto"/>
        </w:rPr>
        <w:t xml:space="preserve">Fair Value Estimates. </w:t>
      </w:r>
      <w:r>
        <w:rPr>
          <w:rFonts w:ascii="Arial" w:cs="Arial" w:eastAsia="Arial" w:hAnsi="Arial"/>
          <w:sz w:val="16"/>
          <w:szCs w:val="16"/>
          <w:color w:val="auto"/>
        </w:rPr>
        <w:t>We develop estimates of fair value to allocate the purchase price paid to acquire a business to the assets acquired and liabilities</w:t>
      </w:r>
      <w:r>
        <w:rPr>
          <w:rFonts w:ascii="Arial" w:cs="Arial" w:eastAsia="Arial" w:hAnsi="Arial"/>
          <w:sz w:val="16"/>
          <w:szCs w:val="16"/>
          <w:i w:val="1"/>
          <w:iCs w:val="1"/>
          <w:color w:val="auto"/>
        </w:rPr>
        <w:t xml:space="preserve"> </w:t>
      </w:r>
      <w:r>
        <w:rPr>
          <w:rFonts w:ascii="Arial" w:cs="Arial" w:eastAsia="Arial" w:hAnsi="Arial"/>
          <w:sz w:val="16"/>
          <w:szCs w:val="16"/>
          <w:color w:val="auto"/>
        </w:rPr>
        <w:t>assumed in an acquisition, to assess impairment of long-lived assets and goodwill and to record derivative instruments. We use all available information to make these fair value determinations, including the engagement of third-party consultants. We record all derivative instruments at fair value. The fair value of the financial instruments is estimated using quoted market prices in active markets and observable market-based inputs or unobservable inputs that are corroborated by market data when active markets are not available or unobservable inputs that are not corroborated by market data. We settled all derivatives in 2020 and did not enter into any new derivative arrangements during 2021 or 2022; however, we may enter into derivative arrangements in the future.</w:t>
      </w:r>
    </w:p>
    <w:p>
      <w:pPr>
        <w:spacing w:after="0" w:line="115" w:lineRule="exact"/>
        <w:rPr>
          <w:sz w:val="20"/>
          <w:szCs w:val="20"/>
          <w:color w:val="auto"/>
        </w:rPr>
      </w:pPr>
    </w:p>
    <w:p>
      <w:pPr>
        <w:ind w:firstLine="395"/>
        <w:spacing w:after="0" w:line="279" w:lineRule="auto"/>
        <w:rPr>
          <w:sz w:val="20"/>
          <w:szCs w:val="20"/>
          <w:color w:val="auto"/>
        </w:rPr>
      </w:pPr>
      <w:r>
        <w:rPr>
          <w:rFonts w:ascii="Arial" w:cs="Arial" w:eastAsia="Arial" w:hAnsi="Arial"/>
          <w:sz w:val="16"/>
          <w:szCs w:val="16"/>
          <w:i w:val="1"/>
          <w:iCs w:val="1"/>
          <w:color w:val="auto"/>
        </w:rPr>
        <w:t xml:space="preserve">Goodwill impairment. </w:t>
      </w:r>
      <w:r>
        <w:rPr>
          <w:rFonts w:ascii="Arial" w:cs="Arial" w:eastAsia="Arial" w:hAnsi="Arial"/>
          <w:sz w:val="16"/>
          <w:szCs w:val="16"/>
          <w:color w:val="auto"/>
        </w:rPr>
        <w:t>Goodwill is evaluated for impairment when events or changes in circumstances indicate the fair value of a reporting unit with</w:t>
      </w:r>
      <w:r>
        <w:rPr>
          <w:rFonts w:ascii="Arial" w:cs="Arial" w:eastAsia="Arial" w:hAnsi="Arial"/>
          <w:sz w:val="16"/>
          <w:szCs w:val="16"/>
          <w:i w:val="1"/>
          <w:iCs w:val="1"/>
          <w:color w:val="auto"/>
        </w:rPr>
        <w:t xml:space="preserve"> </w:t>
      </w:r>
      <w:r>
        <w:rPr>
          <w:rFonts w:ascii="Arial" w:cs="Arial" w:eastAsia="Arial" w:hAnsi="Arial"/>
          <w:sz w:val="16"/>
          <w:szCs w:val="16"/>
          <w:color w:val="auto"/>
        </w:rPr>
        <w:t>goodwill has been reduced below its carrying value, and otherwise at least annually. At December 31, 2022, recorded goodwill was $5.8 million, all of which was associated with the acquisition of the Longview Pipeline as part of the past acquisition of Westlake's Longview production facilities. We perform our annual impairment assessment in the fourth quarter. We may elect to perform an optional qualitative assessment to determine whether a quantitative impairment analysis is required. The qualitative assessment considers factors such as macroeconomic conditions, industry and market considerations, cost factors related to raw materials and labor, current and projected financial performance, changes in management or strategy, and market capitalization. Alternatively, we may unconditionally elect to bypass the qualitative assessment and perform a quantitative goodwill impairment assessment in any period. Significant assumptions used in the discounted cash flow projection impairment assessment for goodwill include future sales volumes based on production capacities. The future cash flows are discounted to present value using a discount rate. The significant assumptions used in determining the fair value of the reporting unit using the market value methodology include the determination of appropriate market comparables and the estimated multiples of EBITDA a willing buyer is likely to pay. We elected to perform the quantitative assessment during 2022, and such assessment did not indicate impairment of the goodwill. Under the discounted cash flow methodology, even if the fair value of OpCo decreased by 10%, the carrying value of OpCo would not exceed its fair value.</w:t>
      </w:r>
    </w:p>
    <w:p>
      <w:pPr>
        <w:spacing w:after="0" w:line="118" w:lineRule="exact"/>
        <w:rPr>
          <w:sz w:val="20"/>
          <w:szCs w:val="20"/>
          <w:color w:val="auto"/>
        </w:rPr>
      </w:pPr>
    </w:p>
    <w:p>
      <w:pPr>
        <w:ind w:right="200" w:firstLine="395"/>
        <w:spacing w:after="0" w:line="287" w:lineRule="auto"/>
        <w:rPr>
          <w:sz w:val="20"/>
          <w:szCs w:val="20"/>
          <w:color w:val="auto"/>
        </w:rPr>
      </w:pPr>
      <w:r>
        <w:rPr>
          <w:rFonts w:ascii="Arial" w:cs="Arial" w:eastAsia="Arial" w:hAnsi="Arial"/>
          <w:sz w:val="16"/>
          <w:szCs w:val="16"/>
          <w:i w:val="1"/>
          <w:iCs w:val="1"/>
          <w:color w:val="auto"/>
        </w:rPr>
        <w:t xml:space="preserve">Environmental and Legal Obligations. </w:t>
      </w:r>
      <w:r>
        <w:rPr>
          <w:rFonts w:ascii="Arial" w:cs="Arial" w:eastAsia="Arial" w:hAnsi="Arial"/>
          <w:sz w:val="16"/>
          <w:szCs w:val="16"/>
          <w:color w:val="auto"/>
        </w:rPr>
        <w:t>We consult with various professionals to assist us in making estimates relating to environmental costs and legal</w:t>
      </w:r>
      <w:r>
        <w:rPr>
          <w:rFonts w:ascii="Arial" w:cs="Arial" w:eastAsia="Arial" w:hAnsi="Arial"/>
          <w:sz w:val="16"/>
          <w:szCs w:val="16"/>
          <w:i w:val="1"/>
          <w:iCs w:val="1"/>
          <w:color w:val="auto"/>
        </w:rPr>
        <w:t xml:space="preserve"> </w:t>
      </w:r>
      <w:r>
        <w:rPr>
          <w:rFonts w:ascii="Arial" w:cs="Arial" w:eastAsia="Arial" w:hAnsi="Arial"/>
          <w:sz w:val="16"/>
          <w:szCs w:val="16"/>
          <w:color w:val="auto"/>
        </w:rPr>
        <w:t>proceedings. We accrue an expense when we determine that it is probable that a liability has been incurred and the amount is reasonably estimable. While we believe that the amounts recorded in the accompanying consolidated financial statements related to these contingencies are based on the best estimates and judgments available, the actual outcomes could differ from our estimates. Additional information about certain legal proceedings and environmental matters appears in "Item 1. Business</w:t>
      </w:r>
      <w:r>
        <w:rPr>
          <w:rFonts w:ascii="Arial" w:cs="Arial" w:eastAsia="Arial" w:hAnsi="Arial"/>
          <w:sz w:val="16"/>
          <w:szCs w:val="16"/>
          <w:i w:val="1"/>
          <w:iCs w:val="1"/>
          <w:color w:val="auto"/>
        </w:rPr>
        <w:t>—</w:t>
      </w:r>
      <w:r>
        <w:rPr>
          <w:rFonts w:ascii="Arial" w:cs="Arial" w:eastAsia="Arial" w:hAnsi="Arial"/>
          <w:sz w:val="16"/>
          <w:szCs w:val="16"/>
          <w:color w:val="auto"/>
        </w:rPr>
        <w:t>Environmental" and in Note 16 to the consolidated financial statements included within this report.</w:t>
      </w: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100" w:firstLine="395"/>
        <w:spacing w:after="0" w:line="248" w:lineRule="auto"/>
        <w:rPr>
          <w:sz w:val="20"/>
          <w:szCs w:val="20"/>
          <w:color w:val="auto"/>
        </w:rPr>
      </w:pPr>
      <w:r>
        <w:rPr>
          <w:rFonts w:ascii="Arial" w:cs="Arial" w:eastAsia="Arial" w:hAnsi="Arial"/>
          <w:sz w:val="18"/>
          <w:szCs w:val="18"/>
          <w:color w:val="auto"/>
        </w:rPr>
        <w:t>The Partnership has conditional asset retirement obligations for the removal and disposal of hazardous materials and the remediation of the cause of any such release from certain of the Partnership's manufacturing facilities. However, no asset retirement obligations have been recognized because the fair value of the conditional legal obligation cannot be measured due to the indeterminate settlement date of the obligation. Settlement of these conditional asset retirement obligations is not expected to have a material adverse effect on the Partnership's financial condition, results of operations or cash flows in any individual reporting period.</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7A. Quantitative and Qualitative Disclosures about Market Risk</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96" w:lineRule="exact"/>
        <w:rPr>
          <w:sz w:val="20"/>
          <w:szCs w:val="20"/>
          <w:color w:val="auto"/>
        </w:rPr>
      </w:pPr>
    </w:p>
    <w:p>
      <w:pPr>
        <w:ind w:right="40" w:firstLine="395"/>
        <w:spacing w:after="0" w:line="284" w:lineRule="auto"/>
        <w:rPr>
          <w:sz w:val="20"/>
          <w:szCs w:val="20"/>
          <w:color w:val="auto"/>
        </w:rPr>
      </w:pPr>
      <w:r>
        <w:rPr>
          <w:rFonts w:ascii="Arial" w:cs="Arial" w:eastAsia="Arial" w:hAnsi="Arial"/>
          <w:sz w:val="16"/>
          <w:szCs w:val="16"/>
          <w:color w:val="auto"/>
        </w:rPr>
        <w:t>A substantial portion of the Partnership's products and raw materials are commodities whose prices fluctuate as market supply and demand fundamentals change. However, our direct exposure to commodity price risk is limited to approximately 5% of our total ethylene production, which is the portion sold to third parties. We believe we have substantially mitigated our indirect exposure to commodity price fluctuation during the term of the Ethylene Sales Agreement through the minimum purchase commitment and the cost-plus based pricing. Additionally, we may use derivative instruments to reduce price volatility risk on feedstocks and ethylene associated with the production and sales to third parties. All derivative positions were settled as of December 31, 2020 and we did not enter into any new derivative contracts during 2021 or 2022.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83" w:lineRule="exact"/>
        <w:rPr>
          <w:sz w:val="20"/>
          <w:szCs w:val="20"/>
          <w:color w:val="auto"/>
        </w:rPr>
      </w:pPr>
    </w:p>
    <w:p>
      <w:pPr>
        <w:ind w:firstLine="395"/>
        <w:spacing w:after="0" w:line="278" w:lineRule="auto"/>
        <w:rPr>
          <w:sz w:val="20"/>
          <w:szCs w:val="20"/>
          <w:color w:val="auto"/>
        </w:rPr>
      </w:pPr>
      <w:r>
        <w:rPr>
          <w:rFonts w:ascii="Arial" w:cs="Arial" w:eastAsia="Arial" w:hAnsi="Arial"/>
          <w:sz w:val="16"/>
          <w:szCs w:val="16"/>
          <w:color w:val="auto"/>
        </w:rPr>
        <w:t>We are exposed to interest rate risk with respect to our outstanding debt, all of which is variable rate debt. As of December 31, 2022, we had variable rate debt of $399.7 million outstanding, all of which was owed to wholly-owned subsidiaries of Westlake. On July 12, 2022, OpCo entered into the OpCo Revolver Amendment. The OpCo Revolver Amendment, among other things, provided for the replacement of LIBOR with SOFR as the reference rate. Borrowings under the OpCo Revolver now bear interest at a variable rate of either (a) SOFR plus the Applicable Margin plus a 0.10% credit spread adjustment or, if SOFR is no longer available, (b) the Alternate Base Rate plus the Applicable Margin minus 1.0%. The Applicable Margin under the OpCo Revolver is 1.75%. On July 12, 2022, the Partnership entered into the MLP Revolver Amendment. The MLP Revolver Amendment, among other things, provided for the replacement of LIBOR with SOFR as the reference rate. Borrowings under the MLP Revolver now bear interest at a variable rate of either (a) SOFR plus the Applicable Margin plus a 0.10% credit spread adjustment or, if SOFR is no longer available, (b) the Alternate Base Rate plus the Applicable Margin minus 1.0%. The Applicable Margin under the MLP Revolver varies between 1.75% and 2.75%, depending on the Partnership's Consolidated Leverage Ratio. The weighted average variable interest rate of our debt as of December 31, 2022 was 4.8%. We will continue to be subject to interest rate risk with respect to our variable rate debt as well as the risk of higher interest cost if and when this debt is refinanced. A hypothetical increase in our average interest rate on variable rate debt by 100 basis points would increase our annual interest expense by approximately $4.0 million, of which $3.8 million would relate to the MLP Revolver and $0.2 million would relate to the OpCo Revolver based on the December 31, 2022 debt balance.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161" w:lineRule="exact"/>
        <w:rPr>
          <w:sz w:val="20"/>
          <w:szCs w:val="20"/>
          <w:color w:val="auto"/>
        </w:rPr>
      </w:pPr>
    </w:p>
    <w:p>
      <w:pPr>
        <w:ind w:left="400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313"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10100" w:type="dxa"/>
            <w:vAlign w:val="bottom"/>
          </w:tcPr>
          <w:p>
            <w:pPr>
              <w:spacing w:after="0"/>
              <w:rPr>
                <w:sz w:val="15"/>
                <w:szCs w:val="15"/>
                <w:color w:val="auto"/>
              </w:rPr>
            </w:pPr>
          </w:p>
        </w:tc>
        <w:tc>
          <w:tcPr>
            <w:tcW w:w="1100" w:type="dxa"/>
            <w:vAlign w:val="bottom"/>
          </w:tcPr>
          <w:p>
            <w:pPr>
              <w:jc w:val="right"/>
              <w:ind w:right="334"/>
              <w:spacing w:after="0"/>
              <w:rPr>
                <w:sz w:val="20"/>
                <w:szCs w:val="20"/>
                <w:color w:val="auto"/>
              </w:rPr>
            </w:pPr>
            <w:r>
              <w:rPr>
                <w:rFonts w:ascii="Arial" w:cs="Arial" w:eastAsia="Arial" w:hAnsi="Arial"/>
                <w:sz w:val="14"/>
                <w:szCs w:val="14"/>
                <w:b w:val="1"/>
                <w:bCs w:val="1"/>
                <w:color w:val="auto"/>
              </w:rPr>
              <w:t>Page</w:t>
            </w:r>
          </w:p>
        </w:tc>
      </w:tr>
      <w:tr>
        <w:trPr>
          <w:trHeight w:val="24"/>
        </w:trPr>
        <w:tc>
          <w:tcPr>
            <w:tcW w:w="1010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95"/>
        </w:trPr>
        <w:tc>
          <w:tcPr>
            <w:tcW w:w="10100" w:type="dxa"/>
            <w:vAlign w:val="bottom"/>
          </w:tcPr>
          <w:p>
            <w:pPr>
              <w:spacing w:after="0"/>
              <w:rPr>
                <w:sz w:val="20"/>
                <w:szCs w:val="20"/>
                <w:color w:val="auto"/>
              </w:rPr>
            </w:pPr>
            <w:r>
              <w:rPr>
                <w:rFonts w:ascii="Arial" w:cs="Arial" w:eastAsia="Arial" w:hAnsi="Arial"/>
                <w:sz w:val="18"/>
                <w:szCs w:val="18"/>
                <w:color w:val="auto"/>
              </w:rPr>
              <w:t>Management's Report on Internal Control over Financial Reporting</w:t>
            </w:r>
          </w:p>
        </w:tc>
        <w:tc>
          <w:tcPr>
            <w:tcW w:w="11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24"/>
        </w:trPr>
        <w:tc>
          <w:tcPr>
            <w:tcW w:w="10100" w:type="dxa"/>
            <w:vAlign w:val="bottom"/>
          </w:tcPr>
          <w:p>
            <w:pPr>
              <w:spacing w:after="0"/>
              <w:rPr>
                <w:sz w:val="20"/>
                <w:szCs w:val="20"/>
                <w:color w:val="auto"/>
              </w:rPr>
            </w:pPr>
            <w:r>
              <w:rPr>
                <w:rFonts w:ascii="Arial" w:cs="Arial" w:eastAsia="Arial" w:hAnsi="Arial"/>
                <w:sz w:val="18"/>
                <w:szCs w:val="18"/>
                <w:color w:val="auto"/>
              </w:rPr>
              <w:t>Report of Independent Registered Public Accounting Firm (PCAOB ID 238)</w:t>
            </w:r>
          </w:p>
        </w:tc>
        <w:tc>
          <w:tcPr>
            <w:tcW w:w="11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4"/>
        </w:trPr>
        <w:tc>
          <w:tcPr>
            <w:tcW w:w="10100" w:type="dxa"/>
            <w:vAlign w:val="bottom"/>
          </w:tcPr>
          <w:p>
            <w:pPr>
              <w:spacing w:after="0"/>
              <w:rPr>
                <w:sz w:val="20"/>
                <w:szCs w:val="20"/>
                <w:color w:val="auto"/>
              </w:rPr>
            </w:pPr>
            <w:r>
              <w:rPr>
                <w:rFonts w:ascii="Arial" w:cs="Arial" w:eastAsia="Arial" w:hAnsi="Arial"/>
                <w:sz w:val="18"/>
                <w:szCs w:val="18"/>
                <w:color w:val="auto"/>
              </w:rPr>
              <w:t>Consolidated Financial Statements:</w:t>
            </w:r>
          </w:p>
        </w:tc>
        <w:tc>
          <w:tcPr>
            <w:tcW w:w="1100" w:type="dxa"/>
            <w:vAlign w:val="bottom"/>
          </w:tcPr>
          <w:p>
            <w:pPr>
              <w:spacing w:after="0"/>
              <w:rPr>
                <w:sz w:val="19"/>
                <w:szCs w:val="19"/>
                <w:color w:val="auto"/>
              </w:rPr>
            </w:pPr>
          </w:p>
        </w:tc>
      </w:tr>
      <w:tr>
        <w:trPr>
          <w:trHeight w:val="224"/>
        </w:trPr>
        <w:tc>
          <w:tcPr>
            <w:tcW w:w="10100" w:type="dxa"/>
            <w:vAlign w:val="bottom"/>
          </w:tcPr>
          <w:p>
            <w:pPr>
              <w:ind w:left="320"/>
              <w:spacing w:after="0"/>
              <w:rPr>
                <w:sz w:val="20"/>
                <w:szCs w:val="20"/>
                <w:color w:val="auto"/>
              </w:rPr>
            </w:pPr>
            <w:r>
              <w:rPr>
                <w:rFonts w:ascii="Arial" w:cs="Arial" w:eastAsia="Arial" w:hAnsi="Arial"/>
                <w:sz w:val="18"/>
                <w:szCs w:val="18"/>
                <w:color w:val="auto"/>
              </w:rPr>
              <w:t>Consolidated Balance Sheets as of December 31, 2022 and 2021</w:t>
            </w:r>
          </w:p>
        </w:tc>
        <w:tc>
          <w:tcPr>
            <w:tcW w:w="11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24"/>
        </w:trPr>
        <w:tc>
          <w:tcPr>
            <w:tcW w:w="10100" w:type="dxa"/>
            <w:vAlign w:val="bottom"/>
          </w:tcPr>
          <w:p>
            <w:pPr>
              <w:ind w:left="320"/>
              <w:spacing w:after="0"/>
              <w:rPr>
                <w:sz w:val="20"/>
                <w:szCs w:val="20"/>
                <w:color w:val="auto"/>
              </w:rPr>
            </w:pPr>
            <w:r>
              <w:rPr>
                <w:rFonts w:ascii="Arial" w:cs="Arial" w:eastAsia="Arial" w:hAnsi="Arial"/>
                <w:sz w:val="18"/>
                <w:szCs w:val="18"/>
                <w:color w:val="auto"/>
              </w:rPr>
              <w:t>Consolidated Statements of Operations for the Years Ended December 31, 2022, 2021 and 2020</w:t>
            </w:r>
          </w:p>
        </w:tc>
        <w:tc>
          <w:tcPr>
            <w:tcW w:w="11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24"/>
        </w:trPr>
        <w:tc>
          <w:tcPr>
            <w:tcW w:w="10100" w:type="dxa"/>
            <w:vAlign w:val="bottom"/>
          </w:tcPr>
          <w:p>
            <w:pPr>
              <w:ind w:left="320"/>
              <w:spacing w:after="0"/>
              <w:rPr>
                <w:sz w:val="20"/>
                <w:szCs w:val="20"/>
                <w:color w:val="auto"/>
              </w:rPr>
            </w:pPr>
            <w:r>
              <w:rPr>
                <w:rFonts w:ascii="Arial" w:cs="Arial" w:eastAsia="Arial" w:hAnsi="Arial"/>
                <w:sz w:val="18"/>
                <w:szCs w:val="18"/>
                <w:color w:val="auto"/>
              </w:rPr>
              <w:t>Consolidated Statements of Changes in Equity for the Years Ended December 31, 2022, 2021 and 2020</w:t>
            </w:r>
          </w:p>
        </w:tc>
        <w:tc>
          <w:tcPr>
            <w:tcW w:w="11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24"/>
        </w:trPr>
        <w:tc>
          <w:tcPr>
            <w:tcW w:w="10100" w:type="dxa"/>
            <w:vAlign w:val="bottom"/>
          </w:tcPr>
          <w:p>
            <w:pPr>
              <w:ind w:left="320"/>
              <w:spacing w:after="0"/>
              <w:rPr>
                <w:sz w:val="20"/>
                <w:szCs w:val="20"/>
                <w:color w:val="auto"/>
              </w:rPr>
            </w:pPr>
            <w:r>
              <w:rPr>
                <w:rFonts w:ascii="Arial" w:cs="Arial" w:eastAsia="Arial" w:hAnsi="Arial"/>
                <w:sz w:val="18"/>
                <w:szCs w:val="18"/>
                <w:color w:val="auto"/>
              </w:rPr>
              <w:t>Consolidated Statements of Cash Flows for the Years Ended December 31, 2022, 2021 and 2020</w:t>
            </w:r>
          </w:p>
        </w:tc>
        <w:tc>
          <w:tcPr>
            <w:tcW w:w="11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24"/>
        </w:trPr>
        <w:tc>
          <w:tcPr>
            <w:tcW w:w="10100" w:type="dxa"/>
            <w:vAlign w:val="bottom"/>
          </w:tcPr>
          <w:p>
            <w:pPr>
              <w:ind w:left="320"/>
              <w:spacing w:after="0"/>
              <w:rPr>
                <w:sz w:val="20"/>
                <w:szCs w:val="20"/>
                <w:color w:val="auto"/>
              </w:rPr>
            </w:pPr>
            <w:r>
              <w:rPr>
                <w:rFonts w:ascii="Arial" w:cs="Arial" w:eastAsia="Arial" w:hAnsi="Arial"/>
                <w:sz w:val="18"/>
                <w:szCs w:val="18"/>
                <w:color w:val="auto"/>
              </w:rPr>
              <w:t>Notes to Consolidated Financial Statements</w:t>
            </w:r>
          </w:p>
        </w:tc>
        <w:tc>
          <w:tcPr>
            <w:tcW w:w="1100" w:type="dxa"/>
            <w:vAlign w:val="bottom"/>
          </w:tcPr>
          <w:p>
            <w:pPr>
              <w:jc w:val="right"/>
              <w:spacing w:after="0"/>
              <w:rPr>
                <w:sz w:val="20"/>
                <w:szCs w:val="20"/>
                <w:color w:val="auto"/>
              </w:rPr>
            </w:pPr>
            <w:r>
              <w:rPr>
                <w:rFonts w:ascii="Arial" w:cs="Arial" w:eastAsia="Arial" w:hAnsi="Arial"/>
                <w:sz w:val="18"/>
                <w:szCs w:val="18"/>
                <w:color w:val="auto"/>
              </w:rPr>
              <w:t>53</w:t>
            </w:r>
          </w:p>
        </w:tc>
      </w:tr>
    </w:tbl>
    <w:p>
      <w:pPr>
        <w:spacing w:after="0" w:line="172" w:lineRule="exact"/>
        <w:rPr>
          <w:sz w:val="20"/>
          <w:szCs w:val="20"/>
          <w:color w:val="auto"/>
        </w:rPr>
      </w:pPr>
    </w:p>
    <w:p>
      <w:pPr>
        <w:ind w:right="200" w:firstLine="434"/>
        <w:spacing w:after="0" w:line="261" w:lineRule="auto"/>
        <w:rPr>
          <w:sz w:val="20"/>
          <w:szCs w:val="20"/>
          <w:color w:val="auto"/>
        </w:rPr>
      </w:pPr>
      <w:r>
        <w:rPr>
          <w:rFonts w:ascii="Arial" w:cs="Arial" w:eastAsia="Arial" w:hAnsi="Arial"/>
          <w:sz w:val="18"/>
          <w:szCs w:val="18"/>
          <w:color w:val="auto"/>
        </w:rPr>
        <w:t>Financial statement schedules not included in this Form 10-K have been omitted because they are not applicable or because the required information is shown in the consolidated financial statements or notes thereto.</w:t>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0" w:name="page51"/>
    <w:bookmarkEnd w:id="5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60" w:lineRule="exact"/>
        <w:rPr>
          <w:sz w:val="20"/>
          <w:szCs w:val="20"/>
          <w:color w:val="auto"/>
        </w:rPr>
      </w:pPr>
    </w:p>
    <w:p>
      <w:pPr>
        <w:ind w:firstLine="395"/>
        <w:spacing w:after="0" w:line="299" w:lineRule="auto"/>
        <w:rPr>
          <w:sz w:val="20"/>
          <w:szCs w:val="20"/>
          <w:color w:val="auto"/>
        </w:rPr>
      </w:pPr>
      <w:r>
        <w:rPr>
          <w:rFonts w:ascii="Arial" w:cs="Arial" w:eastAsia="Arial" w:hAnsi="Arial"/>
          <w:sz w:val="16"/>
          <w:szCs w:val="16"/>
          <w:color w:val="auto"/>
        </w:rPr>
        <w:t>The management of Westlake Chemical Partners LP (the "Partnership") is responsible for establishing and maintaining adequate internal control over financial reporting. The Partnership's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02" w:lineRule="exact"/>
        <w:rPr>
          <w:sz w:val="20"/>
          <w:szCs w:val="20"/>
          <w:color w:val="auto"/>
        </w:rPr>
      </w:pPr>
    </w:p>
    <w:p>
      <w:pPr>
        <w:ind w:right="120" w:firstLine="395"/>
        <w:spacing w:after="0" w:line="291" w:lineRule="auto"/>
        <w:rPr>
          <w:sz w:val="20"/>
          <w:szCs w:val="20"/>
          <w:color w:val="auto"/>
        </w:rPr>
      </w:pPr>
      <w:r>
        <w:rPr>
          <w:rFonts w:ascii="Arial" w:cs="Arial" w:eastAsia="Arial" w:hAnsi="Arial"/>
          <w:sz w:val="16"/>
          <w:szCs w:val="16"/>
          <w:color w:val="auto"/>
        </w:rPr>
        <w:t xml:space="preserve">The management of the Partnership assessed the effectiveness of the Partnership's internal control over financial reporting as of December 31, 2022. In making this assessment, management used the criteria set forth by the Committee of Sponsoring Organizations of the Treadway Commission in </w:t>
      </w:r>
      <w:r>
        <w:rPr>
          <w:rFonts w:ascii="Arial" w:cs="Arial" w:eastAsia="Arial" w:hAnsi="Arial"/>
          <w:sz w:val="16"/>
          <w:szCs w:val="16"/>
          <w:i w:val="1"/>
          <w:iCs w:val="1"/>
          <w:color w:val="auto"/>
        </w:rPr>
        <w:t>Internal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Control—Integrated Framework </w:t>
      </w:r>
      <w:r>
        <w:rPr>
          <w:rFonts w:ascii="Arial" w:cs="Arial" w:eastAsia="Arial" w:hAnsi="Arial"/>
          <w:sz w:val="16"/>
          <w:szCs w:val="16"/>
          <w:color w:val="auto"/>
        </w:rPr>
        <w:t>(2013). Based on its assessment, the Partnership's management has concluded that the Partnership's internal control over</w:t>
      </w:r>
      <w:r>
        <w:rPr>
          <w:rFonts w:ascii="Arial" w:cs="Arial" w:eastAsia="Arial" w:hAnsi="Arial"/>
          <w:sz w:val="16"/>
          <w:szCs w:val="16"/>
          <w:i w:val="1"/>
          <w:iCs w:val="1"/>
          <w:color w:val="auto"/>
        </w:rPr>
        <w:t xml:space="preserve"> </w:t>
      </w:r>
      <w:r>
        <w:rPr>
          <w:rFonts w:ascii="Arial" w:cs="Arial" w:eastAsia="Arial" w:hAnsi="Arial"/>
          <w:sz w:val="16"/>
          <w:szCs w:val="16"/>
          <w:color w:val="auto"/>
        </w:rPr>
        <w:t>financial reporting was effective as of December 31, 2022 based on those criteria.</w:t>
      </w:r>
    </w:p>
    <w:p>
      <w:pPr>
        <w:spacing w:after="0" w:line="108" w:lineRule="exact"/>
        <w:rPr>
          <w:sz w:val="20"/>
          <w:szCs w:val="20"/>
          <w:color w:val="auto"/>
        </w:rPr>
      </w:pPr>
    </w:p>
    <w:p>
      <w:pPr>
        <w:jc w:val="both"/>
        <w:ind w:right="60" w:firstLine="395"/>
        <w:spacing w:after="0" w:line="252" w:lineRule="auto"/>
        <w:rPr>
          <w:sz w:val="20"/>
          <w:szCs w:val="20"/>
          <w:color w:val="auto"/>
        </w:rPr>
      </w:pPr>
      <w:r>
        <w:rPr>
          <w:rFonts w:ascii="Arial" w:cs="Arial" w:eastAsia="Arial" w:hAnsi="Arial"/>
          <w:sz w:val="18"/>
          <w:szCs w:val="18"/>
          <w:color w:val="auto"/>
        </w:rPr>
        <w:t>PricewaterhouseCoopers LLP, the independent registered public accounting firm that audited the financial statements included in this Annual Report on Form 10-K, has also audited the effectiveness of internal control over financial reporting as of December 31, 2022 as stated in their report that appears on the following page.</w:t>
      </w:r>
    </w:p>
    <w:p>
      <w:pPr>
        <w:spacing w:after="0" w:line="200" w:lineRule="exact"/>
        <w:rPr>
          <w:sz w:val="20"/>
          <w:szCs w:val="20"/>
          <w:color w:val="auto"/>
        </w:rPr>
      </w:pPr>
    </w:p>
    <w:p>
      <w:pPr>
        <w:spacing w:after="0" w:line="3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20"/>
          </w:cols>
          <w:pgMar w:left="320" w:top="122" w:right="459" w:bottom="1440" w:gutter="0" w:footer="0" w:header="0"/>
        </w:sectPr>
      </w:pPr>
    </w:p>
    <w:bookmarkStart w:id="51" w:name="page52"/>
    <w:bookmarkEnd w:id="5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color w:val="auto"/>
        </w:rPr>
        <w:t>To the Partners of Westlake Chemical Partners LP 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 of Westlake Chemical Partners GP LLC</w:t>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40" w:lineRule="exact"/>
        <w:rPr>
          <w:sz w:val="20"/>
          <w:szCs w:val="20"/>
          <w:color w:val="auto"/>
        </w:rPr>
      </w:pPr>
    </w:p>
    <w:p>
      <w:pPr>
        <w:ind w:firstLine="395"/>
        <w:spacing w:after="0" w:line="287" w:lineRule="auto"/>
        <w:rPr>
          <w:sz w:val="20"/>
          <w:szCs w:val="20"/>
          <w:color w:val="auto"/>
        </w:rPr>
      </w:pPr>
      <w:r>
        <w:rPr>
          <w:rFonts w:ascii="Arial" w:cs="Arial" w:eastAsia="Arial" w:hAnsi="Arial"/>
          <w:sz w:val="16"/>
          <w:szCs w:val="16"/>
          <w:color w:val="auto"/>
        </w:rPr>
        <w:t xml:space="preserve">We have audited the accompanying consolidated balance sheets of Westlake Chemical Partners LP and its subsidiaries (the "Partnership") as of December 31, 2022 and 2021, and the related consolidated statements of operations, of changes in equity and of cash flows for each of the three years in the period ended December 31, 2022, including the related notes (collectively referred to as the "consolidated financial statements"). We also have audited the Partnership's internal control over financial reporting as of December 31, 2022, based on criteria established in </w:t>
      </w:r>
      <w:r>
        <w:rPr>
          <w:rFonts w:ascii="Arial" w:cs="Arial" w:eastAsia="Arial" w:hAnsi="Arial"/>
          <w:sz w:val="16"/>
          <w:szCs w:val="16"/>
          <w:i w:val="1"/>
          <w:iCs w:val="1"/>
          <w:color w:val="auto"/>
        </w:rPr>
        <w:t>Internal Control - Integrated Framework</w:t>
      </w:r>
      <w:r>
        <w:rPr>
          <w:rFonts w:ascii="Arial" w:cs="Arial" w:eastAsia="Arial" w:hAnsi="Arial"/>
          <w:sz w:val="16"/>
          <w:szCs w:val="16"/>
          <w:color w:val="auto"/>
        </w:rPr>
        <w:t xml:space="preserve"> (2013) issued by the Committee of Sponsoring Organizations of the Treadway Commission (COSO).</w:t>
      </w:r>
    </w:p>
    <w:p>
      <w:pPr>
        <w:spacing w:after="0" w:line="189" w:lineRule="exact"/>
        <w:rPr>
          <w:sz w:val="20"/>
          <w:szCs w:val="20"/>
          <w:color w:val="auto"/>
        </w:rPr>
      </w:pPr>
    </w:p>
    <w:p>
      <w:pPr>
        <w:ind w:right="40" w:firstLine="395"/>
        <w:spacing w:after="0" w:line="248"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Partnership as of December 31, 2022 and 2021, and the results of its operations and its cash flows for each of the three years in the period ended December 31, 2022 in conformity with accounting principles generally accepted in the United States of America. Also in our opinion, the Partnership maintained, in all material respects, effective internal control over financial reporting as of December 31, 2022,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40" w:lineRule="exact"/>
        <w:rPr>
          <w:sz w:val="20"/>
          <w:szCs w:val="20"/>
          <w:color w:val="auto"/>
        </w:rPr>
      </w:pPr>
    </w:p>
    <w:p>
      <w:pPr>
        <w:ind w:right="340" w:firstLine="395"/>
        <w:spacing w:after="0" w:line="284" w:lineRule="auto"/>
        <w:rPr>
          <w:sz w:val="20"/>
          <w:szCs w:val="20"/>
          <w:color w:val="auto"/>
        </w:rPr>
      </w:pPr>
      <w:r>
        <w:rPr>
          <w:rFonts w:ascii="Arial" w:cs="Arial" w:eastAsia="Arial" w:hAnsi="Arial"/>
          <w:sz w:val="16"/>
          <w:szCs w:val="16"/>
          <w:color w:val="auto"/>
        </w:rPr>
        <w:t>The Partnership's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Partnership's consolidated financial statements and on the Partnership's internal control over financial reporting based on our audits. We are a public accounting firm registered with the Public Company Accounting Oversight Board (United States) (PCAOB) and are required to be independent with respect to the Partnership in accordance with the U.S. federal securities laws and the applicable rules and regulations of the Securities and Exchange Commission and the PCAOB.</w:t>
      </w:r>
    </w:p>
    <w:p>
      <w:pPr>
        <w:spacing w:after="0" w:line="194" w:lineRule="exact"/>
        <w:rPr>
          <w:sz w:val="20"/>
          <w:szCs w:val="20"/>
          <w:color w:val="auto"/>
        </w:rPr>
      </w:pPr>
    </w:p>
    <w:p>
      <w:pPr>
        <w:ind w:right="20" w:firstLine="395"/>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16" w:lineRule="exact"/>
        <w:rPr>
          <w:sz w:val="20"/>
          <w:szCs w:val="20"/>
          <w:color w:val="auto"/>
        </w:rPr>
      </w:pPr>
    </w:p>
    <w:p>
      <w:pPr>
        <w:ind w:right="20" w:firstLine="395"/>
        <w:spacing w:after="0" w:line="282"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40" w:lineRule="exact"/>
        <w:rPr>
          <w:sz w:val="20"/>
          <w:szCs w:val="20"/>
          <w:color w:val="auto"/>
        </w:rPr>
      </w:pPr>
    </w:p>
    <w:p>
      <w:pPr>
        <w:ind w:right="60" w:firstLine="395"/>
        <w:spacing w:after="0" w:line="304" w:lineRule="auto"/>
        <w:rPr>
          <w:sz w:val="20"/>
          <w:szCs w:val="20"/>
          <w:color w:val="auto"/>
        </w:rPr>
      </w:pPr>
      <w:r>
        <w:rPr>
          <w:rFonts w:ascii="Arial" w:cs="Arial" w:eastAsia="Arial" w:hAnsi="Arial"/>
          <w:sz w:val="15"/>
          <w:szCs w:val="15"/>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181" w:lineRule="exact"/>
        <w:rPr>
          <w:sz w:val="20"/>
          <w:szCs w:val="20"/>
          <w:color w:val="auto"/>
        </w:rPr>
      </w:pPr>
    </w:p>
    <w:p>
      <w:pPr>
        <w:ind w:firstLine="395"/>
        <w:spacing w:after="0" w:line="252"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40" w:lineRule="exact"/>
        <w:rPr>
          <w:sz w:val="20"/>
          <w:szCs w:val="20"/>
          <w:color w:val="auto"/>
        </w:rPr>
      </w:pPr>
    </w:p>
    <w:p>
      <w:pPr>
        <w:ind w:right="60" w:firstLine="395"/>
        <w:spacing w:after="0" w:line="287" w:lineRule="auto"/>
        <w:rPr>
          <w:sz w:val="20"/>
          <w:szCs w:val="20"/>
          <w:color w:val="auto"/>
        </w:rPr>
      </w:pPr>
      <w:r>
        <w:rPr>
          <w:rFonts w:ascii="Arial" w:cs="Arial" w:eastAsia="Arial" w:hAnsi="Arial"/>
          <w:sz w:val="16"/>
          <w:szCs w:val="16"/>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from the Ethylene Sales Agreement</w:t>
      </w:r>
    </w:p>
    <w:p>
      <w:pPr>
        <w:spacing w:after="0" w:line="227" w:lineRule="exact"/>
        <w:rPr>
          <w:sz w:val="20"/>
          <w:szCs w:val="20"/>
          <w:color w:val="auto"/>
        </w:rPr>
      </w:pPr>
    </w:p>
    <w:p>
      <w:pPr>
        <w:ind w:firstLine="395"/>
        <w:spacing w:after="0" w:line="259" w:lineRule="auto"/>
        <w:rPr>
          <w:sz w:val="20"/>
          <w:szCs w:val="20"/>
          <w:color w:val="auto"/>
        </w:rPr>
      </w:pPr>
      <w:r>
        <w:rPr>
          <w:rFonts w:ascii="Arial" w:cs="Arial" w:eastAsia="Arial" w:hAnsi="Arial"/>
          <w:sz w:val="16"/>
          <w:szCs w:val="16"/>
          <w:color w:val="auto"/>
        </w:rPr>
        <w:t>As described in Notes 2 and 11 to the consolidated financial statements, the Partnership recognized net sales to Westlake Corporation ("Westlake") of $1,343 million for the year ended December 31, 2022, including a buyer deficiency fee of $24 million. The Ethylene Sales Agreement requires Westlake to purchase a minimum volume of ethylene each year equal to 95% of Westlake Chemical OpCo LP's ("OpCo") planned ethylene production per year, subject to certain exceptions and a maximum commitment of 3.8 billion pounds per year. The fee for each pound of ethylene purchased by Westlake from OpCo will equal (i) the actual price OpCo pays Westlake to purchase ethane, (ii) plus the actual price OpCo pays Westlake to purchase natural gas, (iii) plus OpCo's estimated operating costs divided by OpCo's planned ethylene production for the year, (iv) plus a five-year average of OpCo's expected future maintenance capital expenditures and other turnaround expenditures divided by OpCo's planned ethylene production capacity for the year, (v) less the proceeds received by OpCo from the sale of co-products associated with producing the ethylene purchased by Westlake, (vi) plus a $0.10 per pound margin. The result of the fee structure is that OpCo should generally recover the portion of its total operating costs and maintenance capital expenditures and other turnaround expenditures corresponding to the portion of OpCo's aggregate production that is purchased by Westlake. Any shortfall in recovery of such costs is generally recognized during the period in which the related operating, maintenance or turnaround activities occur and is recoverable from Westlake in the subsequent year. Under the Ethylene Sales Agreement, if production costs billed to Westlake on an annual basis are less than 95% of the actual production costs incurred by OpCo during the contract year, OpCo is entitled to recover the shortfall in such production costs (proportionate to the volume sold to Westlake) in the subsequent year ("Shortfall"). In the event Westlake purchases less than its annual commitment, the Partnership recognizes buyer deficiency fees representing fixed margin and all expenses and expenditures incurred per pound of volume committed but not taken by Westlake. The Partnership has recognized buyer deficiency fees of $24 million during 2022.</w:t>
      </w:r>
    </w:p>
    <w:p>
      <w:pPr>
        <w:spacing w:after="0" w:line="218" w:lineRule="exact"/>
        <w:rPr>
          <w:sz w:val="20"/>
          <w:szCs w:val="20"/>
          <w:color w:val="auto"/>
        </w:rPr>
      </w:pPr>
    </w:p>
    <w:p>
      <w:pPr>
        <w:jc w:val="both"/>
        <w:ind w:right="220" w:firstLine="395"/>
        <w:spacing w:after="0" w:line="252" w:lineRule="auto"/>
        <w:rPr>
          <w:sz w:val="20"/>
          <w:szCs w:val="20"/>
          <w:color w:val="auto"/>
        </w:rPr>
      </w:pPr>
      <w:r>
        <w:rPr>
          <w:rFonts w:ascii="Arial" w:cs="Arial" w:eastAsia="Arial" w:hAnsi="Arial"/>
          <w:sz w:val="18"/>
          <w:szCs w:val="18"/>
          <w:color w:val="auto"/>
        </w:rPr>
        <w:t>The principal considerations for our determination that performing procedures relating to revenue from the Ethylene Sales Agreement is a critical audit matter are the significant audit effort in performing procedures and evaluating the calculation of the fee for each pound of ethylene and the buyer deficiency fee.</w:t>
      </w:r>
    </w:p>
    <w:p>
      <w:pPr>
        <w:spacing w:after="0" w:line="216" w:lineRule="exact"/>
        <w:rPr>
          <w:sz w:val="20"/>
          <w:szCs w:val="20"/>
          <w:color w:val="auto"/>
        </w:rPr>
      </w:pPr>
    </w:p>
    <w:p>
      <w:pPr>
        <w:ind w:right="80" w:firstLine="395"/>
        <w:spacing w:after="0" w:line="248" w:lineRule="auto"/>
        <w:rPr>
          <w:sz w:val="20"/>
          <w:szCs w:val="20"/>
          <w:color w:val="auto"/>
        </w:rPr>
      </w:pPr>
      <w:r>
        <w:rPr>
          <w:rFonts w:ascii="Arial" w:cs="Arial" w:eastAsia="Arial" w:hAnsi="Arial"/>
          <w:sz w:val="18"/>
          <w:szCs w:val="18"/>
          <w:color w:val="auto"/>
        </w:rPr>
        <w:t>Addressing the matter involved performing procedures and evaluating audit evidence in connection with forming our overall opinion on the consolidated financial statements. These procedures included testing the effectiveness of controls relating to the accuracy of the fees used to determine revenue from the Ethylene Sales Agreement. These procedures also included, among others, testing the completeness and accuracy of underlying inputs used in the fee for each pound of ethylene purchased by Westlake, buyer deficiency fee and Shortfall calculation, and testing the accuracy of the volume of ethylene purchased by Westlake as part of the Ethylene Sales Agreement.</w:t>
      </w: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3" w:name="page54"/>
    <w:bookmarkEnd w:id="5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/s/PricewaterhouseCoopers LLP</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1, 2023</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Partnership's auditor since 2014.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54" w:name="page55"/>
    <w:bookmarkEnd w:id="5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60" w:type="dxa"/>
            <w:vAlign w:val="bottom"/>
            <w:gridSpan w:val="3"/>
          </w:tcPr>
          <w:p>
            <w:pPr>
              <w:jc w:val="center"/>
              <w:ind w:left="555"/>
              <w:spacing w:after="0"/>
              <w:rPr>
                <w:sz w:val="20"/>
                <w:szCs w:val="20"/>
                <w:color w:val="auto"/>
              </w:rPr>
            </w:pPr>
            <w:r>
              <w:rPr>
                <w:rFonts w:ascii="Arial" w:cs="Arial" w:eastAsia="Arial" w:hAnsi="Arial"/>
                <w:sz w:val="14"/>
                <w:szCs w:val="14"/>
                <w:b w:val="1"/>
                <w:bCs w:val="1"/>
                <w:color w:val="auto"/>
                <w:w w:val="90"/>
              </w:rPr>
              <w:t>December 31,</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83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3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75"/>
        </w:trPr>
        <w:tc>
          <w:tcPr>
            <w:tcW w:w="8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620" w:type="dxa"/>
            <w:vAlign w:val="bottom"/>
            <w:gridSpan w:val="4"/>
          </w:tcPr>
          <w:p>
            <w:pPr>
              <w:jc w:val="center"/>
              <w:ind w:right="253"/>
              <w:spacing w:after="0"/>
              <w:rPr>
                <w:sz w:val="20"/>
                <w:szCs w:val="20"/>
                <w:color w:val="auto"/>
              </w:rPr>
            </w:pPr>
            <w:r>
              <w:rPr>
                <w:rFonts w:ascii="Arial" w:cs="Arial" w:eastAsia="Arial" w:hAnsi="Arial"/>
                <w:sz w:val="14"/>
                <w:szCs w:val="14"/>
                <w:b w:val="1"/>
                <w:bCs w:val="1"/>
                <w:color w:val="auto"/>
                <w:w w:val="88"/>
              </w:rPr>
              <w:t>(in thousands of dollars,</w:t>
            </w:r>
          </w:p>
        </w:tc>
        <w:tc>
          <w:tcPr>
            <w:tcW w:w="0" w:type="dxa"/>
            <w:vAlign w:val="bottom"/>
          </w:tcPr>
          <w:p>
            <w:pPr>
              <w:spacing w:after="0"/>
              <w:rPr>
                <w:sz w:val="1"/>
                <w:szCs w:val="1"/>
                <w:color w:val="auto"/>
              </w:rPr>
            </w:pPr>
          </w:p>
        </w:tc>
      </w:tr>
      <w:tr>
        <w:trPr>
          <w:trHeight w:val="188"/>
        </w:trPr>
        <w:tc>
          <w:tcPr>
            <w:tcW w:w="83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4"/>
          </w:tcPr>
          <w:p>
            <w:pPr>
              <w:jc w:val="center"/>
              <w:ind w:right="233"/>
              <w:spacing w:after="0"/>
              <w:rPr>
                <w:sz w:val="20"/>
                <w:szCs w:val="20"/>
                <w:color w:val="auto"/>
              </w:rPr>
            </w:pPr>
            <w:r>
              <w:rPr>
                <w:rFonts w:ascii="Arial" w:cs="Arial" w:eastAsia="Arial" w:hAnsi="Arial"/>
                <w:sz w:val="14"/>
                <w:szCs w:val="14"/>
                <w:b w:val="1"/>
                <w:bCs w:val="1"/>
                <w:color w:val="auto"/>
                <w:w w:val="89"/>
              </w:rPr>
              <w:t>except unit amounts)</w:t>
            </w:r>
          </w:p>
        </w:tc>
        <w:tc>
          <w:tcPr>
            <w:tcW w:w="0" w:type="dxa"/>
            <w:vAlign w:val="bottom"/>
          </w:tcPr>
          <w:p>
            <w:pPr>
              <w:spacing w:after="0"/>
              <w:rPr>
                <w:sz w:val="1"/>
                <w:szCs w:val="1"/>
                <w:color w:val="auto"/>
              </w:rPr>
            </w:pPr>
          </w:p>
        </w:tc>
      </w:tr>
      <w:tr>
        <w:trPr>
          <w:trHeight w:val="229"/>
        </w:trPr>
        <w:tc>
          <w:tcPr>
            <w:tcW w:w="8300" w:type="dxa"/>
            <w:vAlign w:val="bottom"/>
            <w:shd w:val="clear" w:color="auto" w:fill="CCEEFF"/>
          </w:tcPr>
          <w:p>
            <w:pPr>
              <w:jc w:val="center"/>
              <w:ind w:right="12"/>
              <w:spacing w:after="0"/>
              <w:rPr>
                <w:sz w:val="20"/>
                <w:szCs w:val="20"/>
                <w:color w:val="auto"/>
              </w:rPr>
            </w:pPr>
            <w:r>
              <w:rPr>
                <w:rFonts w:ascii="Arial" w:cs="Arial" w:eastAsia="Arial" w:hAnsi="Arial"/>
                <w:sz w:val="18"/>
                <w:szCs w:val="18"/>
                <w:b w:val="1"/>
                <w:bCs w:val="1"/>
                <w:color w:val="auto"/>
                <w:w w:val="88"/>
              </w:rPr>
              <w:t>ASSETS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0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64,782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17,057</w:t>
            </w:r>
          </w:p>
        </w:tc>
        <w:tc>
          <w:tcPr>
            <w:tcW w:w="0" w:type="dxa"/>
            <w:vAlign w:val="bottom"/>
          </w:tcPr>
          <w:p>
            <w:pPr>
              <w:spacing w:after="0"/>
              <w:rPr>
                <w:sz w:val="1"/>
                <w:szCs w:val="1"/>
                <w:color w:val="auto"/>
              </w:rPr>
            </w:pPr>
          </w:p>
        </w:tc>
      </w:tr>
      <w:tr>
        <w:trPr>
          <w:trHeight w:val="172"/>
        </w:trPr>
        <w:tc>
          <w:tcPr>
            <w:tcW w:w="8300" w:type="dxa"/>
            <w:vAlign w:val="bottom"/>
          </w:tcPr>
          <w:p>
            <w:pPr>
              <w:ind w:left="340"/>
              <w:spacing w:after="0" w:line="172" w:lineRule="exact"/>
              <w:rPr>
                <w:sz w:val="20"/>
                <w:szCs w:val="20"/>
                <w:color w:val="auto"/>
              </w:rPr>
            </w:pPr>
            <w:r>
              <w:rPr>
                <w:rFonts w:ascii="Arial" w:cs="Arial" w:eastAsia="Arial" w:hAnsi="Arial"/>
                <w:sz w:val="18"/>
                <w:szCs w:val="18"/>
                <w:color w:val="auto"/>
              </w:rPr>
              <w:t>Receivable under the Investment Management Agreement—Westlake</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8300" w:type="dxa"/>
            <w:vAlign w:val="bottom"/>
          </w:tcPr>
          <w:p>
            <w:pPr>
              <w:ind w:left="480"/>
              <w:spacing w:after="0"/>
              <w:rPr>
                <w:sz w:val="20"/>
                <w:szCs w:val="20"/>
                <w:color w:val="auto"/>
              </w:rPr>
            </w:pPr>
            <w:r>
              <w:rPr>
                <w:rFonts w:ascii="Arial" w:cs="Arial" w:eastAsia="Arial" w:hAnsi="Arial"/>
                <w:sz w:val="18"/>
                <w:szCs w:val="18"/>
                <w:color w:val="auto"/>
              </w:rPr>
              <w:t>Corporation ("Westlake")</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64,996</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106,243</w:t>
            </w:r>
          </w:p>
        </w:tc>
        <w:tc>
          <w:tcPr>
            <w:tcW w:w="0" w:type="dxa"/>
            <w:vAlign w:val="bottom"/>
          </w:tcPr>
          <w:p>
            <w:pPr>
              <w:spacing w:after="0"/>
              <w:rPr>
                <w:sz w:val="1"/>
                <w:szCs w:val="1"/>
                <w:color w:val="auto"/>
              </w:rPr>
            </w:pPr>
          </w:p>
        </w:tc>
      </w:tr>
      <w:tr>
        <w:trPr>
          <w:trHeight w:val="224"/>
        </w:trPr>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receivable, net—Westlake</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90,965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142,791</w:t>
            </w:r>
          </w:p>
        </w:tc>
        <w:tc>
          <w:tcPr>
            <w:tcW w:w="0" w:type="dxa"/>
            <w:vAlign w:val="bottom"/>
          </w:tcPr>
          <w:p>
            <w:pPr>
              <w:spacing w:after="0"/>
              <w:rPr>
                <w:sz w:val="1"/>
                <w:szCs w:val="1"/>
                <w:color w:val="auto"/>
              </w:rPr>
            </w:pPr>
          </w:p>
        </w:tc>
      </w:tr>
      <w:tr>
        <w:trPr>
          <w:trHeight w:val="223"/>
        </w:trPr>
        <w:tc>
          <w:tcPr>
            <w:tcW w:w="8300" w:type="dxa"/>
            <w:vAlign w:val="bottom"/>
          </w:tcPr>
          <w:p>
            <w:pPr>
              <w:ind w:left="340"/>
              <w:spacing w:after="0"/>
              <w:rPr>
                <w:sz w:val="20"/>
                <w:szCs w:val="20"/>
                <w:color w:val="auto"/>
              </w:rPr>
            </w:pPr>
            <w:r>
              <w:rPr>
                <w:rFonts w:ascii="Arial" w:cs="Arial" w:eastAsia="Arial" w:hAnsi="Arial"/>
                <w:sz w:val="18"/>
                <w:szCs w:val="18"/>
                <w:color w:val="auto"/>
              </w:rPr>
              <w:t>Accounts receivable, net—third parties</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20,030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5,825</w:t>
            </w:r>
          </w:p>
        </w:tc>
        <w:tc>
          <w:tcPr>
            <w:tcW w:w="0" w:type="dxa"/>
            <w:vAlign w:val="bottom"/>
          </w:tcPr>
          <w:p>
            <w:pPr>
              <w:spacing w:after="0"/>
              <w:rPr>
                <w:sz w:val="1"/>
                <w:szCs w:val="1"/>
                <w:color w:val="auto"/>
              </w:rPr>
            </w:pPr>
          </w:p>
        </w:tc>
      </w:tr>
      <w:tr>
        <w:trPr>
          <w:trHeight w:val="224"/>
        </w:trPr>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8,898</w:t>
            </w:r>
          </w:p>
        </w:tc>
        <w:tc>
          <w:tcPr>
            <w:tcW w:w="0" w:type="dxa"/>
            <w:vAlign w:val="bottom"/>
          </w:tcPr>
          <w:p>
            <w:pPr>
              <w:spacing w:after="0"/>
              <w:rPr>
                <w:sz w:val="1"/>
                <w:szCs w:val="1"/>
                <w:color w:val="auto"/>
              </w:rPr>
            </w:pPr>
          </w:p>
        </w:tc>
      </w:tr>
      <w:tr>
        <w:trPr>
          <w:trHeight w:val="223"/>
        </w:trPr>
        <w:tc>
          <w:tcPr>
            <w:tcW w:w="83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17"/>
        </w:trPr>
        <w:tc>
          <w:tcPr>
            <w:tcW w:w="8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assets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245,793</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281,210</w:t>
            </w:r>
          </w:p>
        </w:tc>
        <w:tc>
          <w:tcPr>
            <w:tcW w:w="0" w:type="dxa"/>
            <w:vAlign w:val="bottom"/>
          </w:tcPr>
          <w:p>
            <w:pPr>
              <w:spacing w:after="0"/>
              <w:rPr>
                <w:sz w:val="1"/>
                <w:szCs w:val="1"/>
                <w:color w:val="auto"/>
              </w:rPr>
            </w:pPr>
          </w:p>
        </w:tc>
      </w:tr>
      <w:tr>
        <w:trPr>
          <w:trHeight w:val="223"/>
        </w:trPr>
        <w:tc>
          <w:tcPr>
            <w:tcW w:w="830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990,213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1,043,539</w:t>
            </w:r>
          </w:p>
        </w:tc>
        <w:tc>
          <w:tcPr>
            <w:tcW w:w="0" w:type="dxa"/>
            <w:vAlign w:val="bottom"/>
          </w:tcPr>
          <w:p>
            <w:pPr>
              <w:spacing w:after="0"/>
              <w:rPr>
                <w:sz w:val="1"/>
                <w:szCs w:val="1"/>
                <w:color w:val="auto"/>
              </w:rPr>
            </w:pPr>
          </w:p>
        </w:tc>
      </w:tr>
      <w:tr>
        <w:trPr>
          <w:trHeight w:val="224"/>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5,814</w:t>
            </w:r>
          </w:p>
        </w:tc>
        <w:tc>
          <w:tcPr>
            <w:tcW w:w="0" w:type="dxa"/>
            <w:vAlign w:val="bottom"/>
          </w:tcPr>
          <w:p>
            <w:pPr>
              <w:spacing w:after="0"/>
              <w:rPr>
                <w:sz w:val="1"/>
                <w:szCs w:val="1"/>
                <w:color w:val="auto"/>
              </w:rPr>
            </w:pPr>
          </w:p>
        </w:tc>
      </w:tr>
      <w:tr>
        <w:trPr>
          <w:trHeight w:val="223"/>
        </w:trPr>
        <w:tc>
          <w:tcPr>
            <w:tcW w:w="83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charges and other assets, net</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130,159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150,135</w:t>
            </w:r>
          </w:p>
        </w:tc>
        <w:tc>
          <w:tcPr>
            <w:tcW w:w="0" w:type="dxa"/>
            <w:vAlign w:val="bottom"/>
          </w:tcPr>
          <w:p>
            <w:pPr>
              <w:spacing w:after="0"/>
              <w:rPr>
                <w:sz w:val="1"/>
                <w:szCs w:val="1"/>
                <w:color w:val="auto"/>
              </w:rPr>
            </w:pPr>
          </w:p>
        </w:tc>
      </w:tr>
      <w:tr>
        <w:trPr>
          <w:trHeight w:val="242"/>
        </w:trPr>
        <w:tc>
          <w:tcPr>
            <w:tcW w:w="83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1,371,979</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1,480,698</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bottom w:val="single" w:sz="8" w:color="CCEEFF"/>
            </w:tcBorders>
            <w:vMerge w:val="restart"/>
          </w:tcPr>
          <w:p>
            <w:pPr>
              <w:jc w:val="center"/>
              <w:ind w:right="12"/>
              <w:spacing w:after="0"/>
              <w:rPr>
                <w:sz w:val="20"/>
                <w:szCs w:val="20"/>
                <w:color w:val="auto"/>
              </w:rPr>
            </w:pPr>
            <w:r>
              <w:rPr>
                <w:rFonts w:ascii="Arial" w:cs="Arial" w:eastAsia="Arial" w:hAnsi="Arial"/>
                <w:sz w:val="18"/>
                <w:szCs w:val="18"/>
                <w:b w:val="1"/>
                <w:bCs w:val="1"/>
                <w:color w:val="auto"/>
              </w:rPr>
              <w:t>LIABILITIES</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83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300" w:type="dxa"/>
            <w:vAlign w:val="bottom"/>
          </w:tcPr>
          <w:p>
            <w:pPr>
              <w:ind w:left="340"/>
              <w:spacing w:after="0"/>
              <w:rPr>
                <w:sz w:val="20"/>
                <w:szCs w:val="20"/>
                <w:color w:val="auto"/>
              </w:rPr>
            </w:pPr>
            <w:r>
              <w:rPr>
                <w:rFonts w:ascii="Arial" w:cs="Arial" w:eastAsia="Arial" w:hAnsi="Arial"/>
                <w:sz w:val="18"/>
                <w:szCs w:val="18"/>
                <w:color w:val="auto"/>
              </w:rPr>
              <w:t>Accounts payable—Westlake</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34,087</w:t>
            </w:r>
          </w:p>
        </w:tc>
        <w:tc>
          <w:tcPr>
            <w:tcW w:w="100" w:type="dxa"/>
            <w:vAlign w:val="bottom"/>
          </w:tcPr>
          <w:p>
            <w:pPr>
              <w:spacing w:after="0"/>
              <w:rPr>
                <w:sz w:val="19"/>
                <w:szCs w:val="19"/>
                <w:color w:val="auto"/>
              </w:rPr>
            </w:pPr>
          </w:p>
        </w:tc>
        <w:tc>
          <w:tcPr>
            <w:tcW w:w="480" w:type="dxa"/>
            <w:vAlign w:val="bottom"/>
          </w:tcPr>
          <w:p>
            <w:pPr>
              <w:jc w:val="right"/>
              <w:ind w:right="27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10,796</w:t>
            </w:r>
          </w:p>
        </w:tc>
        <w:tc>
          <w:tcPr>
            <w:tcW w:w="0" w:type="dxa"/>
            <w:vAlign w:val="bottom"/>
          </w:tcPr>
          <w:p>
            <w:pPr>
              <w:spacing w:after="0"/>
              <w:rPr>
                <w:sz w:val="1"/>
                <w:szCs w:val="1"/>
                <w:color w:val="auto"/>
              </w:rPr>
            </w:pPr>
          </w:p>
        </w:tc>
      </w:tr>
      <w:tr>
        <w:trPr>
          <w:trHeight w:val="224"/>
        </w:trPr>
        <w:tc>
          <w:tcPr>
            <w:tcW w:w="83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payable—third parties</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15,317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35,105</w:t>
            </w:r>
          </w:p>
        </w:tc>
        <w:tc>
          <w:tcPr>
            <w:tcW w:w="0" w:type="dxa"/>
            <w:vAlign w:val="bottom"/>
          </w:tcPr>
          <w:p>
            <w:pPr>
              <w:spacing w:after="0"/>
              <w:rPr>
                <w:sz w:val="1"/>
                <w:szCs w:val="1"/>
                <w:color w:val="auto"/>
              </w:rPr>
            </w:pPr>
          </w:p>
        </w:tc>
      </w:tr>
      <w:tr>
        <w:trPr>
          <w:trHeight w:val="223"/>
        </w:trPr>
        <w:tc>
          <w:tcPr>
            <w:tcW w:w="83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Accrued and other liabilities</w:t>
            </w:r>
          </w:p>
        </w:tc>
        <w:tc>
          <w:tcPr>
            <w:tcW w:w="3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17,537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60,895</w:t>
            </w:r>
          </w:p>
        </w:tc>
        <w:tc>
          <w:tcPr>
            <w:tcW w:w="0" w:type="dxa"/>
            <w:vAlign w:val="bottom"/>
          </w:tcPr>
          <w:p>
            <w:pPr>
              <w:spacing w:after="0"/>
              <w:rPr>
                <w:sz w:val="1"/>
                <w:szCs w:val="1"/>
                <w:color w:val="auto"/>
              </w:rPr>
            </w:pPr>
          </w:p>
        </w:tc>
      </w:tr>
      <w:tr>
        <w:trPr>
          <w:trHeight w:val="217"/>
        </w:trPr>
        <w:tc>
          <w:tcPr>
            <w:tcW w:w="83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liabilities</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66,941</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106,796</w:t>
            </w:r>
          </w:p>
        </w:tc>
        <w:tc>
          <w:tcPr>
            <w:tcW w:w="0" w:type="dxa"/>
            <w:vAlign w:val="bottom"/>
          </w:tcPr>
          <w:p>
            <w:pPr>
              <w:spacing w:after="0"/>
              <w:rPr>
                <w:sz w:val="1"/>
                <w:szCs w:val="1"/>
                <w:color w:val="auto"/>
              </w:rPr>
            </w:pPr>
          </w:p>
        </w:tc>
      </w:tr>
      <w:tr>
        <w:trPr>
          <w:trHeight w:val="223"/>
        </w:trPr>
        <w:tc>
          <w:tcPr>
            <w:tcW w:w="8300" w:type="dxa"/>
            <w:vAlign w:val="bottom"/>
          </w:tcPr>
          <w:p>
            <w:pPr>
              <w:ind w:left="20"/>
              <w:spacing w:after="0"/>
              <w:rPr>
                <w:sz w:val="20"/>
                <w:szCs w:val="20"/>
                <w:color w:val="auto"/>
              </w:rPr>
            </w:pPr>
            <w:r>
              <w:rPr>
                <w:rFonts w:ascii="Arial" w:cs="Arial" w:eastAsia="Arial" w:hAnsi="Arial"/>
                <w:sz w:val="18"/>
                <w:szCs w:val="18"/>
                <w:color w:val="auto"/>
              </w:rPr>
              <w:t>Long-term debt payable to Westlake</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399,674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399,674</w:t>
            </w:r>
          </w:p>
        </w:tc>
        <w:tc>
          <w:tcPr>
            <w:tcW w:w="0" w:type="dxa"/>
            <w:vAlign w:val="bottom"/>
          </w:tcPr>
          <w:p>
            <w:pPr>
              <w:spacing w:after="0"/>
              <w:rPr>
                <w:sz w:val="1"/>
                <w:szCs w:val="1"/>
                <w:color w:val="auto"/>
              </w:rPr>
            </w:pPr>
          </w:p>
        </w:tc>
      </w:tr>
      <w:tr>
        <w:trPr>
          <w:trHeight w:val="224"/>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w:t>
            </w:r>
          </w:p>
        </w:tc>
        <w:tc>
          <w:tcPr>
            <w:tcW w:w="0" w:type="dxa"/>
            <w:vAlign w:val="bottom"/>
          </w:tcPr>
          <w:p>
            <w:pPr>
              <w:spacing w:after="0"/>
              <w:rPr>
                <w:sz w:val="1"/>
                <w:szCs w:val="1"/>
                <w:color w:val="auto"/>
              </w:rPr>
            </w:pPr>
          </w:p>
        </w:tc>
      </w:tr>
      <w:tr>
        <w:trPr>
          <w:trHeight w:val="217"/>
        </w:trPr>
        <w:tc>
          <w:tcPr>
            <w:tcW w:w="8300" w:type="dxa"/>
            <w:vAlign w:val="bottom"/>
          </w:tcPr>
          <w:p>
            <w:pPr>
              <w:ind w:left="660"/>
              <w:spacing w:after="0"/>
              <w:rPr>
                <w:sz w:val="20"/>
                <w:szCs w:val="20"/>
                <w:color w:val="auto"/>
              </w:rPr>
            </w:pPr>
            <w:r>
              <w:rPr>
                <w:rFonts w:ascii="Arial" w:cs="Arial" w:eastAsia="Arial" w:hAnsi="Arial"/>
                <w:sz w:val="18"/>
                <w:szCs w:val="18"/>
                <w:color w:val="auto"/>
              </w:rPr>
              <w:t>Total liabilities</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468,271</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508,000</w:t>
            </w:r>
          </w:p>
        </w:tc>
        <w:tc>
          <w:tcPr>
            <w:tcW w:w="0" w:type="dxa"/>
            <w:vAlign w:val="bottom"/>
          </w:tcPr>
          <w:p>
            <w:pPr>
              <w:spacing w:after="0"/>
              <w:rPr>
                <w:sz w:val="1"/>
                <w:szCs w:val="1"/>
                <w:color w:val="auto"/>
              </w:rPr>
            </w:pPr>
          </w:p>
        </w:tc>
      </w:tr>
      <w:tr>
        <w:trPr>
          <w:trHeight w:val="224"/>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16)</w:t>
            </w: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8300" w:type="dxa"/>
            <w:vAlign w:val="bottom"/>
          </w:tcPr>
          <w:p>
            <w:pPr>
              <w:jc w:val="center"/>
              <w:ind w:right="12"/>
              <w:spacing w:after="0"/>
              <w:rPr>
                <w:sz w:val="20"/>
                <w:szCs w:val="20"/>
                <w:color w:val="auto"/>
              </w:rPr>
            </w:pPr>
            <w:r>
              <w:rPr>
                <w:rFonts w:ascii="Arial" w:cs="Arial" w:eastAsia="Arial" w:hAnsi="Arial"/>
                <w:sz w:val="18"/>
                <w:szCs w:val="18"/>
                <w:b w:val="1"/>
                <w:bCs w:val="1"/>
                <w:color w:val="auto"/>
              </w:rPr>
              <w:t>EQUITY</w:t>
            </w:r>
          </w:p>
        </w:tc>
        <w:tc>
          <w:tcPr>
            <w:tcW w:w="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2"/>
        </w:trPr>
        <w:tc>
          <w:tcPr>
            <w:tcW w:w="830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rPr>
              <w:t>Common unitholders—publicly and privately held (21,099,638 and 21,092,186 units issued</w:t>
            </w:r>
          </w:p>
        </w:tc>
        <w:tc>
          <w:tcPr>
            <w:tcW w:w="32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 outstanding at December 31, 2022 and December 31, 2021, respectively)</w:t>
            </w:r>
          </w:p>
        </w:tc>
        <w:tc>
          <w:tcPr>
            <w:tcW w:w="3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480,643</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481,796</w:t>
            </w:r>
          </w:p>
        </w:tc>
        <w:tc>
          <w:tcPr>
            <w:tcW w:w="0" w:type="dxa"/>
            <w:vAlign w:val="bottom"/>
          </w:tcPr>
          <w:p>
            <w:pPr>
              <w:spacing w:after="0"/>
              <w:rPr>
                <w:sz w:val="1"/>
                <w:szCs w:val="1"/>
                <w:color w:val="auto"/>
              </w:rPr>
            </w:pPr>
          </w:p>
        </w:tc>
      </w:tr>
      <w:tr>
        <w:trPr>
          <w:trHeight w:val="172"/>
        </w:trPr>
        <w:tc>
          <w:tcPr>
            <w:tcW w:w="8300" w:type="dxa"/>
            <w:vAlign w:val="bottom"/>
          </w:tcPr>
          <w:p>
            <w:pPr>
              <w:ind w:left="20"/>
              <w:spacing w:after="0" w:line="172" w:lineRule="exact"/>
              <w:rPr>
                <w:sz w:val="20"/>
                <w:szCs w:val="20"/>
                <w:color w:val="auto"/>
              </w:rPr>
            </w:pPr>
            <w:r>
              <w:rPr>
                <w:rFonts w:ascii="Arial" w:cs="Arial" w:eastAsia="Arial" w:hAnsi="Arial"/>
                <w:sz w:val="18"/>
                <w:szCs w:val="18"/>
                <w:color w:val="auto"/>
              </w:rPr>
              <w:t>Common unitholder—Westlake (14,122,230 and 14,122,230 units issued and outstanding at</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8300" w:type="dxa"/>
            <w:vAlign w:val="bottom"/>
          </w:tcPr>
          <w:p>
            <w:pPr>
              <w:ind w:left="20"/>
              <w:spacing w:after="0"/>
              <w:rPr>
                <w:sz w:val="20"/>
                <w:szCs w:val="20"/>
                <w:color w:val="auto"/>
              </w:rPr>
            </w:pPr>
            <w:r>
              <w:rPr>
                <w:rFonts w:ascii="Arial" w:cs="Arial" w:eastAsia="Arial" w:hAnsi="Arial"/>
                <w:sz w:val="18"/>
                <w:szCs w:val="18"/>
                <w:color w:val="auto"/>
              </w:rPr>
              <w:t>December 31, 2022 and December 31, 2021, respectively)</w:t>
            </w:r>
          </w:p>
        </w:tc>
        <w:tc>
          <w:tcPr>
            <w:tcW w:w="3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53,859</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54,754</w:t>
            </w:r>
          </w:p>
        </w:tc>
        <w:tc>
          <w:tcPr>
            <w:tcW w:w="0" w:type="dxa"/>
            <w:vAlign w:val="bottom"/>
          </w:tcPr>
          <w:p>
            <w:pPr>
              <w:spacing w:after="0"/>
              <w:rPr>
                <w:sz w:val="1"/>
                <w:szCs w:val="1"/>
                <w:color w:val="auto"/>
              </w:rPr>
            </w:pPr>
          </w:p>
        </w:tc>
      </w:tr>
      <w:tr>
        <w:trPr>
          <w:trHeight w:val="224"/>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partner—Westlake</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(242,572)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(242,572)</w:t>
            </w:r>
          </w:p>
        </w:tc>
        <w:tc>
          <w:tcPr>
            <w:tcW w:w="0" w:type="dxa"/>
            <w:vAlign w:val="bottom"/>
          </w:tcPr>
          <w:p>
            <w:pPr>
              <w:spacing w:after="0"/>
              <w:rPr>
                <w:sz w:val="1"/>
                <w:szCs w:val="1"/>
                <w:color w:val="auto"/>
              </w:rPr>
            </w:pPr>
          </w:p>
        </w:tc>
      </w:tr>
      <w:tr>
        <w:trPr>
          <w:trHeight w:val="217"/>
        </w:trPr>
        <w:tc>
          <w:tcPr>
            <w:tcW w:w="8300" w:type="dxa"/>
            <w:vAlign w:val="bottom"/>
          </w:tcPr>
          <w:p>
            <w:pPr>
              <w:ind w:left="660"/>
              <w:spacing w:after="0"/>
              <w:rPr>
                <w:sz w:val="20"/>
                <w:szCs w:val="20"/>
                <w:color w:val="auto"/>
              </w:rPr>
            </w:pPr>
            <w:r>
              <w:rPr>
                <w:rFonts w:ascii="Arial" w:cs="Arial" w:eastAsia="Arial" w:hAnsi="Arial"/>
                <w:sz w:val="18"/>
                <w:szCs w:val="18"/>
                <w:color w:val="auto"/>
              </w:rPr>
              <w:t>Total Westlake Chemical Partners LP partners' capital</w:t>
            </w:r>
          </w:p>
        </w:tc>
        <w:tc>
          <w:tcPr>
            <w:tcW w:w="3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291,930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293,978</w:t>
            </w:r>
          </w:p>
        </w:tc>
        <w:tc>
          <w:tcPr>
            <w:tcW w:w="0" w:type="dxa"/>
            <w:vAlign w:val="bottom"/>
          </w:tcPr>
          <w:p>
            <w:pPr>
              <w:spacing w:after="0"/>
              <w:rPr>
                <w:sz w:val="1"/>
                <w:szCs w:val="1"/>
                <w:color w:val="auto"/>
              </w:rPr>
            </w:pPr>
          </w:p>
        </w:tc>
      </w:tr>
      <w:tr>
        <w:trPr>
          <w:trHeight w:val="224"/>
        </w:trPr>
        <w:tc>
          <w:tcPr>
            <w:tcW w:w="8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Noncontrolling interest in Westlake Chemical OpCo LP ("OpCo")</w:t>
            </w: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611,778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678,720</w:t>
            </w:r>
          </w:p>
        </w:tc>
        <w:tc>
          <w:tcPr>
            <w:tcW w:w="0" w:type="dxa"/>
            <w:vAlign w:val="bottom"/>
          </w:tcPr>
          <w:p>
            <w:pPr>
              <w:spacing w:after="0"/>
              <w:rPr>
                <w:sz w:val="1"/>
                <w:szCs w:val="1"/>
                <w:color w:val="auto"/>
              </w:rPr>
            </w:pPr>
          </w:p>
        </w:tc>
      </w:tr>
      <w:tr>
        <w:trPr>
          <w:trHeight w:val="217"/>
        </w:trPr>
        <w:tc>
          <w:tcPr>
            <w:tcW w:w="830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equity</w:t>
            </w:r>
          </w:p>
        </w:tc>
        <w:tc>
          <w:tcPr>
            <w:tcW w:w="3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903,708</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972,698</w:t>
            </w:r>
          </w:p>
        </w:tc>
        <w:tc>
          <w:tcPr>
            <w:tcW w:w="0" w:type="dxa"/>
            <w:vAlign w:val="bottom"/>
          </w:tcPr>
          <w:p>
            <w:pPr>
              <w:spacing w:after="0"/>
              <w:rPr>
                <w:sz w:val="1"/>
                <w:szCs w:val="1"/>
                <w:color w:val="auto"/>
              </w:rPr>
            </w:pPr>
          </w:p>
        </w:tc>
      </w:tr>
      <w:tr>
        <w:trPr>
          <w:trHeight w:val="242"/>
        </w:trPr>
        <w:tc>
          <w:tcPr>
            <w:tcW w:w="83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b w:val="1"/>
                <w:bCs w:val="1"/>
                <w:color w:val="auto"/>
              </w:rPr>
              <w:t>Total liabilities and equity</w:t>
            </w: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1,371,979</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1,480,698</w:t>
            </w:r>
          </w:p>
        </w:tc>
        <w:tc>
          <w:tcPr>
            <w:tcW w:w="0" w:type="dxa"/>
            <w:vAlign w:val="bottom"/>
          </w:tcPr>
          <w:p>
            <w:pPr>
              <w:spacing w:after="0"/>
              <w:rPr>
                <w:sz w:val="1"/>
                <w:szCs w:val="1"/>
                <w:color w:val="auto"/>
              </w:rPr>
            </w:pPr>
          </w:p>
        </w:tc>
      </w:tr>
      <w:tr>
        <w:trPr>
          <w:trHeight w:val="20"/>
        </w:trPr>
        <w:tc>
          <w:tcPr>
            <w:tcW w:w="83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113" w:lineRule="exact"/>
        <w:rPr>
          <w:sz w:val="20"/>
          <w:szCs w:val="20"/>
          <w:color w:val="auto"/>
        </w:rPr>
      </w:pPr>
    </w:p>
    <w:tbl>
      <w:tblPr>
        <w:tblLayout w:type="fixed"/>
        <w:tblInd w:w="20" w:type="dxa"/>
        <w:tblCellMar>
          <w:top w:w="0" w:type="dxa"/>
          <w:left w:w="0" w:type="dxa"/>
          <w:bottom w:w="0" w:type="dxa"/>
          <w:right w:w="0" w:type="dxa"/>
        </w:tblCellMar>
      </w:tblPr>
      <w:tr>
        <w:trPr>
          <w:trHeight w:val="183"/>
        </w:trPr>
        <w:tc>
          <w:tcPr>
            <w:tcW w:w="7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80" w:type="dxa"/>
            <w:vAlign w:val="bottom"/>
            <w:gridSpan w:val="6"/>
          </w:tcPr>
          <w:p>
            <w:pPr>
              <w:jc w:val="center"/>
              <w:spacing w:after="0"/>
              <w:rPr>
                <w:sz w:val="20"/>
                <w:szCs w:val="20"/>
                <w:color w:val="auto"/>
              </w:rPr>
            </w:pPr>
            <w:r>
              <w:rPr>
                <w:rFonts w:ascii="Arial" w:cs="Arial" w:eastAsia="Arial" w:hAnsi="Arial"/>
                <w:sz w:val="14"/>
                <w:szCs w:val="14"/>
                <w:b w:val="1"/>
                <w:bCs w:val="1"/>
                <w:color w:val="auto"/>
                <w:w w:val="89"/>
              </w:rPr>
              <w:t>Year Ended December 31,</w:t>
            </w:r>
          </w:p>
        </w:tc>
        <w:tc>
          <w:tcPr>
            <w:tcW w:w="4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706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0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center"/>
              <w:ind w:right="173"/>
              <w:spacing w:after="0"/>
              <w:rPr>
                <w:sz w:val="20"/>
                <w:szCs w:val="20"/>
                <w:color w:val="auto"/>
              </w:rPr>
            </w:pPr>
            <w:r>
              <w:rPr>
                <w:rFonts w:ascii="Arial" w:cs="Arial" w:eastAsia="Arial" w:hAnsi="Arial"/>
                <w:sz w:val="14"/>
                <w:szCs w:val="14"/>
                <w:b w:val="1"/>
                <w:bCs w:val="1"/>
                <w:color w:val="auto"/>
                <w:w w:val="89"/>
              </w:rPr>
              <w:t>2021</w:t>
            </w:r>
          </w:p>
        </w:tc>
        <w:tc>
          <w:tcPr>
            <w:tcW w:w="12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71"/>
        </w:trPr>
        <w:tc>
          <w:tcPr>
            <w:tcW w:w="7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88"/>
              </w:rPr>
              <w:t>(in thousands of dollars,</w:t>
            </w:r>
          </w:p>
        </w:tc>
        <w:tc>
          <w:tcPr>
            <w:tcW w:w="4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7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80" w:type="dxa"/>
            <w:vAlign w:val="bottom"/>
            <w:gridSpan w:val="8"/>
          </w:tcPr>
          <w:p>
            <w:pPr>
              <w:jc w:val="center"/>
              <w:ind w:left="514"/>
              <w:spacing w:after="0"/>
              <w:rPr>
                <w:sz w:val="20"/>
                <w:szCs w:val="20"/>
                <w:color w:val="auto"/>
              </w:rPr>
            </w:pPr>
            <w:r>
              <w:rPr>
                <w:rFonts w:ascii="Arial" w:cs="Arial" w:eastAsia="Arial" w:hAnsi="Arial"/>
                <w:sz w:val="14"/>
                <w:szCs w:val="14"/>
                <w:b w:val="1"/>
                <w:bCs w:val="1"/>
                <w:color w:val="auto"/>
                <w:w w:val="90"/>
              </w:rPr>
              <w:t>except unit amounts and per unit data)</w:t>
            </w: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060" w:type="dxa"/>
            <w:vAlign w:val="bottom"/>
          </w:tcPr>
          <w:p>
            <w:pPr>
              <w:ind w:left="220"/>
              <w:spacing w:after="0"/>
              <w:rPr>
                <w:sz w:val="20"/>
                <w:szCs w:val="20"/>
                <w:color w:val="auto"/>
              </w:rPr>
            </w:pPr>
            <w:r>
              <w:rPr>
                <w:rFonts w:ascii="Arial" w:cs="Arial" w:eastAsia="Arial" w:hAnsi="Arial"/>
                <w:sz w:val="18"/>
                <w:szCs w:val="18"/>
                <w:color w:val="auto"/>
              </w:rPr>
              <w:t>Net sales—Westlake</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1,342,910</w:t>
            </w:r>
          </w:p>
        </w:tc>
        <w:tc>
          <w:tcPr>
            <w:tcW w:w="4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1,026,586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888,245</w:t>
            </w:r>
          </w:p>
        </w:tc>
        <w:tc>
          <w:tcPr>
            <w:tcW w:w="0" w:type="dxa"/>
            <w:vAlign w:val="bottom"/>
          </w:tcPr>
          <w:p>
            <w:pPr>
              <w:spacing w:after="0"/>
              <w:rPr>
                <w:sz w:val="1"/>
                <w:szCs w:val="1"/>
                <w:color w:val="auto"/>
              </w:rPr>
            </w:pPr>
          </w:p>
        </w:tc>
      </w:tr>
      <w:tr>
        <w:trPr>
          <w:trHeight w:val="224"/>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co-products, ethylene and other sales—third parties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250,237</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188,272</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78,425</w:t>
            </w:r>
          </w:p>
        </w:tc>
        <w:tc>
          <w:tcPr>
            <w:tcW w:w="0" w:type="dxa"/>
            <w:vAlign w:val="bottom"/>
          </w:tcPr>
          <w:p>
            <w:pPr>
              <w:spacing w:after="0"/>
              <w:rPr>
                <w:sz w:val="1"/>
                <w:szCs w:val="1"/>
                <w:color w:val="auto"/>
              </w:rPr>
            </w:pPr>
          </w:p>
        </w:tc>
      </w:tr>
      <w:tr>
        <w:trPr>
          <w:trHeight w:val="217"/>
        </w:trPr>
        <w:tc>
          <w:tcPr>
            <w:tcW w:w="7060" w:type="dxa"/>
            <w:vAlign w:val="bottom"/>
          </w:tcPr>
          <w:p>
            <w:pPr>
              <w:ind w:left="20"/>
              <w:spacing w:after="0"/>
              <w:rPr>
                <w:sz w:val="20"/>
                <w:szCs w:val="20"/>
                <w:color w:val="auto"/>
              </w:rPr>
            </w:pPr>
            <w:r>
              <w:rPr>
                <w:rFonts w:ascii="Arial" w:cs="Arial" w:eastAsia="Arial" w:hAnsi="Arial"/>
                <w:sz w:val="18"/>
                <w:szCs w:val="18"/>
                <w:color w:val="auto"/>
              </w:rPr>
              <w:t>Total net sales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1,593,147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1,214,858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966,670</w:t>
            </w:r>
          </w:p>
        </w:tc>
        <w:tc>
          <w:tcPr>
            <w:tcW w:w="0" w:type="dxa"/>
            <w:vAlign w:val="bottom"/>
          </w:tcPr>
          <w:p>
            <w:pPr>
              <w:spacing w:after="0"/>
              <w:rPr>
                <w:sz w:val="1"/>
                <w:szCs w:val="1"/>
                <w:color w:val="auto"/>
              </w:rPr>
            </w:pPr>
          </w:p>
        </w:tc>
      </w:tr>
      <w:tr>
        <w:trPr>
          <w:trHeight w:val="224"/>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1,215,782</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773,152</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587,787</w:t>
            </w:r>
          </w:p>
        </w:tc>
        <w:tc>
          <w:tcPr>
            <w:tcW w:w="0" w:type="dxa"/>
            <w:vAlign w:val="bottom"/>
          </w:tcPr>
          <w:p>
            <w:pPr>
              <w:spacing w:after="0"/>
              <w:rPr>
                <w:sz w:val="1"/>
                <w:szCs w:val="1"/>
                <w:color w:val="auto"/>
              </w:rPr>
            </w:pPr>
          </w:p>
        </w:tc>
      </w:tr>
      <w:tr>
        <w:trPr>
          <w:trHeight w:val="217"/>
        </w:trPr>
        <w:tc>
          <w:tcPr>
            <w:tcW w:w="706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377,365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441,706</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378,883</w:t>
            </w:r>
          </w:p>
        </w:tc>
        <w:tc>
          <w:tcPr>
            <w:tcW w:w="0" w:type="dxa"/>
            <w:vAlign w:val="bottom"/>
          </w:tcPr>
          <w:p>
            <w:pPr>
              <w:spacing w:after="0"/>
              <w:rPr>
                <w:sz w:val="1"/>
                <w:szCs w:val="1"/>
                <w:color w:val="auto"/>
              </w:rPr>
            </w:pPr>
          </w:p>
        </w:tc>
      </w:tr>
      <w:tr>
        <w:trPr>
          <w:trHeight w:val="224"/>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29,678</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31,018</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25,895</w:t>
            </w:r>
          </w:p>
        </w:tc>
        <w:tc>
          <w:tcPr>
            <w:tcW w:w="0" w:type="dxa"/>
            <w:vAlign w:val="bottom"/>
          </w:tcPr>
          <w:p>
            <w:pPr>
              <w:spacing w:after="0"/>
              <w:rPr>
                <w:sz w:val="1"/>
                <w:szCs w:val="1"/>
                <w:color w:val="auto"/>
              </w:rPr>
            </w:pPr>
          </w:p>
        </w:tc>
      </w:tr>
      <w:tr>
        <w:trPr>
          <w:trHeight w:val="217"/>
        </w:trPr>
        <w:tc>
          <w:tcPr>
            <w:tcW w:w="7060" w:type="dxa"/>
            <w:vAlign w:val="bottom"/>
          </w:tcPr>
          <w:p>
            <w:pPr>
              <w:ind w:left="20"/>
              <w:spacing w:after="0"/>
              <w:rPr>
                <w:sz w:val="20"/>
                <w:szCs w:val="20"/>
                <w:color w:val="auto"/>
              </w:rPr>
            </w:pPr>
            <w:r>
              <w:rPr>
                <w:rFonts w:ascii="Arial" w:cs="Arial" w:eastAsia="Arial" w:hAnsi="Arial"/>
                <w:sz w:val="18"/>
                <w:szCs w:val="18"/>
                <w:color w:val="auto"/>
              </w:rPr>
              <w:t>Income from operations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347,687</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410,688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352,988</w:t>
            </w:r>
          </w:p>
        </w:tc>
        <w:tc>
          <w:tcPr>
            <w:tcW w:w="0" w:type="dxa"/>
            <w:vAlign w:val="bottom"/>
          </w:tcPr>
          <w:p>
            <w:pPr>
              <w:spacing w:after="0"/>
              <w:rPr>
                <w:sz w:val="1"/>
                <w:szCs w:val="1"/>
                <w:color w:val="auto"/>
              </w:rPr>
            </w:pPr>
          </w:p>
        </w:tc>
      </w:tr>
      <w:tr>
        <w:trPr>
          <w:trHeight w:val="224"/>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060" w:type="dxa"/>
            <w:vAlign w:val="bottom"/>
          </w:tcPr>
          <w:p>
            <w:pPr>
              <w:ind w:left="220"/>
              <w:spacing w:after="0"/>
              <w:rPr>
                <w:sz w:val="20"/>
                <w:szCs w:val="20"/>
                <w:color w:val="auto"/>
              </w:rPr>
            </w:pPr>
            <w:r>
              <w:rPr>
                <w:rFonts w:ascii="Arial" w:cs="Arial" w:eastAsia="Arial" w:hAnsi="Arial"/>
                <w:sz w:val="18"/>
                <w:szCs w:val="18"/>
                <w:color w:val="auto"/>
              </w:rPr>
              <w:t>Interest expense—Westlake</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(13,407)</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(8,816)</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(12,038)</w:t>
            </w:r>
          </w:p>
        </w:tc>
        <w:tc>
          <w:tcPr>
            <w:tcW w:w="0" w:type="dxa"/>
            <w:vAlign w:val="bottom"/>
          </w:tcPr>
          <w:p>
            <w:pPr>
              <w:spacing w:after="0"/>
              <w:rPr>
                <w:sz w:val="1"/>
                <w:szCs w:val="1"/>
                <w:color w:val="auto"/>
              </w:rPr>
            </w:pPr>
          </w:p>
        </w:tc>
      </w:tr>
      <w:tr>
        <w:trPr>
          <w:trHeight w:val="224"/>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net</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733</w:t>
            </w:r>
          </w:p>
        </w:tc>
        <w:tc>
          <w:tcPr>
            <w:tcW w:w="0" w:type="dxa"/>
            <w:vAlign w:val="bottom"/>
          </w:tcPr>
          <w:p>
            <w:pPr>
              <w:spacing w:after="0"/>
              <w:rPr>
                <w:sz w:val="1"/>
                <w:szCs w:val="1"/>
                <w:color w:val="auto"/>
              </w:rPr>
            </w:pPr>
          </w:p>
        </w:tc>
      </w:tr>
      <w:tr>
        <w:trPr>
          <w:trHeight w:val="217"/>
        </w:trPr>
        <w:tc>
          <w:tcPr>
            <w:tcW w:w="70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335,846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401,934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341,683</w:t>
            </w:r>
          </w:p>
        </w:tc>
        <w:tc>
          <w:tcPr>
            <w:tcW w:w="0" w:type="dxa"/>
            <w:vAlign w:val="bottom"/>
          </w:tcPr>
          <w:p>
            <w:pPr>
              <w:spacing w:after="0"/>
              <w:rPr>
                <w:sz w:val="1"/>
                <w:szCs w:val="1"/>
                <w:color w:val="auto"/>
              </w:rPr>
            </w:pPr>
          </w:p>
        </w:tc>
      </w:tr>
      <w:tr>
        <w:trPr>
          <w:trHeight w:val="224"/>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Provision for income taxes</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564</w:t>
            </w:r>
          </w:p>
        </w:tc>
        <w:tc>
          <w:tcPr>
            <w:tcW w:w="0" w:type="dxa"/>
            <w:vAlign w:val="bottom"/>
          </w:tcPr>
          <w:p>
            <w:pPr>
              <w:spacing w:after="0"/>
              <w:rPr>
                <w:sz w:val="1"/>
                <w:szCs w:val="1"/>
                <w:color w:val="auto"/>
              </w:rPr>
            </w:pPr>
          </w:p>
        </w:tc>
      </w:tr>
      <w:tr>
        <w:trPr>
          <w:trHeight w:val="217"/>
        </w:trPr>
        <w:tc>
          <w:tcPr>
            <w:tcW w:w="70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334,829</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401,385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341,119</w:t>
            </w:r>
          </w:p>
        </w:tc>
        <w:tc>
          <w:tcPr>
            <w:tcW w:w="0" w:type="dxa"/>
            <w:vAlign w:val="bottom"/>
          </w:tcPr>
          <w:p>
            <w:pPr>
              <w:spacing w:after="0"/>
              <w:rPr>
                <w:sz w:val="1"/>
                <w:szCs w:val="1"/>
                <w:color w:val="auto"/>
              </w:rPr>
            </w:pPr>
          </w:p>
        </w:tc>
      </w:tr>
      <w:tr>
        <w:trPr>
          <w:trHeight w:val="224"/>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Less: Net income attributable to noncontrolling interest in OpCo</w:t>
            </w:r>
          </w:p>
        </w:tc>
        <w:tc>
          <w:tcPr>
            <w:tcW w:w="28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270,656</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318,838</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274,952</w:t>
            </w:r>
          </w:p>
        </w:tc>
        <w:tc>
          <w:tcPr>
            <w:tcW w:w="0" w:type="dxa"/>
            <w:vAlign w:val="bottom"/>
          </w:tcPr>
          <w:p>
            <w:pPr>
              <w:spacing w:after="0"/>
              <w:rPr>
                <w:sz w:val="1"/>
                <w:szCs w:val="1"/>
                <w:color w:val="auto"/>
              </w:rPr>
            </w:pPr>
          </w:p>
        </w:tc>
      </w:tr>
      <w:tr>
        <w:trPr>
          <w:trHeight w:val="151"/>
        </w:trPr>
        <w:tc>
          <w:tcPr>
            <w:tcW w:w="7060" w:type="dxa"/>
            <w:vAlign w:val="bottom"/>
          </w:tcPr>
          <w:p>
            <w:pPr>
              <w:ind w:left="20"/>
              <w:spacing w:after="0" w:line="152" w:lineRule="exact"/>
              <w:rPr>
                <w:sz w:val="20"/>
                <w:szCs w:val="20"/>
                <w:color w:val="auto"/>
              </w:rPr>
            </w:pPr>
            <w:r>
              <w:rPr>
                <w:rFonts w:ascii="Arial" w:cs="Arial" w:eastAsia="Arial" w:hAnsi="Arial"/>
                <w:sz w:val="16"/>
                <w:szCs w:val="16"/>
                <w:b w:val="1"/>
                <w:bCs w:val="1"/>
                <w:color w:val="auto"/>
              </w:rPr>
              <w:t>Net income attributable to Westlake Chemical Partners LP and limited</w:t>
            </w:r>
          </w:p>
        </w:tc>
        <w:tc>
          <w:tcPr>
            <w:tcW w:w="280" w:type="dxa"/>
            <w:vAlign w:val="bottom"/>
            <w:vMerge w:val="restart"/>
          </w:tcPr>
          <w:p>
            <w:pPr>
              <w:jc w:val="right"/>
              <w:ind w:right="92"/>
              <w:spacing w:after="0"/>
              <w:rPr>
                <w:sz w:val="20"/>
                <w:szCs w:val="20"/>
                <w:color w:val="auto"/>
              </w:rPr>
            </w:pPr>
            <w:r>
              <w:rPr>
                <w:rFonts w:ascii="Arial" w:cs="Arial" w:eastAsia="Arial" w:hAnsi="Arial"/>
                <w:sz w:val="18"/>
                <w:szCs w:val="18"/>
                <w:b w:val="1"/>
                <w:bCs w:val="1"/>
                <w:color w:val="auto"/>
                <w:w w:val="79"/>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64,173</w:t>
            </w:r>
          </w:p>
        </w:tc>
        <w:tc>
          <w:tcPr>
            <w:tcW w:w="420" w:type="dxa"/>
            <w:vAlign w:val="bottom"/>
            <w:gridSpan w:val="3"/>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82,547</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0" w:type="dxa"/>
            <w:vAlign w:val="bottom"/>
            <w:vMerge w:val="restart"/>
          </w:tcPr>
          <w:p>
            <w:pPr>
              <w:jc w:val="right"/>
              <w:ind w:right="243"/>
              <w:spacing w:after="0"/>
              <w:rPr>
                <w:sz w:val="20"/>
                <w:szCs w:val="20"/>
                <w:color w:val="auto"/>
              </w:rPr>
            </w:pPr>
            <w:r>
              <w:rPr>
                <w:rFonts w:ascii="Arial" w:cs="Arial" w:eastAsia="Arial" w:hAnsi="Arial"/>
                <w:sz w:val="15"/>
                <w:szCs w:val="15"/>
                <w:b w:val="1"/>
                <w:bCs w:val="1"/>
                <w:color w:val="auto"/>
                <w:w w:val="71"/>
              </w:rPr>
              <w:t>$</w:t>
            </w:r>
          </w:p>
        </w:tc>
        <w:tc>
          <w:tcPr>
            <w:tcW w:w="88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66,167</w:t>
            </w:r>
          </w:p>
        </w:tc>
        <w:tc>
          <w:tcPr>
            <w:tcW w:w="0" w:type="dxa"/>
            <w:vAlign w:val="bottom"/>
          </w:tcPr>
          <w:p>
            <w:pPr>
              <w:spacing w:after="0"/>
              <w:rPr>
                <w:sz w:val="1"/>
                <w:szCs w:val="1"/>
                <w:color w:val="auto"/>
              </w:rPr>
            </w:pPr>
          </w:p>
        </w:tc>
      </w:tr>
      <w:tr>
        <w:trPr>
          <w:trHeight w:val="211"/>
        </w:trPr>
        <w:tc>
          <w:tcPr>
            <w:tcW w:w="7060" w:type="dxa"/>
            <w:vAlign w:val="bottom"/>
          </w:tcPr>
          <w:p>
            <w:pPr>
              <w:ind w:left="20"/>
              <w:spacing w:after="0"/>
              <w:rPr>
                <w:sz w:val="20"/>
                <w:szCs w:val="20"/>
                <w:color w:val="auto"/>
              </w:rPr>
            </w:pPr>
            <w:r>
              <w:rPr>
                <w:rFonts w:ascii="Arial" w:cs="Arial" w:eastAsia="Arial" w:hAnsi="Arial"/>
                <w:sz w:val="18"/>
                <w:szCs w:val="18"/>
                <w:b w:val="1"/>
                <w:bCs w:val="1"/>
                <w:color w:val="auto"/>
              </w:rPr>
              <w:t>partners' interest in net income</w:t>
            </w:r>
          </w:p>
        </w:tc>
        <w:tc>
          <w:tcPr>
            <w:tcW w:w="280" w:type="dxa"/>
            <w:vAlign w:val="bottom"/>
            <w:vMerge w:val="continue"/>
          </w:tcPr>
          <w:p>
            <w:pPr>
              <w:spacing w:after="0"/>
              <w:rPr>
                <w:sz w:val="18"/>
                <w:szCs w:val="18"/>
                <w:color w:val="auto"/>
              </w:rPr>
            </w:pPr>
          </w:p>
        </w:tc>
        <w:tc>
          <w:tcPr>
            <w:tcW w:w="1000" w:type="dxa"/>
            <w:vAlign w:val="bottom"/>
            <w:vMerge w:val="continue"/>
          </w:tcPr>
          <w:p>
            <w:pPr>
              <w:spacing w:after="0"/>
              <w:rPr>
                <w:sz w:val="18"/>
                <w:szCs w:val="18"/>
                <w:color w:val="auto"/>
              </w:rPr>
            </w:pPr>
          </w:p>
        </w:tc>
        <w:tc>
          <w:tcPr>
            <w:tcW w:w="420" w:type="dxa"/>
            <w:vAlign w:val="bottom"/>
            <w:gridSpan w:val="3"/>
            <w:vMerge w:val="continue"/>
          </w:tcPr>
          <w:p>
            <w:pPr>
              <w:spacing w:after="0"/>
              <w:rPr>
                <w:sz w:val="18"/>
                <w:szCs w:val="18"/>
                <w:color w:val="auto"/>
              </w:rPr>
            </w:pPr>
          </w:p>
        </w:tc>
        <w:tc>
          <w:tcPr>
            <w:tcW w:w="10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vMerge w:val="continue"/>
          </w:tcPr>
          <w:p>
            <w:pPr>
              <w:spacing w:after="0"/>
              <w:rPr>
                <w:sz w:val="18"/>
                <w:szCs w:val="18"/>
                <w:color w:val="auto"/>
              </w:rPr>
            </w:pPr>
          </w:p>
        </w:tc>
        <w:tc>
          <w:tcPr>
            <w:tcW w:w="8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6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7060" w:type="dxa"/>
            <w:vAlign w:val="bottom"/>
            <w:shd w:val="clear" w:color="auto" w:fill="CCEEFF"/>
          </w:tcPr>
          <w:p>
            <w:pPr>
              <w:ind w:left="20"/>
              <w:spacing w:after="0" w:line="138" w:lineRule="exact"/>
              <w:rPr>
                <w:sz w:val="20"/>
                <w:szCs w:val="20"/>
                <w:color w:val="auto"/>
              </w:rPr>
            </w:pPr>
            <w:r>
              <w:rPr>
                <w:rFonts w:ascii="Arial" w:cs="Arial" w:eastAsia="Arial" w:hAnsi="Arial"/>
                <w:sz w:val="16"/>
                <w:szCs w:val="16"/>
                <w:color w:val="auto"/>
              </w:rPr>
              <w:t>Net income attributable to Westlake Chemical Partners LP per limited partner</w:t>
            </w: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36"/>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unit (basic and diluted)</w:t>
            </w: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060" w:type="dxa"/>
            <w:vAlign w:val="bottom"/>
          </w:tcPr>
          <w:p>
            <w:pPr>
              <w:ind w:left="220"/>
              <w:spacing w:after="0"/>
              <w:rPr>
                <w:sz w:val="20"/>
                <w:szCs w:val="20"/>
                <w:color w:val="auto"/>
              </w:rPr>
            </w:pPr>
            <w:r>
              <w:rPr>
                <w:rFonts w:ascii="Arial" w:cs="Arial" w:eastAsia="Arial" w:hAnsi="Arial"/>
                <w:sz w:val="18"/>
                <w:szCs w:val="18"/>
                <w:color w:val="auto"/>
              </w:rPr>
              <w:t>Common units</w:t>
            </w:r>
          </w:p>
        </w:tc>
        <w:tc>
          <w:tcPr>
            <w:tcW w:w="280" w:type="dxa"/>
            <w:vAlign w:val="bottom"/>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1.82</w:t>
            </w:r>
          </w:p>
        </w:tc>
        <w:tc>
          <w:tcPr>
            <w:tcW w:w="42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jc w:val="right"/>
              <w:ind w:right="243"/>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172"/>
        </w:trPr>
        <w:tc>
          <w:tcPr>
            <w:tcW w:w="706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rPr>
              <w:t>Weighted average limited partner units outstanding</w:t>
            </w:r>
          </w:p>
        </w:tc>
        <w:tc>
          <w:tcPr>
            <w:tcW w:w="2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(basic and diluted)</w:t>
            </w:r>
          </w:p>
        </w:tc>
        <w:tc>
          <w:tcPr>
            <w:tcW w:w="28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7060" w:type="dxa"/>
            <w:vAlign w:val="bottom"/>
          </w:tcPr>
          <w:p>
            <w:pPr>
              <w:ind w:left="220"/>
              <w:spacing w:after="0"/>
              <w:rPr>
                <w:sz w:val="20"/>
                <w:szCs w:val="20"/>
                <w:color w:val="auto"/>
              </w:rPr>
            </w:pPr>
            <w:r>
              <w:rPr>
                <w:rFonts w:ascii="Arial" w:cs="Arial" w:eastAsia="Arial" w:hAnsi="Arial"/>
                <w:sz w:val="18"/>
                <w:szCs w:val="18"/>
                <w:color w:val="auto"/>
              </w:rPr>
              <w:t>Common units—publicly and privately held</w:t>
            </w:r>
          </w:p>
        </w:tc>
        <w:tc>
          <w:tcPr>
            <w:tcW w:w="2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21,095,106</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21,084,103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88"/>
              </w:rPr>
              <w:t>21,073,041</w:t>
            </w:r>
          </w:p>
        </w:tc>
        <w:tc>
          <w:tcPr>
            <w:tcW w:w="0" w:type="dxa"/>
            <w:vAlign w:val="bottom"/>
          </w:tcPr>
          <w:p>
            <w:pPr>
              <w:spacing w:after="0"/>
              <w:rPr>
                <w:sz w:val="1"/>
                <w:szCs w:val="1"/>
                <w:color w:val="auto"/>
              </w:rPr>
            </w:pPr>
          </w:p>
        </w:tc>
      </w:tr>
      <w:tr>
        <w:trPr>
          <w:trHeight w:val="224"/>
        </w:trPr>
        <w:tc>
          <w:tcPr>
            <w:tcW w:w="7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Common units—Westlake</w:t>
            </w: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14,122,230</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14,122,230</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14,122,230</w:t>
            </w:r>
          </w:p>
        </w:tc>
        <w:tc>
          <w:tcPr>
            <w:tcW w:w="0" w:type="dxa"/>
            <w:vAlign w:val="bottom"/>
          </w:tcPr>
          <w:p>
            <w:pPr>
              <w:spacing w:after="0"/>
              <w:rPr>
                <w:sz w:val="1"/>
                <w:szCs w:val="1"/>
                <w:color w:val="auto"/>
              </w:rPr>
            </w:pPr>
          </w:p>
        </w:tc>
      </w:tr>
    </w:tbl>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6" w:name="page57"/>
    <w:bookmarkEnd w:id="5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EQUITY</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204"/>
        </w:trPr>
        <w:tc>
          <w:tcPr>
            <w:tcW w:w="558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ind w:left="60"/>
              <w:spacing w:after="0"/>
              <w:rPr>
                <w:sz w:val="20"/>
                <w:szCs w:val="20"/>
                <w:color w:val="auto"/>
              </w:rPr>
            </w:pPr>
            <w:r>
              <w:rPr>
                <w:rFonts w:ascii="Arial" w:cs="Arial" w:eastAsia="Arial" w:hAnsi="Arial"/>
                <w:sz w:val="16"/>
                <w:szCs w:val="16"/>
                <w:b w:val="1"/>
                <w:bCs w:val="1"/>
                <w:i w:val="1"/>
                <w:iCs w:val="1"/>
                <w:color w:val="auto"/>
              </w:rPr>
              <w:t>Partnership</w:t>
            </w:r>
          </w:p>
        </w:tc>
        <w:tc>
          <w:tcPr>
            <w:tcW w:w="1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8"/>
        </w:trPr>
        <w:tc>
          <w:tcPr>
            <w:tcW w:w="5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200"/>
              <w:spacing w:after="0" w:line="128" w:lineRule="exact"/>
              <w:rPr>
                <w:sz w:val="20"/>
                <w:szCs w:val="20"/>
                <w:color w:val="auto"/>
              </w:rPr>
            </w:pPr>
            <w:r>
              <w:rPr>
                <w:rFonts w:ascii="Arial" w:cs="Arial" w:eastAsia="Arial" w:hAnsi="Arial"/>
                <w:sz w:val="14"/>
                <w:szCs w:val="14"/>
                <w:b w:val="1"/>
                <w:bCs w:val="1"/>
                <w:color w:val="auto"/>
                <w:w w:val="92"/>
              </w:rPr>
              <w:t>Common</w:t>
            </w:r>
          </w:p>
        </w:tc>
        <w:tc>
          <w:tcPr>
            <w:tcW w:w="120" w:type="dxa"/>
            <w:vAlign w:val="bottom"/>
          </w:tcPr>
          <w:p>
            <w:pPr>
              <w:spacing w:after="0"/>
              <w:rPr>
                <w:sz w:val="11"/>
                <w:szCs w:val="11"/>
                <w:color w:val="auto"/>
              </w:rPr>
            </w:pPr>
          </w:p>
        </w:tc>
        <w:tc>
          <w:tcPr>
            <w:tcW w:w="102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Common</w:t>
            </w:r>
          </w:p>
        </w:tc>
        <w:tc>
          <w:tcPr>
            <w:tcW w:w="180" w:type="dxa"/>
            <w:vAlign w:val="bottom"/>
          </w:tcPr>
          <w:p>
            <w:pPr>
              <w:spacing w:after="0"/>
              <w:rPr>
                <w:sz w:val="11"/>
                <w:szCs w:val="11"/>
                <w:color w:val="auto"/>
              </w:rPr>
            </w:pPr>
          </w:p>
        </w:tc>
        <w:tc>
          <w:tcPr>
            <w:tcW w:w="9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General</w:t>
            </w:r>
          </w:p>
        </w:tc>
        <w:tc>
          <w:tcPr>
            <w:tcW w:w="114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0"/>
              </w:rPr>
              <w:t>Noncontrolling</w:t>
            </w: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5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0"/>
              </w:rPr>
              <w:t>Unitholders -</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5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gridSpan w:val="2"/>
          </w:tcPr>
          <w:p>
            <w:pPr>
              <w:jc w:val="center"/>
              <w:ind w:right="200"/>
              <w:spacing w:after="0" w:line="135" w:lineRule="exact"/>
              <w:rPr>
                <w:sz w:val="20"/>
                <w:szCs w:val="20"/>
                <w:color w:val="auto"/>
              </w:rPr>
            </w:pPr>
            <w:r>
              <w:rPr>
                <w:rFonts w:ascii="Arial" w:cs="Arial" w:eastAsia="Arial" w:hAnsi="Arial"/>
                <w:sz w:val="14"/>
                <w:szCs w:val="14"/>
                <w:b w:val="1"/>
                <w:bCs w:val="1"/>
                <w:color w:val="auto"/>
                <w:w w:val="92"/>
              </w:rPr>
              <w:t>Publicly and</w:t>
            </w:r>
          </w:p>
        </w:tc>
        <w:tc>
          <w:tcPr>
            <w:tcW w:w="120" w:type="dxa"/>
            <w:vAlign w:val="bottom"/>
          </w:tcPr>
          <w:p>
            <w:pPr>
              <w:spacing w:after="0"/>
              <w:rPr>
                <w:sz w:val="11"/>
                <w:szCs w:val="11"/>
                <w:color w:val="auto"/>
              </w:rPr>
            </w:pPr>
          </w:p>
        </w:tc>
        <w:tc>
          <w:tcPr>
            <w:tcW w:w="1020" w:type="dxa"/>
            <w:vAlign w:val="bottom"/>
            <w:gridSpan w:val="2"/>
          </w:tcPr>
          <w:p>
            <w:pPr>
              <w:jc w:val="center"/>
              <w:ind w:right="240"/>
              <w:spacing w:after="0" w:line="135" w:lineRule="exact"/>
              <w:rPr>
                <w:sz w:val="20"/>
                <w:szCs w:val="20"/>
                <w:color w:val="auto"/>
              </w:rPr>
            </w:pPr>
            <w:r>
              <w:rPr>
                <w:rFonts w:ascii="Arial" w:cs="Arial" w:eastAsia="Arial" w:hAnsi="Arial"/>
                <w:sz w:val="14"/>
                <w:szCs w:val="14"/>
                <w:b w:val="1"/>
                <w:bCs w:val="1"/>
                <w:color w:val="auto"/>
                <w:w w:val="94"/>
              </w:rPr>
              <w:t>Unitholder -</w:t>
            </w:r>
          </w:p>
        </w:tc>
        <w:tc>
          <w:tcPr>
            <w:tcW w:w="180" w:type="dxa"/>
            <w:vAlign w:val="bottom"/>
          </w:tcPr>
          <w:p>
            <w:pPr>
              <w:spacing w:after="0"/>
              <w:rPr>
                <w:sz w:val="11"/>
                <w:szCs w:val="11"/>
                <w:color w:val="auto"/>
              </w:rPr>
            </w:pPr>
          </w:p>
        </w:tc>
        <w:tc>
          <w:tcPr>
            <w:tcW w:w="98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7"/>
              </w:rPr>
              <w:t>Partner -</w:t>
            </w:r>
          </w:p>
        </w:tc>
        <w:tc>
          <w:tcPr>
            <w:tcW w:w="180" w:type="dxa"/>
            <w:vAlign w:val="bottom"/>
          </w:tcPr>
          <w:p>
            <w:pPr>
              <w:spacing w:after="0"/>
              <w:rPr>
                <w:sz w:val="11"/>
                <w:szCs w:val="11"/>
                <w:color w:val="auto"/>
              </w:rPr>
            </w:pPr>
          </w:p>
        </w:tc>
        <w:tc>
          <w:tcPr>
            <w:tcW w:w="960" w:type="dxa"/>
            <w:vAlign w:val="bottom"/>
            <w:gridSpan w:val="2"/>
          </w:tcPr>
          <w:p>
            <w:pPr>
              <w:jc w:val="center"/>
              <w:ind w:right="320"/>
              <w:spacing w:after="0" w:line="135" w:lineRule="exact"/>
              <w:rPr>
                <w:sz w:val="20"/>
                <w:szCs w:val="20"/>
                <w:color w:val="auto"/>
              </w:rPr>
            </w:pPr>
            <w:r>
              <w:rPr>
                <w:rFonts w:ascii="Arial" w:cs="Arial" w:eastAsia="Arial" w:hAnsi="Arial"/>
                <w:sz w:val="14"/>
                <w:szCs w:val="14"/>
                <w:b w:val="1"/>
                <w:bCs w:val="1"/>
                <w:color w:val="auto"/>
                <w:w w:val="94"/>
              </w:rPr>
              <w:t>Interest</w:t>
            </w:r>
          </w:p>
        </w:tc>
        <w:tc>
          <w:tcPr>
            <w:tcW w:w="220" w:type="dxa"/>
            <w:vAlign w:val="bottom"/>
          </w:tcPr>
          <w:p>
            <w:pPr>
              <w:spacing w:after="0"/>
              <w:rPr>
                <w:sz w:val="11"/>
                <w:szCs w:val="11"/>
                <w:color w:val="auto"/>
              </w:rPr>
            </w:pPr>
          </w:p>
        </w:tc>
        <w:tc>
          <w:tcPr>
            <w:tcW w:w="840" w:type="dxa"/>
            <w:vAlign w:val="bottom"/>
            <w:vMerge w:val="restart"/>
          </w:tcPr>
          <w:p>
            <w:pPr>
              <w:jc w:val="right"/>
              <w:ind w:right="29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3"/>
        </w:trPr>
        <w:tc>
          <w:tcPr>
            <w:tcW w:w="5580" w:type="dxa"/>
            <w:vAlign w:val="bottom"/>
          </w:tcPr>
          <w:p>
            <w:pPr>
              <w:spacing w:after="0"/>
              <w:rPr>
                <w:sz w:val="15"/>
                <w:szCs w:val="15"/>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4"/>
              </w:rPr>
              <w:t>Privately Held</w:t>
            </w:r>
          </w:p>
        </w:tc>
        <w:tc>
          <w:tcPr>
            <w:tcW w:w="120" w:type="dxa"/>
            <w:vAlign w:val="bottom"/>
          </w:tcPr>
          <w:p>
            <w:pPr>
              <w:spacing w:after="0"/>
              <w:rPr>
                <w:sz w:val="15"/>
                <w:szCs w:val="15"/>
                <w:color w:val="auto"/>
              </w:rPr>
            </w:pPr>
          </w:p>
        </w:tc>
        <w:tc>
          <w:tcPr>
            <w:tcW w:w="10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Westlake</w:t>
            </w:r>
          </w:p>
        </w:tc>
        <w:tc>
          <w:tcPr>
            <w:tcW w:w="180" w:type="dxa"/>
            <w:vAlign w:val="bottom"/>
          </w:tcPr>
          <w:p>
            <w:pPr>
              <w:spacing w:after="0"/>
              <w:rPr>
                <w:sz w:val="15"/>
                <w:szCs w:val="15"/>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Westlake</w:t>
            </w:r>
          </w:p>
        </w:tc>
        <w:tc>
          <w:tcPr>
            <w:tcW w:w="180" w:type="dxa"/>
            <w:vAlign w:val="bottom"/>
          </w:tcPr>
          <w:p>
            <w:pPr>
              <w:spacing w:after="0"/>
              <w:rPr>
                <w:sz w:val="15"/>
                <w:szCs w:val="15"/>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in OpCo</w:t>
            </w:r>
          </w:p>
        </w:tc>
        <w:tc>
          <w:tcPr>
            <w:tcW w:w="220" w:type="dxa"/>
            <w:vAlign w:val="bottom"/>
          </w:tcPr>
          <w:p>
            <w:pPr>
              <w:spacing w:after="0"/>
              <w:rPr>
                <w:sz w:val="15"/>
                <w:szCs w:val="15"/>
                <w:color w:val="auto"/>
              </w:rPr>
            </w:pPr>
          </w:p>
        </w:tc>
        <w:tc>
          <w:tcPr>
            <w:tcW w:w="8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5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6"/>
        </w:trPr>
        <w:tc>
          <w:tcPr>
            <w:tcW w:w="5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60" w:type="dxa"/>
            <w:vAlign w:val="bottom"/>
            <w:gridSpan w:val="6"/>
          </w:tcPr>
          <w:p>
            <w:pPr>
              <w:jc w:val="center"/>
              <w:ind w:left="656"/>
              <w:spacing w:after="0"/>
              <w:rPr>
                <w:sz w:val="20"/>
                <w:szCs w:val="20"/>
                <w:color w:val="auto"/>
              </w:rPr>
            </w:pPr>
            <w:r>
              <w:rPr>
                <w:rFonts w:ascii="Arial" w:cs="Arial" w:eastAsia="Arial" w:hAnsi="Arial"/>
                <w:sz w:val="14"/>
                <w:szCs w:val="14"/>
                <w:b w:val="1"/>
                <w:bCs w:val="1"/>
                <w:color w:val="auto"/>
                <w:w w:val="89"/>
              </w:rPr>
              <w:t>(in thousands of dollars)</w:t>
            </w: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55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55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471,736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48,350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(242,572)</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674,621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952,135</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39,618</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26,549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274,952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341,119</w:t>
            </w:r>
          </w:p>
        </w:tc>
        <w:tc>
          <w:tcPr>
            <w:tcW w:w="0" w:type="dxa"/>
            <w:vAlign w:val="bottom"/>
          </w:tcPr>
          <w:p>
            <w:pPr>
              <w:spacing w:after="0"/>
              <w:rPr>
                <w:sz w:val="1"/>
                <w:szCs w:val="1"/>
                <w:color w:val="auto"/>
              </w:rPr>
            </w:pPr>
          </w:p>
        </w:tc>
      </w:tr>
      <w:tr>
        <w:trPr>
          <w:trHeight w:val="224"/>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Units issued for vested phantom units</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Quarterly distribution to unitholders</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(39,734)</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(26,629)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(66,363)</w:t>
            </w:r>
          </w:p>
        </w:tc>
        <w:tc>
          <w:tcPr>
            <w:tcW w:w="0" w:type="dxa"/>
            <w:vAlign w:val="bottom"/>
          </w:tcPr>
          <w:p>
            <w:pPr>
              <w:spacing w:after="0"/>
              <w:rPr>
                <w:sz w:val="1"/>
                <w:szCs w:val="1"/>
                <w:color w:val="auto"/>
              </w:rPr>
            </w:pPr>
          </w:p>
        </w:tc>
      </w:tr>
      <w:tr>
        <w:trPr>
          <w:trHeight w:val="172"/>
        </w:trPr>
        <w:tc>
          <w:tcPr>
            <w:tcW w:w="5580" w:type="dxa"/>
            <w:vAlign w:val="bottom"/>
            <w:shd w:val="clear" w:color="auto" w:fill="CCEEFF"/>
          </w:tcPr>
          <w:p>
            <w:pPr>
              <w:spacing w:after="0" w:line="172" w:lineRule="exact"/>
              <w:rPr>
                <w:sz w:val="20"/>
                <w:szCs w:val="20"/>
                <w:color w:val="auto"/>
              </w:rPr>
            </w:pPr>
            <w:r>
              <w:rPr>
                <w:rFonts w:ascii="Arial" w:cs="Arial" w:eastAsia="Arial" w:hAnsi="Arial"/>
                <w:sz w:val="18"/>
                <w:szCs w:val="18"/>
                <w:color w:val="auto"/>
              </w:rPr>
              <w:t>Quarterly distribution to noncontrolling interest retained in OpCo by</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5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Westlake</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(311,835)</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(311,835)</w:t>
            </w:r>
          </w:p>
        </w:tc>
        <w:tc>
          <w:tcPr>
            <w:tcW w:w="0" w:type="dxa"/>
            <w:vAlign w:val="bottom"/>
          </w:tcPr>
          <w:p>
            <w:pPr>
              <w:spacing w:after="0"/>
              <w:rPr>
                <w:sz w:val="1"/>
                <w:szCs w:val="1"/>
                <w:color w:val="auto"/>
              </w:rPr>
            </w:pPr>
          </w:p>
        </w:tc>
      </w:tr>
      <w:tr>
        <w:trPr>
          <w:trHeight w:val="217"/>
        </w:trPr>
        <w:tc>
          <w:tcPr>
            <w:tcW w:w="5580" w:type="dxa"/>
            <w:vAlign w:val="bottom"/>
          </w:tcPr>
          <w:p>
            <w:pPr>
              <w:spacing w:after="0"/>
              <w:rPr>
                <w:sz w:val="20"/>
                <w:szCs w:val="20"/>
                <w:color w:val="auto"/>
              </w:rPr>
            </w:pPr>
            <w:r>
              <w:rPr>
                <w:rFonts w:ascii="Arial" w:cs="Arial" w:eastAsia="Arial" w:hAnsi="Arial"/>
                <w:sz w:val="18"/>
                <w:szCs w:val="18"/>
                <w:b w:val="1"/>
                <w:bCs w:val="1"/>
                <w:color w:val="auto"/>
              </w:rPr>
              <w:t>Balances at December 31, 2020</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471,701</w:t>
            </w: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48,270</w:t>
            </w: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w w:val="90"/>
              </w:rPr>
              <w:t>(242,572)</w:t>
            </w:r>
          </w:p>
        </w:tc>
        <w:tc>
          <w:tcPr>
            <w:tcW w:w="80" w:type="dxa"/>
            <w:vAlign w:val="bottom"/>
          </w:tcPr>
          <w:p>
            <w:pPr>
              <w:spacing w:after="0"/>
              <w:rPr>
                <w:sz w:val="18"/>
                <w:szCs w:val="18"/>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637,738</w:t>
            </w:r>
          </w:p>
        </w:tc>
        <w:tc>
          <w:tcPr>
            <w:tcW w:w="80" w:type="dxa"/>
            <w:vAlign w:val="bottom"/>
          </w:tcPr>
          <w:p>
            <w:pPr>
              <w:spacing w:after="0"/>
              <w:rPr>
                <w:sz w:val="18"/>
                <w:szCs w:val="18"/>
                <w:color w:val="auto"/>
              </w:rPr>
            </w:pPr>
          </w:p>
        </w:tc>
        <w:tc>
          <w:tcPr>
            <w:tcW w:w="2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915,137</w:t>
            </w:r>
          </w:p>
        </w:tc>
        <w:tc>
          <w:tcPr>
            <w:tcW w:w="0" w:type="dxa"/>
            <w:vAlign w:val="bottom"/>
          </w:tcPr>
          <w:p>
            <w:pPr>
              <w:spacing w:after="0"/>
              <w:rPr>
                <w:sz w:val="1"/>
                <w:szCs w:val="1"/>
                <w:color w:val="auto"/>
              </w:rPr>
            </w:pPr>
          </w:p>
        </w:tc>
      </w:tr>
      <w:tr>
        <w:trPr>
          <w:trHeight w:val="224"/>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49,435</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33,112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318,838</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401,385</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Units issued for vested phantom units</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411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411</w:t>
            </w:r>
          </w:p>
        </w:tc>
        <w:tc>
          <w:tcPr>
            <w:tcW w:w="0" w:type="dxa"/>
            <w:vAlign w:val="bottom"/>
          </w:tcPr>
          <w:p>
            <w:pPr>
              <w:spacing w:after="0"/>
              <w:rPr>
                <w:sz w:val="1"/>
                <w:szCs w:val="1"/>
                <w:color w:val="auto"/>
              </w:rPr>
            </w:pPr>
          </w:p>
        </w:tc>
      </w:tr>
      <w:tr>
        <w:trPr>
          <w:trHeight w:val="224"/>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Quarterly distribution to unitholders</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(39,751)</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(26,628)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(66,379)</w:t>
            </w:r>
          </w:p>
        </w:tc>
        <w:tc>
          <w:tcPr>
            <w:tcW w:w="0" w:type="dxa"/>
            <w:vAlign w:val="bottom"/>
          </w:tcPr>
          <w:p>
            <w:pPr>
              <w:spacing w:after="0"/>
              <w:rPr>
                <w:sz w:val="1"/>
                <w:szCs w:val="1"/>
                <w:color w:val="auto"/>
              </w:rPr>
            </w:pPr>
          </w:p>
        </w:tc>
      </w:tr>
      <w:tr>
        <w:trPr>
          <w:trHeight w:val="172"/>
        </w:trPr>
        <w:tc>
          <w:tcPr>
            <w:tcW w:w="5580" w:type="dxa"/>
            <w:vAlign w:val="bottom"/>
          </w:tcPr>
          <w:p>
            <w:pPr>
              <w:spacing w:after="0" w:line="172" w:lineRule="exact"/>
              <w:rPr>
                <w:sz w:val="20"/>
                <w:szCs w:val="20"/>
                <w:color w:val="auto"/>
              </w:rPr>
            </w:pPr>
            <w:r>
              <w:rPr>
                <w:rFonts w:ascii="Arial" w:cs="Arial" w:eastAsia="Arial" w:hAnsi="Arial"/>
                <w:sz w:val="18"/>
                <w:szCs w:val="18"/>
                <w:color w:val="auto"/>
              </w:rPr>
              <w:t>Quarterly distribution to noncontrolling interest retained in OpCo by</w:t>
            </w: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580" w:type="dxa"/>
            <w:vAlign w:val="bottom"/>
          </w:tcPr>
          <w:p>
            <w:pPr>
              <w:ind w:left="160"/>
              <w:spacing w:after="0"/>
              <w:rPr>
                <w:sz w:val="20"/>
                <w:szCs w:val="20"/>
                <w:color w:val="auto"/>
              </w:rPr>
            </w:pPr>
            <w:r>
              <w:rPr>
                <w:rFonts w:ascii="Arial" w:cs="Arial" w:eastAsia="Arial" w:hAnsi="Arial"/>
                <w:sz w:val="18"/>
                <w:szCs w:val="18"/>
                <w:color w:val="auto"/>
              </w:rPr>
              <w:t>Westlake</w:t>
            </w:r>
          </w:p>
        </w:tc>
        <w:tc>
          <w:tcPr>
            <w:tcW w:w="10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(277,856)</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(277,856)</w:t>
            </w:r>
          </w:p>
        </w:tc>
        <w:tc>
          <w:tcPr>
            <w:tcW w:w="0" w:type="dxa"/>
            <w:vAlign w:val="bottom"/>
          </w:tcPr>
          <w:p>
            <w:pPr>
              <w:spacing w:after="0"/>
              <w:rPr>
                <w:sz w:val="1"/>
                <w:szCs w:val="1"/>
                <w:color w:val="auto"/>
              </w:rPr>
            </w:pPr>
          </w:p>
        </w:tc>
      </w:tr>
      <w:tr>
        <w:trPr>
          <w:trHeight w:val="217"/>
        </w:trPr>
        <w:tc>
          <w:tcPr>
            <w:tcW w:w="55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2021</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481,796</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54,754</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ind w:left="180"/>
              <w:spacing w:after="0"/>
              <w:rPr>
                <w:sz w:val="20"/>
                <w:szCs w:val="20"/>
                <w:color w:val="auto"/>
              </w:rPr>
            </w:pPr>
            <w:r>
              <w:rPr>
                <w:rFonts w:ascii="Arial" w:cs="Arial" w:eastAsia="Arial" w:hAnsi="Arial"/>
                <w:sz w:val="18"/>
                <w:szCs w:val="18"/>
                <w:color w:val="auto"/>
                <w:w w:val="90"/>
              </w:rPr>
              <w:t>(242,572)</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678,720</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972,698</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38,439</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25,734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270,656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334,829</w:t>
            </w:r>
          </w:p>
        </w:tc>
        <w:tc>
          <w:tcPr>
            <w:tcW w:w="0" w:type="dxa"/>
            <w:vAlign w:val="bottom"/>
          </w:tcPr>
          <w:p>
            <w:pPr>
              <w:spacing w:after="0"/>
              <w:rPr>
                <w:sz w:val="1"/>
                <w:szCs w:val="1"/>
                <w:color w:val="auto"/>
              </w:rPr>
            </w:pPr>
          </w:p>
        </w:tc>
      </w:tr>
      <w:tr>
        <w:trPr>
          <w:trHeight w:val="224"/>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Units issued for vested phantom units</w:t>
            </w:r>
          </w:p>
        </w:tc>
        <w:tc>
          <w:tcPr>
            <w:tcW w:w="1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3"/>
        </w:trPr>
        <w:tc>
          <w:tcPr>
            <w:tcW w:w="5580" w:type="dxa"/>
            <w:vAlign w:val="bottom"/>
          </w:tcPr>
          <w:p>
            <w:pPr>
              <w:spacing w:after="0"/>
              <w:rPr>
                <w:sz w:val="20"/>
                <w:szCs w:val="20"/>
                <w:color w:val="auto"/>
              </w:rPr>
            </w:pPr>
            <w:r>
              <w:rPr>
                <w:rFonts w:ascii="Arial" w:cs="Arial" w:eastAsia="Arial" w:hAnsi="Arial"/>
                <w:sz w:val="18"/>
                <w:szCs w:val="18"/>
                <w:color w:val="auto"/>
              </w:rPr>
              <w:t>Quarterly distribution to unitholders</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(39,782)</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(26,629)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(66,411)</w:t>
            </w:r>
          </w:p>
        </w:tc>
        <w:tc>
          <w:tcPr>
            <w:tcW w:w="0" w:type="dxa"/>
            <w:vAlign w:val="bottom"/>
          </w:tcPr>
          <w:p>
            <w:pPr>
              <w:spacing w:after="0"/>
              <w:rPr>
                <w:sz w:val="1"/>
                <w:szCs w:val="1"/>
                <w:color w:val="auto"/>
              </w:rPr>
            </w:pPr>
          </w:p>
        </w:tc>
      </w:tr>
      <w:tr>
        <w:trPr>
          <w:trHeight w:val="172"/>
        </w:trPr>
        <w:tc>
          <w:tcPr>
            <w:tcW w:w="5580" w:type="dxa"/>
            <w:vAlign w:val="bottom"/>
            <w:shd w:val="clear" w:color="auto" w:fill="CCEEFF"/>
          </w:tcPr>
          <w:p>
            <w:pPr>
              <w:spacing w:after="0" w:line="172" w:lineRule="exact"/>
              <w:rPr>
                <w:sz w:val="20"/>
                <w:szCs w:val="20"/>
                <w:color w:val="auto"/>
              </w:rPr>
            </w:pPr>
            <w:r>
              <w:rPr>
                <w:rFonts w:ascii="Arial" w:cs="Arial" w:eastAsia="Arial" w:hAnsi="Arial"/>
                <w:sz w:val="18"/>
                <w:szCs w:val="18"/>
                <w:color w:val="auto"/>
              </w:rPr>
              <w:t>Quarterly distribution to noncontrolling interest retained in OpCo by</w:t>
            </w: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Westlake</w:t>
            </w:r>
          </w:p>
        </w:tc>
        <w:tc>
          <w:tcPr>
            <w:tcW w:w="10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(337,598)</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(337,598)</w:t>
            </w:r>
          </w:p>
        </w:tc>
        <w:tc>
          <w:tcPr>
            <w:tcW w:w="0" w:type="dxa"/>
            <w:vAlign w:val="bottom"/>
          </w:tcPr>
          <w:p>
            <w:pPr>
              <w:spacing w:after="0"/>
              <w:rPr>
                <w:sz w:val="1"/>
                <w:szCs w:val="1"/>
                <w:color w:val="auto"/>
              </w:rPr>
            </w:pPr>
          </w:p>
        </w:tc>
      </w:tr>
      <w:tr>
        <w:trPr>
          <w:trHeight w:val="217"/>
        </w:trPr>
        <w:tc>
          <w:tcPr>
            <w:tcW w:w="5580" w:type="dxa"/>
            <w:vAlign w:val="bottom"/>
          </w:tcPr>
          <w:p>
            <w:pPr>
              <w:spacing w:after="0"/>
              <w:rPr>
                <w:sz w:val="20"/>
                <w:szCs w:val="20"/>
                <w:color w:val="auto"/>
              </w:rPr>
            </w:pPr>
            <w:r>
              <w:rPr>
                <w:rFonts w:ascii="Arial" w:cs="Arial" w:eastAsia="Arial" w:hAnsi="Arial"/>
                <w:sz w:val="18"/>
                <w:szCs w:val="18"/>
                <w:b w:val="1"/>
                <w:bCs w:val="1"/>
                <w:color w:val="auto"/>
              </w:rPr>
              <w:t>Balances at December 31, 2022</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480,643</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53,859</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color w:val="auto"/>
                <w:w w:val="90"/>
              </w:rPr>
              <w:t>(242,572)</w:t>
            </w:r>
          </w:p>
        </w:tc>
        <w:tc>
          <w:tcPr>
            <w:tcW w:w="8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611,778</w:t>
            </w:r>
          </w:p>
        </w:tc>
        <w:tc>
          <w:tcPr>
            <w:tcW w:w="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903,708</w:t>
            </w:r>
          </w:p>
        </w:tc>
        <w:tc>
          <w:tcPr>
            <w:tcW w:w="0" w:type="dxa"/>
            <w:vAlign w:val="bottom"/>
          </w:tcPr>
          <w:p>
            <w:pPr>
              <w:spacing w:after="0"/>
              <w:rPr>
                <w:sz w:val="1"/>
                <w:szCs w:val="1"/>
                <w:color w:val="auto"/>
              </w:rPr>
            </w:pPr>
          </w:p>
        </w:tc>
      </w:tr>
      <w:tr>
        <w:trPr>
          <w:trHeight w:val="20"/>
        </w:trPr>
        <w:tc>
          <w:tcPr>
            <w:tcW w:w="5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WESTLAKE CHEMICAL PARTNERS LP</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560" w:type="dxa"/>
            <w:vAlign w:val="bottom"/>
            <w:gridSpan w:val="6"/>
          </w:tcPr>
          <w:p>
            <w:pPr>
              <w:jc w:val="center"/>
              <w:spacing w:after="0"/>
              <w:rPr>
                <w:sz w:val="20"/>
                <w:szCs w:val="20"/>
                <w:color w:val="auto"/>
              </w:rPr>
            </w:pPr>
            <w:r>
              <w:rPr>
                <w:rFonts w:ascii="Arial" w:cs="Arial" w:eastAsia="Arial" w:hAnsi="Arial"/>
                <w:sz w:val="14"/>
                <w:szCs w:val="14"/>
                <w:b w:val="1"/>
                <w:bCs w:val="1"/>
                <w:color w:val="auto"/>
                <w:w w:val="90"/>
              </w:rPr>
              <w:t>Year Ended December 31,</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24"/>
        </w:trPr>
        <w:tc>
          <w:tcPr>
            <w:tcW w:w="70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84"/>
        </w:trPr>
        <w:tc>
          <w:tcPr>
            <w:tcW w:w="70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2022</w:t>
            </w: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233"/>
              <w:spacing w:after="0"/>
              <w:rPr>
                <w:sz w:val="20"/>
                <w:szCs w:val="20"/>
                <w:color w:val="auto"/>
              </w:rPr>
            </w:pPr>
            <w:r>
              <w:rPr>
                <w:rFonts w:ascii="Arial" w:cs="Arial" w:eastAsia="Arial" w:hAnsi="Arial"/>
                <w:sz w:val="14"/>
                <w:szCs w:val="14"/>
                <w:b w:val="1"/>
                <w:bCs w:val="1"/>
                <w:color w:val="auto"/>
                <w:w w:val="89"/>
              </w:rPr>
              <w:t>2021</w:t>
            </w:r>
          </w:p>
        </w:tc>
        <w:tc>
          <w:tcPr>
            <w:tcW w:w="10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2020</w:t>
            </w:r>
          </w:p>
        </w:tc>
      </w:tr>
      <w:tr>
        <w:trPr>
          <w:trHeight w:val="213"/>
        </w:trPr>
        <w:tc>
          <w:tcPr>
            <w:tcW w:w="7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54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8"/>
              </w:rPr>
              <w:t>(in thousands of dollars)</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4"/>
        </w:trPr>
        <w:tc>
          <w:tcPr>
            <w:tcW w:w="70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24"/>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334,829</w:t>
            </w:r>
          </w:p>
        </w:tc>
        <w:tc>
          <w:tcPr>
            <w:tcW w:w="4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401,385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341,119</w:t>
            </w:r>
          </w:p>
        </w:tc>
      </w:tr>
      <w:tr>
        <w:trPr>
          <w:trHeight w:val="172"/>
        </w:trPr>
        <w:tc>
          <w:tcPr>
            <w:tcW w:w="706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rPr>
              <w:t>Adjustments to reconcile net income to net cash provided by</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236"/>
        </w:trPr>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operating activities</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r>
      <w:tr>
        <w:trPr>
          <w:trHeight w:val="223"/>
        </w:trPr>
        <w:tc>
          <w:tcPr>
            <w:tcW w:w="706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121,074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108,814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103,154</w:t>
            </w:r>
          </w:p>
        </w:tc>
      </w:tr>
      <w:tr>
        <w:trPr>
          <w:trHeight w:val="224"/>
        </w:trPr>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Loss from disposition of property, plant and equipment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3"/>
        </w:trPr>
        <w:tc>
          <w:tcPr>
            <w:tcW w:w="7060" w:type="dxa"/>
            <w:vAlign w:val="bottom"/>
          </w:tcPr>
          <w:p>
            <w:pPr>
              <w:ind w:left="340"/>
              <w:spacing w:after="0"/>
              <w:rPr>
                <w:sz w:val="20"/>
                <w:szCs w:val="20"/>
                <w:color w:val="auto"/>
              </w:rPr>
            </w:pPr>
            <w:r>
              <w:rPr>
                <w:rFonts w:ascii="Arial" w:cs="Arial" w:eastAsia="Arial" w:hAnsi="Arial"/>
                <w:sz w:val="18"/>
                <w:szCs w:val="18"/>
                <w:color w:val="auto"/>
              </w:rPr>
              <w:t>Other losses (gains), net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356</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(269)</w:t>
            </w:r>
          </w:p>
        </w:tc>
      </w:tr>
      <w:tr>
        <w:trPr>
          <w:trHeight w:val="224"/>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Changes in operating assets and liabilities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r>
      <w:tr>
        <w:trPr>
          <w:trHeight w:val="223"/>
        </w:trPr>
        <w:tc>
          <w:tcPr>
            <w:tcW w:w="7060" w:type="dxa"/>
            <w:vAlign w:val="bottom"/>
          </w:tcPr>
          <w:p>
            <w:pPr>
              <w:ind w:left="340"/>
              <w:spacing w:after="0"/>
              <w:rPr>
                <w:sz w:val="20"/>
                <w:szCs w:val="20"/>
                <w:color w:val="auto"/>
              </w:rPr>
            </w:pPr>
            <w:r>
              <w:rPr>
                <w:rFonts w:ascii="Arial" w:cs="Arial" w:eastAsia="Arial" w:hAnsi="Arial"/>
                <w:sz w:val="18"/>
                <w:szCs w:val="18"/>
                <w:color w:val="auto"/>
              </w:rPr>
              <w:t>Accounts receivable—third parties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(14,435)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5,468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(953)</w:t>
            </w:r>
          </w:p>
        </w:tc>
      </w:tr>
      <w:tr>
        <w:trPr>
          <w:trHeight w:val="224"/>
        </w:trPr>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accounts receivable—Westlake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74,197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(31,756)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(71,975)</w:t>
            </w:r>
          </w:p>
        </w:tc>
      </w:tr>
      <w:tr>
        <w:trPr>
          <w:trHeight w:val="223"/>
        </w:trPr>
        <w:tc>
          <w:tcPr>
            <w:tcW w:w="7060" w:type="dxa"/>
            <w:vAlign w:val="bottom"/>
          </w:tcPr>
          <w:p>
            <w:pPr>
              <w:ind w:left="340"/>
              <w:spacing w:after="0"/>
              <w:rPr>
                <w:sz w:val="20"/>
                <w:szCs w:val="20"/>
                <w:color w:val="auto"/>
              </w:rPr>
            </w:pPr>
            <w:r>
              <w:rPr>
                <w:rFonts w:ascii="Arial" w:cs="Arial" w:eastAsia="Arial" w:hAnsi="Arial"/>
                <w:sz w:val="18"/>
                <w:szCs w:val="18"/>
                <w:color w:val="auto"/>
              </w:rPr>
              <w:t>Inventories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4,183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(5,424)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(990)</w:t>
            </w:r>
          </w:p>
        </w:tc>
      </w:tr>
      <w:tr>
        <w:trPr>
          <w:trHeight w:val="224"/>
        </w:trPr>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w:t>
            </w:r>
          </w:p>
        </w:tc>
      </w:tr>
      <w:tr>
        <w:trPr>
          <w:trHeight w:val="223"/>
        </w:trPr>
        <w:tc>
          <w:tcPr>
            <w:tcW w:w="7060" w:type="dxa"/>
            <w:vAlign w:val="bottom"/>
          </w:tcPr>
          <w:p>
            <w:pPr>
              <w:ind w:left="340"/>
              <w:spacing w:after="0"/>
              <w:rPr>
                <w:sz w:val="20"/>
                <w:szCs w:val="20"/>
                <w:color w:val="auto"/>
              </w:rPr>
            </w:pPr>
            <w:r>
              <w:rPr>
                <w:rFonts w:ascii="Arial" w:cs="Arial" w:eastAsia="Arial" w:hAnsi="Arial"/>
                <w:sz w:val="18"/>
                <w:szCs w:val="18"/>
                <w:color w:val="auto"/>
              </w:rPr>
              <w:t>Accounts payable—third parties</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(17,001)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19,782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4,247</w:t>
            </w:r>
          </w:p>
        </w:tc>
      </w:tr>
      <w:tr>
        <w:trPr>
          <w:trHeight w:val="224"/>
        </w:trPr>
        <w:tc>
          <w:tcPr>
            <w:tcW w:w="70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and other liabilities</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(37,533)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37,574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w:t>
            </w:r>
          </w:p>
        </w:tc>
      </w:tr>
      <w:tr>
        <w:trPr>
          <w:trHeight w:val="223"/>
        </w:trPr>
        <w:tc>
          <w:tcPr>
            <w:tcW w:w="706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net</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(131,322)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(3,686)</w:t>
            </w:r>
          </w:p>
        </w:tc>
      </w:tr>
      <w:tr>
        <w:trPr>
          <w:trHeight w:val="217"/>
        </w:trPr>
        <w:tc>
          <w:tcPr>
            <w:tcW w:w="7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463,736</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408,439</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373,397</w:t>
            </w:r>
          </w:p>
        </w:tc>
      </w:tr>
      <w:tr>
        <w:trPr>
          <w:trHeight w:val="204"/>
        </w:trPr>
        <w:tc>
          <w:tcPr>
            <w:tcW w:w="7060" w:type="dxa"/>
            <w:vAlign w:val="bottom"/>
          </w:tcPr>
          <w:p>
            <w:pPr>
              <w:ind w:left="20"/>
              <w:spacing w:after="0" w:line="204" w:lineRule="exact"/>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4"/>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to property, plant and equipment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(54,118)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(81,171)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(36,968)</w:t>
            </w: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color w:val="auto"/>
              </w:rPr>
              <w:t>Investments with Westlake under the Investment Management Agreement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(319,884)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(276,000)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(349,000)</w:t>
            </w:r>
          </w:p>
        </w:tc>
      </w:tr>
      <w:tr>
        <w:trPr>
          <w:trHeight w:val="172"/>
        </w:trPr>
        <w:tc>
          <w:tcPr>
            <w:tcW w:w="706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rPr>
              <w:t>Maturities of investments with Westlake under the Investment Management</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236"/>
        </w:trPr>
        <w:tc>
          <w:tcPr>
            <w:tcW w:w="70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Agreement</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362,000</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293,000</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388,000</w:t>
            </w:r>
          </w:p>
        </w:tc>
      </w:tr>
      <w:tr>
        <w:trPr>
          <w:trHeight w:val="223"/>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17"/>
        </w:trPr>
        <w:tc>
          <w:tcPr>
            <w:tcW w:w="7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provided by (used for) investing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(12,002)</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(64,301)</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2,032</w:t>
            </w:r>
          </w:p>
        </w:tc>
      </w:tr>
      <w:tr>
        <w:trPr>
          <w:trHeight w:val="204"/>
        </w:trPr>
        <w:tc>
          <w:tcPr>
            <w:tcW w:w="7060" w:type="dxa"/>
            <w:vAlign w:val="bottom"/>
          </w:tcPr>
          <w:p>
            <w:pPr>
              <w:ind w:left="20"/>
              <w:spacing w:after="0" w:line="204" w:lineRule="exact"/>
              <w:rPr>
                <w:sz w:val="20"/>
                <w:szCs w:val="20"/>
                <w:color w:val="auto"/>
              </w:rPr>
            </w:pPr>
            <w:r>
              <w:rPr>
                <w:rFonts w:ascii="Arial" w:cs="Arial" w:eastAsia="Arial" w:hAnsi="Arial"/>
                <w:sz w:val="18"/>
                <w:szCs w:val="18"/>
                <w:b w:val="1"/>
                <w:bCs w:val="1"/>
                <w:color w:val="auto"/>
              </w:rPr>
              <w:t>Cash flows from financing activities</w:t>
            </w: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24"/>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debt payable to Westlake</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060" w:type="dxa"/>
            <w:vAlign w:val="bottom"/>
          </w:tcPr>
          <w:p>
            <w:pPr>
              <w:ind w:left="20"/>
              <w:spacing w:after="0"/>
              <w:rPr>
                <w:sz w:val="20"/>
                <w:szCs w:val="20"/>
                <w:color w:val="auto"/>
              </w:rPr>
            </w:pPr>
            <w:r>
              <w:rPr>
                <w:rFonts w:ascii="Arial" w:cs="Arial" w:eastAsia="Arial" w:hAnsi="Arial"/>
                <w:sz w:val="18"/>
                <w:szCs w:val="18"/>
                <w:color w:val="auto"/>
              </w:rPr>
              <w:t>Repayment of debt payable to Westlake</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(32,000)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172"/>
        </w:trPr>
        <w:tc>
          <w:tcPr>
            <w:tcW w:w="7060" w:type="dxa"/>
            <w:vAlign w:val="bottom"/>
            <w:shd w:val="clear" w:color="auto" w:fill="CCEEFF"/>
          </w:tcPr>
          <w:p>
            <w:pPr>
              <w:ind w:left="20"/>
              <w:spacing w:after="0" w:line="172" w:lineRule="exact"/>
              <w:rPr>
                <w:sz w:val="20"/>
                <w:szCs w:val="20"/>
                <w:color w:val="auto"/>
              </w:rPr>
            </w:pPr>
            <w:r>
              <w:rPr>
                <w:rFonts w:ascii="Arial" w:cs="Arial" w:eastAsia="Arial" w:hAnsi="Arial"/>
                <w:sz w:val="18"/>
                <w:szCs w:val="18"/>
                <w:color w:val="auto"/>
              </w:rPr>
              <w:t>Quarterly distributions to noncontrolling interest retained in OpCo by</w:t>
            </w: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236"/>
        </w:trPr>
        <w:tc>
          <w:tcPr>
            <w:tcW w:w="7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Westlake</w:t>
            </w: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(337,598)</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(277,856)</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(311,835)</w:t>
            </w:r>
          </w:p>
        </w:tc>
      </w:tr>
      <w:tr>
        <w:trPr>
          <w:trHeight w:val="223"/>
        </w:trPr>
        <w:tc>
          <w:tcPr>
            <w:tcW w:w="7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Quarterly distributions to unitholders</w:t>
            </w: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(66,411)</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(66,379)</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(66,363)</w:t>
            </w:r>
          </w:p>
        </w:tc>
      </w:tr>
      <w:tr>
        <w:trPr>
          <w:trHeight w:val="217"/>
        </w:trPr>
        <w:tc>
          <w:tcPr>
            <w:tcW w:w="706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cash used for financing activities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(404,009)</w:t>
            </w:r>
          </w:p>
        </w:tc>
        <w:tc>
          <w:tcPr>
            <w:tcW w:w="2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(344,235)</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(378,198)</w:t>
            </w:r>
          </w:p>
        </w:tc>
      </w:tr>
      <w:tr>
        <w:trPr>
          <w:trHeight w:val="217"/>
        </w:trPr>
        <w:tc>
          <w:tcPr>
            <w:tcW w:w="706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47,725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(2,769)</w:t>
            </w:r>
          </w:p>
        </w:tc>
      </w:tr>
      <w:tr>
        <w:trPr>
          <w:trHeight w:val="224"/>
        </w:trPr>
        <w:tc>
          <w:tcPr>
            <w:tcW w:w="7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beginning of the year</w:t>
            </w: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17,057</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17,154</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19,923</w:t>
            </w:r>
          </w:p>
        </w:tc>
      </w:tr>
      <w:tr>
        <w:trPr>
          <w:trHeight w:val="217"/>
        </w:trPr>
        <w:tc>
          <w:tcPr>
            <w:tcW w:w="7060" w:type="dxa"/>
            <w:vAlign w:val="bottom"/>
          </w:tcPr>
          <w:p>
            <w:pPr>
              <w:ind w:left="20"/>
              <w:spacing w:after="0"/>
              <w:rPr>
                <w:sz w:val="20"/>
                <w:szCs w:val="20"/>
                <w:color w:val="auto"/>
              </w:rPr>
            </w:pPr>
            <w:r>
              <w:rPr>
                <w:rFonts w:ascii="Arial" w:cs="Arial" w:eastAsia="Arial" w:hAnsi="Arial"/>
                <w:sz w:val="18"/>
                <w:szCs w:val="18"/>
                <w:color w:val="auto"/>
              </w:rPr>
              <w:t>Cash and cash equivalents at end of the year</w:t>
            </w: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64,782</w:t>
            </w:r>
          </w:p>
        </w:tc>
        <w:tc>
          <w:tcPr>
            <w:tcW w:w="4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17,057</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17,154</w:t>
            </w:r>
          </w:p>
        </w:tc>
      </w:tr>
      <w:tr>
        <w:trPr>
          <w:trHeight w:val="20"/>
        </w:trPr>
        <w:tc>
          <w:tcPr>
            <w:tcW w:w="70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58" w:name="page59"/>
    <w:bookmarkEnd w:id="58"/>
    <w:p>
      <w:pPr>
        <w:spacing w:after="0"/>
        <w:rPr>
          <w:sz w:val="20"/>
          <w:szCs w:val="20"/>
          <w:color w:val="auto"/>
        </w:rPr>
      </w:pPr>
      <w:r>
        <w:rPr>
          <w:rFonts w:ascii="Arial" w:cs="Arial" w:eastAsia="Arial" w:hAnsi="Arial"/>
          <w:sz w:val="14"/>
          <w:szCs w:val="14"/>
          <w:u w:val="single" w:color="auto"/>
          <w:color w:val="0000FF"/>
        </w:rPr>
        <w:t>Table of Contents</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WESTLAKE CHEMICAL PARTNERS LP</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right="6620" w:firstLine="5"/>
        <w:spacing w:after="0" w:line="346" w:lineRule="auto"/>
        <w:tabs>
          <w:tab w:leader="none" w:pos="175"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Description of Business and Significant Accounting Policies </w:t>
      </w:r>
      <w:r>
        <w:rPr>
          <w:rFonts w:ascii="Arial" w:cs="Arial" w:eastAsia="Arial" w:hAnsi="Arial"/>
          <w:sz w:val="18"/>
          <w:szCs w:val="18"/>
          <w:b w:val="1"/>
          <w:bCs w:val="1"/>
          <w:i w:val="1"/>
          <w:iCs w:val="1"/>
          <w:color w:val="auto"/>
        </w:rPr>
        <w:t>Description of Business</w:t>
      </w:r>
    </w:p>
    <w:p>
      <w:pPr>
        <w:spacing w:after="0" w:line="1" w:lineRule="exact"/>
        <w:rPr>
          <w:sz w:val="20"/>
          <w:szCs w:val="20"/>
          <w:color w:val="auto"/>
        </w:rPr>
      </w:pPr>
    </w:p>
    <w:p>
      <w:pPr>
        <w:jc w:val="both"/>
        <w:ind w:right="460" w:firstLine="395"/>
        <w:spacing w:after="0" w:line="252" w:lineRule="auto"/>
        <w:rPr>
          <w:sz w:val="20"/>
          <w:szCs w:val="20"/>
          <w:color w:val="auto"/>
        </w:rPr>
      </w:pPr>
      <w:r>
        <w:rPr>
          <w:rFonts w:ascii="Arial" w:cs="Arial" w:eastAsia="Arial" w:hAnsi="Arial"/>
          <w:sz w:val="18"/>
          <w:szCs w:val="18"/>
          <w:color w:val="auto"/>
        </w:rPr>
        <w:t>Westlake Chemical Partners LP ("Westlake Chemical Partners LP" or the "Partnership") is a Delaware limited partnership formed in March 2014 to operate, acquire and develop ethylene production facilities and related assets. On August 4, 2014, the Partnership completed its initial public offering (the "IPO") of 12,937,500 common units representing limited partner interests.</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6"/>
          <w:szCs w:val="16"/>
          <w:color w:val="auto"/>
        </w:rPr>
        <w:t>In connection with the IPO, the Partnership acquired a 10.6% limited partner interest in Westlake Chemical OpCo LP ("OpCo") and a 100% interest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Westlake Chemical OpCo GP LLC ("OpCo GP"), which is the general partner of OpCo. OpCo owns three ethylene production facilities and one common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carrier ethylene pipeline (collectively, the "Contributed Assets"). Since the IPO, the Partnership has periodically purchased additional limited partner interest in</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OpCo. Most recently, on March 29, 2019, the Partnership purchased an additional 4.5% newly-issued limited partner interest in OpCo for approximately</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$201,445, resulting in an aggregate 22.8% limited partner interest in OpCo, effective January 1, 2019. The remaining 77.2% limited partner interest in OpCo is</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owned by Westlake Corporation. References to "Westlake" refer collectively to Westlake Corporation (formerly known as Westlake Chemical Corporation) and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its subsidiaries, other than the Partnership, OpCo and OpCo GP.</w:t>
      </w:r>
    </w:p>
    <w:p>
      <w:pPr>
        <w:spacing w:after="0" w:line="150" w:lineRule="exact"/>
        <w:rPr>
          <w:sz w:val="20"/>
          <w:szCs w:val="20"/>
          <w:color w:val="auto"/>
        </w:rPr>
      </w:pPr>
    </w:p>
    <w:p>
      <w:pPr>
        <w:ind w:right="120" w:firstLine="395"/>
        <w:spacing w:after="0" w:line="261" w:lineRule="auto"/>
        <w:rPr>
          <w:sz w:val="20"/>
          <w:szCs w:val="20"/>
          <w:color w:val="auto"/>
        </w:rPr>
      </w:pPr>
      <w:r>
        <w:rPr>
          <w:rFonts w:ascii="Arial" w:cs="Arial" w:eastAsia="Arial" w:hAnsi="Arial"/>
          <w:sz w:val="18"/>
          <w:szCs w:val="18"/>
          <w:color w:val="auto"/>
        </w:rPr>
        <w:t>OpCo and Westlake entered into an ethylene sales agreement (the "Ethylene Sales Agreement") pursuant to which the Partnership generates a substantial majority of its revenue. For more information, see Note 2.</w:t>
      </w:r>
    </w:p>
    <w:p>
      <w:pPr>
        <w:spacing w:after="0" w:line="129" w:lineRule="exact"/>
        <w:rPr>
          <w:sz w:val="20"/>
          <w:szCs w:val="20"/>
          <w:color w:val="auto"/>
        </w:rPr>
      </w:pPr>
    </w:p>
    <w:p>
      <w:pPr>
        <w:ind w:right="60" w:firstLine="395"/>
        <w:spacing w:after="0" w:line="287" w:lineRule="auto"/>
        <w:rPr>
          <w:sz w:val="20"/>
          <w:szCs w:val="20"/>
          <w:color w:val="auto"/>
        </w:rPr>
      </w:pPr>
      <w:r>
        <w:rPr>
          <w:rFonts w:ascii="Arial" w:cs="Arial" w:eastAsia="Arial" w:hAnsi="Arial"/>
          <w:sz w:val="16"/>
          <w:szCs w:val="16"/>
          <w:color w:val="auto"/>
        </w:rPr>
        <w:t>The Partnership sells ethylene production in excess of volumes sold to Westlake, as well as all of the co-products resulting from the ethylene production, including propylene, crude butadiene, pyrolysis gasoline and hydrogen, directly to third parties on either a spot or contract basis. Co-products sold to third parties are transported by rail or truck. Net proceeds (after transportation and other costs) from the sales of ethylene co-products that result from the production of ethylene purchased by Westlake are netted against the ethylene price charged to Westlake under the Ethylene Sales Agreement, thereby reducing the Partnership's exposure to fluctuations in the market prices of these co-products.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83" w:lineRule="exact"/>
        <w:rPr>
          <w:sz w:val="20"/>
          <w:szCs w:val="20"/>
          <w:color w:val="auto"/>
        </w:rPr>
      </w:pPr>
    </w:p>
    <w:p>
      <w:pPr>
        <w:ind w:right="240" w:firstLine="395"/>
        <w:spacing w:after="0" w:line="261" w:lineRule="auto"/>
        <w:rPr>
          <w:sz w:val="20"/>
          <w:szCs w:val="20"/>
          <w:color w:val="auto"/>
        </w:rPr>
      </w:pPr>
      <w:r>
        <w:rPr>
          <w:rFonts w:ascii="Arial" w:cs="Arial" w:eastAsia="Arial" w:hAnsi="Arial"/>
          <w:sz w:val="18"/>
          <w:szCs w:val="18"/>
          <w:color w:val="auto"/>
        </w:rPr>
        <w:t>The accompanying consolidated financial statements have been prepared in conformity with the accounting principles generally accepted in the United States.</w:t>
      </w:r>
    </w:p>
    <w:p>
      <w:pPr>
        <w:spacing w:after="0" w:line="129" w:lineRule="exact"/>
        <w:rPr>
          <w:sz w:val="20"/>
          <w:szCs w:val="20"/>
          <w:color w:val="auto"/>
        </w:rPr>
      </w:pPr>
    </w:p>
    <w:p>
      <w:pPr>
        <w:ind w:firstLine="395"/>
        <w:spacing w:after="0" w:line="281" w:lineRule="auto"/>
        <w:rPr>
          <w:sz w:val="20"/>
          <w:szCs w:val="20"/>
          <w:color w:val="auto"/>
        </w:rPr>
      </w:pPr>
      <w:r>
        <w:rPr>
          <w:rFonts w:ascii="Arial" w:cs="Arial" w:eastAsia="Arial" w:hAnsi="Arial"/>
          <w:sz w:val="16"/>
          <w:szCs w:val="16"/>
          <w:color w:val="auto"/>
        </w:rPr>
        <w:t>The Partnership holds a 22.8% limited partner interest and the entire non-economic general partner interest in OpCo. The remaining 77.2% limited partner interest in OpCo is owned directly by Westlake, which has no rights to direct the activities that most significantly impact the economic performance of OpCo. As a result of the fact that substantially all of OpCo's activities are conducted on behalf of Westlake, and the fact that OpCo exhibits disproportionality of voting rights to economic interest, OpCo was deemed to be a variable interest entity. The Partnership, through its ownership of OpCo's general partner, has the power to direct the activities that most significantly impact the economic performance of OpCo, and it also has the obligation or right to absorb losses or receive benefits from OpCo that could potentially be significant to OpCo. As such, the Partnership was determined to be OpCo's primary beneficiary and therefore consolidates OpCo's results of operations and financial position. Westlake's retained interest of 77.2% is recorded as noncontrolling interest in the Partnership's consolidated financial statements.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9" w:name="page60"/>
    <w:bookmarkEnd w:id="59"/>
    <w:p>
      <w:pPr>
        <w:spacing w:after="0"/>
        <w:rPr>
          <w:sz w:val="20"/>
          <w:szCs w:val="20"/>
          <w:color w:val="auto"/>
        </w:rPr>
      </w:pPr>
      <w:r>
        <w:rPr>
          <w:rFonts w:ascii="Arial" w:cs="Arial" w:eastAsia="Arial" w:hAnsi="Arial"/>
          <w:sz w:val="14"/>
          <w:szCs w:val="14"/>
          <w:u w:val="single" w:color="auto"/>
          <w:color w:val="0000FF"/>
        </w:rPr>
        <w:t>Table of Contents</w:t>
      </w:r>
    </w:p>
    <w:p>
      <w:pPr>
        <w:spacing w:after="0" w:line="1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PARTNERS LP</w:t>
      </w:r>
    </w:p>
    <w:p>
      <w:pPr>
        <w:spacing w:after="0" w:line="75"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83" w:lineRule="exact"/>
        <w:rPr>
          <w:sz w:val="20"/>
          <w:szCs w:val="20"/>
          <w:color w:val="auto"/>
        </w:rPr>
      </w:pPr>
    </w:p>
    <w:p>
      <w:pPr>
        <w:ind w:right="480" w:firstLine="395"/>
        <w:spacing w:after="0" w:line="261" w:lineRule="auto"/>
        <w:rPr>
          <w:sz w:val="20"/>
          <w:szCs w:val="20"/>
          <w:color w:val="auto"/>
        </w:rPr>
      </w:pPr>
      <w:r>
        <w:rPr>
          <w:rFonts w:ascii="Arial" w:cs="Arial" w:eastAsia="Arial" w:hAnsi="Arial"/>
          <w:sz w:val="18"/>
          <w:szCs w:val="18"/>
          <w:color w:val="auto"/>
        </w:rPr>
        <w:t>Cash equivalents consist of highly liquid investments that are readily convertible into cash and have a maturity of three months or less at the date of acquisition.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Credit Losses</w:t>
      </w:r>
    </w:p>
    <w:p>
      <w:pPr>
        <w:spacing w:after="0" w:line="96" w:lineRule="exact"/>
        <w:rPr>
          <w:sz w:val="20"/>
          <w:szCs w:val="20"/>
          <w:color w:val="auto"/>
        </w:rPr>
      </w:pPr>
    </w:p>
    <w:p>
      <w:pPr>
        <w:ind w:right="60" w:firstLine="395"/>
        <w:spacing w:after="0" w:line="248" w:lineRule="auto"/>
        <w:rPr>
          <w:sz w:val="20"/>
          <w:szCs w:val="20"/>
          <w:color w:val="auto"/>
        </w:rPr>
      </w:pPr>
      <w:r>
        <w:rPr>
          <w:rFonts w:ascii="Arial" w:cs="Arial" w:eastAsia="Arial" w:hAnsi="Arial"/>
          <w:sz w:val="18"/>
          <w:szCs w:val="18"/>
          <w:color w:val="auto"/>
        </w:rPr>
        <w:t>The determination of the allowance for credit losses is based on estimation of the amount of accounts receivable that the Partnership believes are unlikely to be collected. Estimating this amount requires analysis of the financial strength of the Partnership's customers, the use of historical experience, the Partnership's accounts receivable aged trial balance, customer specific collectability analysis and an evaluation of economic conditions. The allowance for credit losses is reviewed quarterly. Past due balances over 90 days and high risk accounts, as determined by the analysis of financial strength of customers, are reviewed individually for collectability.</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96" w:lineRule="exact"/>
        <w:rPr>
          <w:sz w:val="20"/>
          <w:szCs w:val="20"/>
          <w:color w:val="auto"/>
        </w:rPr>
      </w:pPr>
    </w:p>
    <w:p>
      <w:pPr>
        <w:ind w:right="240" w:firstLine="395"/>
        <w:spacing w:after="0" w:line="261" w:lineRule="auto"/>
        <w:rPr>
          <w:sz w:val="20"/>
          <w:szCs w:val="20"/>
          <w:color w:val="auto"/>
        </w:rPr>
      </w:pPr>
      <w:r>
        <w:rPr>
          <w:rFonts w:ascii="Arial" w:cs="Arial" w:eastAsia="Arial" w:hAnsi="Arial"/>
          <w:sz w:val="18"/>
          <w:szCs w:val="18"/>
          <w:color w:val="auto"/>
        </w:rPr>
        <w:t>Inventories primarily include product, material and supplies. Inventories are stated at the lower of cost or net realizable value. Cost is determined using the first-in, first-out ("FIFO") or average method.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Plant and Equipment</w:t>
      </w:r>
    </w:p>
    <w:p>
      <w:pPr>
        <w:spacing w:after="0" w:line="83" w:lineRule="exact"/>
        <w:rPr>
          <w:sz w:val="20"/>
          <w:szCs w:val="20"/>
          <w:color w:val="auto"/>
        </w:rPr>
      </w:pPr>
    </w:p>
    <w:p>
      <w:pPr>
        <w:ind w:right="380" w:firstLine="395"/>
        <w:spacing w:after="0" w:line="261" w:lineRule="auto"/>
        <w:rPr>
          <w:sz w:val="20"/>
          <w:szCs w:val="20"/>
          <w:color w:val="auto"/>
        </w:rPr>
      </w:pPr>
      <w:r>
        <w:rPr>
          <w:rFonts w:ascii="Arial" w:cs="Arial" w:eastAsia="Arial" w:hAnsi="Arial"/>
          <w:sz w:val="18"/>
          <w:szCs w:val="18"/>
          <w:color w:val="auto"/>
        </w:rPr>
        <w:t>Property, plant and equipment are carried at cost, net of accumulated depreciation. Cost includes expenditures for improvements and betterments that extend the useful lives of the assets and interest capitalized on significant capital projects.</w:t>
      </w:r>
    </w:p>
    <w:p>
      <w:pPr>
        <w:spacing w:after="0" w:line="129" w:lineRule="exact"/>
        <w:rPr>
          <w:sz w:val="20"/>
          <w:szCs w:val="20"/>
          <w:color w:val="auto"/>
        </w:rPr>
      </w:pPr>
    </w:p>
    <w:p>
      <w:pPr>
        <w:ind w:right="20" w:firstLine="395"/>
        <w:spacing w:after="0" w:line="250" w:lineRule="auto"/>
        <w:rPr>
          <w:sz w:val="20"/>
          <w:szCs w:val="20"/>
          <w:color w:val="auto"/>
        </w:rPr>
      </w:pPr>
      <w:r>
        <w:rPr>
          <w:rFonts w:ascii="Arial" w:cs="Arial" w:eastAsia="Arial" w:hAnsi="Arial"/>
          <w:sz w:val="18"/>
          <w:szCs w:val="18"/>
          <w:color w:val="auto"/>
        </w:rPr>
        <w:t>Interest expense is capitalized for qualifying assets under construction. Capitalized interest costs are included in property, plant and equipment and are depreciated over the useful life of the related asset. Capitalized interest was $80, $0, and $0 for the years ended December 31, 2022, 2021 and 2020. Repair and maintenance costs are charged to operations as incurred. Gains and losses on the disposal or retirement of property, plant and equipment are reflected in the statement of operations when the assets are sold or retired.</w:t>
      </w:r>
    </w:p>
    <w:p>
      <w:pPr>
        <w:spacing w:after="0" w:line="138" w:lineRule="exact"/>
        <w:rPr>
          <w:sz w:val="20"/>
          <w:szCs w:val="20"/>
          <w:color w:val="auto"/>
        </w:rPr>
      </w:pPr>
    </w:p>
    <w:p>
      <w:pPr>
        <w:ind w:right="100" w:firstLine="395"/>
        <w:spacing w:after="0" w:line="284" w:lineRule="auto"/>
        <w:rPr>
          <w:sz w:val="20"/>
          <w:szCs w:val="20"/>
          <w:color w:val="auto"/>
        </w:rPr>
      </w:pPr>
      <w:r>
        <w:rPr>
          <w:rFonts w:ascii="Arial" w:cs="Arial" w:eastAsia="Arial" w:hAnsi="Arial"/>
          <w:sz w:val="16"/>
          <w:szCs w:val="16"/>
          <w:color w:val="auto"/>
        </w:rPr>
        <w:t>The accounting guidance for asset retirement obligations requires the recording of liabilities equal to the fair value of asset retirement obligations and corresponding additional asset costs, when there is a legal asset retirement obligation as a result of existing or enacted law, statute or contract. The Partnership has conditional asset retirement obligations for the removal and disposal of hazardous materials from certain of the Partnership's manufacturing facilities. However, no asset retirement obligations have been recognized because the fair value of the conditional legal obligation cannot be measured due to the indeterminate settlement date of the obligation. Settlement of these conditional asset retirement obligations is not expected to have a material adverse effect on the Partnership's financial condition, results of operations or cash flows in any individual reporting period.</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Depreciation is provided by utilizing the straight-line method over the estimated useful lives of the assets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800" w:type="dxa"/>
            <w:vAlign w:val="bottom"/>
          </w:tcPr>
          <w:p>
            <w:pPr>
              <w:ind w:left="20"/>
              <w:spacing w:after="0"/>
              <w:rPr>
                <w:sz w:val="20"/>
                <w:szCs w:val="20"/>
                <w:color w:val="auto"/>
              </w:rPr>
            </w:pPr>
            <w:r>
              <w:rPr>
                <w:rFonts w:ascii="Arial" w:cs="Arial" w:eastAsia="Arial" w:hAnsi="Arial"/>
                <w:sz w:val="14"/>
                <w:szCs w:val="14"/>
                <w:b w:val="1"/>
                <w:bCs w:val="1"/>
                <w:color w:val="auto"/>
              </w:rPr>
              <w:t>Classification</w:t>
            </w:r>
          </w:p>
        </w:tc>
        <w:tc>
          <w:tcPr>
            <w:tcW w:w="5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2"/>
          </w:tcPr>
          <w:p>
            <w:pPr>
              <w:ind w:left="540"/>
              <w:spacing w:after="0"/>
              <w:rPr>
                <w:sz w:val="20"/>
                <w:szCs w:val="20"/>
                <w:color w:val="auto"/>
              </w:rPr>
            </w:pPr>
            <w:r>
              <w:rPr>
                <w:rFonts w:ascii="Arial" w:cs="Arial" w:eastAsia="Arial" w:hAnsi="Arial"/>
                <w:sz w:val="14"/>
                <w:szCs w:val="14"/>
                <w:b w:val="1"/>
                <w:bCs w:val="1"/>
                <w:color w:val="auto"/>
              </w:rPr>
              <w:t>Years</w:t>
            </w:r>
          </w:p>
        </w:tc>
      </w:tr>
      <w:tr>
        <w:trPr>
          <w:trHeight w:val="24"/>
        </w:trPr>
        <w:tc>
          <w:tcPr>
            <w:tcW w:w="3800" w:type="dxa"/>
            <w:vAlign w:val="bottom"/>
            <w:tcBorders>
              <w:bottom w:val="single" w:sz="8" w:color="auto"/>
            </w:tcBorders>
          </w:tcPr>
          <w:p>
            <w:pPr>
              <w:spacing w:after="0"/>
              <w:rPr>
                <w:sz w:val="2"/>
                <w:szCs w:val="2"/>
                <w:color w:val="auto"/>
              </w:rPr>
            </w:pPr>
          </w:p>
        </w:tc>
        <w:tc>
          <w:tcPr>
            <w:tcW w:w="5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17"/>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Buildings and improvements</w:t>
            </w:r>
          </w:p>
        </w:tc>
        <w:tc>
          <w:tcPr>
            <w:tcW w:w="7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r>
      <w:tr>
        <w:trPr>
          <w:trHeight w:val="223"/>
        </w:trPr>
        <w:tc>
          <w:tcPr>
            <w:tcW w:w="3800" w:type="dxa"/>
            <w:vAlign w:val="bottom"/>
          </w:tcPr>
          <w:p>
            <w:pPr>
              <w:ind w:left="20"/>
              <w:spacing w:after="0"/>
              <w:rPr>
                <w:sz w:val="20"/>
                <w:szCs w:val="20"/>
                <w:color w:val="auto"/>
              </w:rPr>
            </w:pPr>
            <w:r>
              <w:rPr>
                <w:rFonts w:ascii="Arial" w:cs="Arial" w:eastAsia="Arial" w:hAnsi="Arial"/>
                <w:sz w:val="18"/>
                <w:szCs w:val="18"/>
                <w:color w:val="auto"/>
              </w:rPr>
              <w:t>Plant and equipment</w:t>
            </w:r>
          </w:p>
        </w:tc>
        <w:tc>
          <w:tcPr>
            <w:tcW w:w="7420" w:type="dxa"/>
            <w:vAlign w:val="bottom"/>
            <w:gridSpan w:val="3"/>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9"/>
                <w:szCs w:val="19"/>
                <w:color w:val="auto"/>
              </w:rPr>
            </w:pPr>
          </w:p>
        </w:tc>
      </w:tr>
      <w:tr>
        <w:trPr>
          <w:trHeight w:val="224"/>
        </w:trPr>
        <w:tc>
          <w:tcPr>
            <w:tcW w:w="3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Ethylene pipeline</w:t>
            </w:r>
          </w:p>
        </w:tc>
        <w:tc>
          <w:tcPr>
            <w:tcW w:w="74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9"/>
                <w:szCs w:val="19"/>
                <w:color w:val="auto"/>
              </w:rPr>
            </w:pPr>
          </w:p>
        </w:tc>
      </w:tr>
      <w:tr>
        <w:trPr>
          <w:trHeight w:val="223"/>
        </w:trPr>
        <w:tc>
          <w:tcPr>
            <w:tcW w:w="3800" w:type="dxa"/>
            <w:vAlign w:val="bottom"/>
          </w:tcPr>
          <w:p>
            <w:pPr>
              <w:ind w:left="20"/>
              <w:spacing w:after="0"/>
              <w:rPr>
                <w:sz w:val="20"/>
                <w:szCs w:val="20"/>
                <w:color w:val="auto"/>
              </w:rPr>
            </w:pPr>
            <w:r>
              <w:rPr>
                <w:rFonts w:ascii="Arial" w:cs="Arial" w:eastAsia="Arial" w:hAnsi="Arial"/>
                <w:sz w:val="18"/>
                <w:szCs w:val="18"/>
                <w:color w:val="auto"/>
              </w:rPr>
              <w:t>Other</w:t>
            </w:r>
          </w:p>
        </w:tc>
        <w:tc>
          <w:tcPr>
            <w:tcW w:w="7420" w:type="dxa"/>
            <w:vAlign w:val="bottom"/>
            <w:gridSpan w:val="3"/>
          </w:tcPr>
          <w:p>
            <w:pPr>
              <w:jc w:val="right"/>
              <w:spacing w:after="0"/>
              <w:rPr>
                <w:sz w:val="20"/>
                <w:szCs w:val="20"/>
                <w:color w:val="auto"/>
              </w:rPr>
            </w:pPr>
            <w:r>
              <w:rPr>
                <w:rFonts w:ascii="Arial" w:cs="Arial" w:eastAsia="Arial" w:hAnsi="Arial"/>
                <w:sz w:val="18"/>
                <w:szCs w:val="18"/>
                <w:color w:val="auto"/>
              </w:rPr>
              <w:t>3-15</w:t>
            </w:r>
          </w:p>
        </w:tc>
        <w:tc>
          <w:tcPr>
            <w:tcW w:w="20" w:type="dxa"/>
            <w:vAlign w:val="bottom"/>
          </w:tcPr>
          <w:p>
            <w:pPr>
              <w:spacing w:after="0"/>
              <w:rPr>
                <w:sz w:val="19"/>
                <w:szCs w:val="19"/>
                <w:color w:val="auto"/>
              </w:rPr>
            </w:pPr>
          </w:p>
        </w:tc>
      </w:tr>
      <w:tr>
        <w:trPr>
          <w:trHeight w:val="882"/>
        </w:trPr>
        <w:tc>
          <w:tcPr>
            <w:tcW w:w="3800" w:type="dxa"/>
            <w:vAlign w:val="bottom"/>
          </w:tcPr>
          <w:p>
            <w:pPr>
              <w:spacing w:after="0"/>
              <w:rPr>
                <w:sz w:val="24"/>
                <w:szCs w:val="24"/>
                <w:color w:val="auto"/>
              </w:rPr>
            </w:pPr>
          </w:p>
        </w:tc>
        <w:tc>
          <w:tcPr>
            <w:tcW w:w="5900" w:type="dxa"/>
            <w:vAlign w:val="bottom"/>
          </w:tcPr>
          <w:p>
            <w:pPr>
              <w:jc w:val="right"/>
              <w:ind w:right="3892"/>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3800" w:type="dxa"/>
            <w:vAlign w:val="bottom"/>
            <w:tcBorders>
              <w:bottom w:val="single" w:sz="8" w:color="9A9A9A"/>
            </w:tcBorders>
          </w:tcPr>
          <w:p>
            <w:pPr>
              <w:spacing w:after="0"/>
              <w:rPr>
                <w:sz w:val="9"/>
                <w:szCs w:val="9"/>
                <w:color w:val="auto"/>
              </w:rPr>
            </w:pPr>
          </w:p>
        </w:tc>
        <w:tc>
          <w:tcPr>
            <w:tcW w:w="5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4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14"/>
          <w:szCs w:val="14"/>
          <w:u w:val="single" w:color="auto"/>
          <w:color w:val="0000FF"/>
        </w:rPr>
        <w:t>Table of Contents</w:t>
      </w:r>
    </w:p>
    <w:p>
      <w:pPr>
        <w:spacing w:after="0" w:line="1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PARTNERS LP</w:t>
      </w:r>
    </w:p>
    <w:p>
      <w:pPr>
        <w:spacing w:after="0" w:line="75"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83" w:lineRule="exact"/>
        <w:rPr>
          <w:sz w:val="20"/>
          <w:szCs w:val="20"/>
          <w:color w:val="auto"/>
        </w:rPr>
      </w:pPr>
    </w:p>
    <w:p>
      <w:pPr>
        <w:ind w:firstLine="395"/>
        <w:spacing w:after="0" w:line="279" w:lineRule="auto"/>
        <w:rPr>
          <w:sz w:val="20"/>
          <w:szCs w:val="20"/>
          <w:color w:val="auto"/>
        </w:rPr>
      </w:pPr>
      <w:r>
        <w:rPr>
          <w:rFonts w:ascii="Arial" w:cs="Arial" w:eastAsia="Arial" w:hAnsi="Arial"/>
          <w:sz w:val="16"/>
          <w:szCs w:val="16"/>
          <w:color w:val="auto"/>
        </w:rPr>
        <w:t>The accounting guidance for the impairment or disposal of long-lived assets requires that the Partnership assess long-lived assets for impairment whenever events or changes in circumstances indicate that the carrying amount of an asset may not be recoverable, including when negative conditions such as significant current or projected operating losses exist. Other factors considered by the Partnership when determining if an impairment assessment is necessary include, but are not limited to, significant changes or projected changes in supply and demand fundamentals (which would have a negative impact on operating rates or margins), new technological developments, new competitors with significant raw material or other cost advantages, adverse changes associated with the United States and world economies and uncertainties associated with governmental actions. Long-lived assets assessed for impairment are grouped at the lowest level for which identifiable cash flows are largely independent of the cash flows of other assets and liabilities. Recoverability of assets to be held and used is measured by a comparison of the carrying amount of an asset to future net undiscounted cash flows expected to be generated by the asset. Assets are considered to be impaired if the carrying amount of an asset exceeds the future undiscounted cash flows. The impairment recognized is measured by the amount by which the carrying amount of the assets exceeds the fair value of the assets. Assets to be disposed of are reported at the lower of the carrying amount or estimated fair value less costs to sell.</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Goodwill</w:t>
      </w:r>
    </w:p>
    <w:p>
      <w:pPr>
        <w:spacing w:after="0" w:line="96" w:lineRule="exact"/>
        <w:rPr>
          <w:sz w:val="20"/>
          <w:szCs w:val="20"/>
          <w:color w:val="auto"/>
        </w:rPr>
      </w:pPr>
    </w:p>
    <w:p>
      <w:pPr>
        <w:ind w:right="200" w:firstLine="395"/>
        <w:spacing w:after="0" w:line="291" w:lineRule="auto"/>
        <w:rPr>
          <w:sz w:val="20"/>
          <w:szCs w:val="20"/>
          <w:color w:val="auto"/>
        </w:rPr>
      </w:pPr>
      <w:r>
        <w:rPr>
          <w:rFonts w:ascii="Arial" w:cs="Arial" w:eastAsia="Arial" w:hAnsi="Arial"/>
          <w:sz w:val="16"/>
          <w:szCs w:val="16"/>
          <w:color w:val="auto"/>
        </w:rPr>
        <w:t>The accounting guidance requires that goodwill be tested for impairment at least annually, or when events or changes in circumstances indicate the fair value of a reporting unit with goodwill has been reduced below its carrying value. The impairment test for the recorded goodwill was performed in the fourth quarter of 2022 and did not indicate impairment of the goodwill. As of December 31, 2022, the Partnership's recorded goodwill was $5,814. See Note 6 for more information on the Partnership's annual goodwill impairment test.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Turnaround Costs</w:t>
      </w:r>
    </w:p>
    <w:p>
      <w:pPr>
        <w:spacing w:after="0" w:line="96" w:lineRule="exact"/>
        <w:rPr>
          <w:sz w:val="20"/>
          <w:szCs w:val="20"/>
          <w:color w:val="auto"/>
        </w:rPr>
      </w:pPr>
    </w:p>
    <w:p>
      <w:pPr>
        <w:ind w:right="120" w:firstLine="395"/>
        <w:spacing w:after="0" w:line="247" w:lineRule="auto"/>
        <w:rPr>
          <w:sz w:val="20"/>
          <w:szCs w:val="20"/>
          <w:color w:val="auto"/>
        </w:rPr>
      </w:pPr>
      <w:r>
        <w:rPr>
          <w:rFonts w:ascii="Arial" w:cs="Arial" w:eastAsia="Arial" w:hAnsi="Arial"/>
          <w:sz w:val="18"/>
          <w:szCs w:val="18"/>
          <w:color w:val="auto"/>
        </w:rPr>
        <w:t>The Partnership accounts for turnaround costs under the deferral method. Turnarounds are the scheduled and required shutdowns of specific operating units in order to perform planned major maintenance activities. The costs related to the significant overhaul and refurbishment activities include maintenance materials, parts and direct labor costs. The costs of the turnaround are deferred when incurred at the time of the turnaround and amortized (within depreciation and amortization) on a straight-line basis until the next planned turnaround, which typically ranges from five to six years. Deferred turnaround costs are presented as a component of deferred charges and other assets, net. The cash outflows related to these costs are included in operating activities in the consolidated statement of cash flows.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83" w:lineRule="exact"/>
        <w:rPr>
          <w:sz w:val="20"/>
          <w:szCs w:val="20"/>
          <w:color w:val="auto"/>
        </w:rPr>
      </w:pPr>
    </w:p>
    <w:p>
      <w:pPr>
        <w:jc w:val="both"/>
        <w:ind w:right="60" w:firstLine="395"/>
        <w:spacing w:after="0" w:line="299" w:lineRule="auto"/>
        <w:rPr>
          <w:sz w:val="20"/>
          <w:szCs w:val="20"/>
          <w:color w:val="auto"/>
        </w:rPr>
      </w:pPr>
      <w:r>
        <w:rPr>
          <w:rFonts w:ascii="Arial" w:cs="Arial" w:eastAsia="Arial" w:hAnsi="Arial"/>
          <w:sz w:val="16"/>
          <w:szCs w:val="16"/>
          <w:color w:val="auto"/>
        </w:rPr>
        <w:t>Financial instruments which potentially subject the Partnership to concentration of risk consist principally of trade receivables from third-party customers who purchase ethylene and ethylene co-products. The Partnership performs periodic credit evaluations, as applicable, of the customers' financial condition and generally does not require collateral. The Partnership maintains allowances for potential losses, as applicable.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6" w:lineRule="exact"/>
        <w:rPr>
          <w:sz w:val="20"/>
          <w:szCs w:val="20"/>
          <w:color w:val="auto"/>
        </w:rPr>
      </w:pPr>
    </w:p>
    <w:p>
      <w:pPr>
        <w:ind w:right="200" w:firstLine="395"/>
        <w:spacing w:after="0" w:line="252" w:lineRule="auto"/>
        <w:rPr>
          <w:sz w:val="20"/>
          <w:szCs w:val="20"/>
          <w:color w:val="auto"/>
        </w:rPr>
      </w:pPr>
      <w:r>
        <w:rPr>
          <w:rFonts w:ascii="Arial" w:cs="Arial" w:eastAsia="Arial" w:hAnsi="Arial"/>
          <w:sz w:val="18"/>
          <w:szCs w:val="18"/>
          <w:color w:val="auto"/>
        </w:rPr>
        <w:t>Revenue is recognized when OpCo transfers control of inventories to customers. Amounts recognized as revenues reflect the consideration to which OpCo expects to be entitled in exchange for those inventories. The Partnership and OpCo incorporate production volume and production cost forecasts in the estimated transaction prices from sales to Westlake under the Ethylene Sales Agreement.</w:t>
      </w:r>
    </w:p>
    <w:p>
      <w:pPr>
        <w:spacing w:after="0" w:line="138" w:lineRule="exact"/>
        <w:rPr>
          <w:sz w:val="20"/>
          <w:szCs w:val="20"/>
          <w:color w:val="auto"/>
        </w:rPr>
      </w:pPr>
    </w:p>
    <w:p>
      <w:pPr>
        <w:ind w:right="40" w:firstLine="395"/>
        <w:spacing w:after="0" w:line="248" w:lineRule="auto"/>
        <w:rPr>
          <w:sz w:val="20"/>
          <w:szCs w:val="20"/>
          <w:color w:val="auto"/>
        </w:rPr>
      </w:pPr>
      <w:r>
        <w:rPr>
          <w:rFonts w:ascii="Arial" w:cs="Arial" w:eastAsia="Arial" w:hAnsi="Arial"/>
          <w:sz w:val="18"/>
          <w:szCs w:val="18"/>
          <w:color w:val="auto"/>
        </w:rPr>
        <w:t>The Partnership recognizes revenue and accounts receivable upon transferring control of inventories to its customers. Ethylene sold to Westlake under the Ethylene Sales Agreement is transferred to Westlake immediately after production and recognized in sales. Control of inventories sold to third parties generally transfers upon shipment to the customer. The Partnership excludes taxes collected on behalf of customers from the estimated contract price. Provisions for discounts, rebates and returns are incorporated in the estimate of variable consideration and reflected as reduction to revenue in the same period as the related sales.</w:t>
      </w:r>
    </w:p>
    <w:p>
      <w:pPr>
        <w:spacing w:after="0" w:line="141" w:lineRule="exact"/>
        <w:rPr>
          <w:sz w:val="20"/>
          <w:szCs w:val="20"/>
          <w:color w:val="auto"/>
        </w:rPr>
      </w:pPr>
    </w:p>
    <w:p>
      <w:pPr>
        <w:ind w:right="100" w:firstLine="395"/>
        <w:spacing w:after="0" w:line="252" w:lineRule="auto"/>
        <w:rPr>
          <w:sz w:val="20"/>
          <w:szCs w:val="20"/>
          <w:color w:val="auto"/>
        </w:rPr>
      </w:pPr>
      <w:r>
        <w:rPr>
          <w:rFonts w:ascii="Arial" w:cs="Arial" w:eastAsia="Arial" w:hAnsi="Arial"/>
          <w:sz w:val="18"/>
          <w:szCs w:val="18"/>
          <w:color w:val="auto"/>
        </w:rPr>
        <w:t>The Partnership does not disclose the value of unsatisfied performance obligations because its contracts with customers (1) have an original expected duration of one year or less or (2) have only variable consideration which is allocated to wholly unsatisfied performance obligations that is calculated based on market prices at a specified date and is allocated to wholly unsatisfied performance obligations.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1" w:name="page62"/>
    <w:bookmarkEnd w:id="61"/>
    <w:p>
      <w:pPr>
        <w:spacing w:after="0"/>
        <w:rPr>
          <w:sz w:val="20"/>
          <w:szCs w:val="20"/>
          <w:color w:val="auto"/>
        </w:rPr>
      </w:pPr>
      <w:r>
        <w:rPr>
          <w:rFonts w:ascii="Arial" w:cs="Arial" w:eastAsia="Arial" w:hAnsi="Arial"/>
          <w:sz w:val="14"/>
          <w:szCs w:val="14"/>
          <w:u w:val="single" w:color="auto"/>
          <w:color w:val="0000FF"/>
        </w:rPr>
        <w:t>Table of Contents</w:t>
      </w:r>
    </w:p>
    <w:p>
      <w:pPr>
        <w:spacing w:after="0" w:line="1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PARTNERS LP</w:t>
      </w:r>
    </w:p>
    <w:p>
      <w:pPr>
        <w:spacing w:after="0" w:line="75"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331" w:lineRule="exact"/>
        <w:rPr>
          <w:sz w:val="20"/>
          <w:szCs w:val="20"/>
          <w:color w:val="auto"/>
        </w:rPr>
      </w:pPr>
    </w:p>
    <w:p>
      <w:pPr>
        <w:ind w:firstLine="395"/>
        <w:spacing w:after="0" w:line="250" w:lineRule="auto"/>
        <w:rPr>
          <w:sz w:val="20"/>
          <w:szCs w:val="20"/>
          <w:color w:val="auto"/>
        </w:rPr>
      </w:pPr>
      <w:r>
        <w:rPr>
          <w:rFonts w:ascii="Arial" w:cs="Arial" w:eastAsia="Arial" w:hAnsi="Arial"/>
          <w:sz w:val="18"/>
          <w:szCs w:val="18"/>
          <w:color w:val="auto"/>
        </w:rPr>
        <w:t>The Partnership generates a substantial majority of its revenue from sales to Westlake under the Ethylene Sales Agreement. The Ethylene Sales Agreement is intended to generate a long-term, fixed cash margin per pound. See Note 2 for a description of the terms of the Ethylene Sales Agreement. The Partnership's direct commodity price risk is limited to the sales to third parties. See the Partnership's consolidated statement of operations for the disaggregation of net sales to Westlake and net sales to third parties.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Transportation and Freight</w:t>
      </w:r>
    </w:p>
    <w:p>
      <w:pPr>
        <w:spacing w:after="0" w:line="83" w:lineRule="exact"/>
        <w:rPr>
          <w:sz w:val="20"/>
          <w:szCs w:val="20"/>
          <w:color w:val="auto"/>
        </w:rPr>
      </w:pPr>
    </w:p>
    <w:p>
      <w:pPr>
        <w:ind w:left="400"/>
        <w:spacing w:after="0"/>
        <w:rPr>
          <w:sz w:val="20"/>
          <w:szCs w:val="20"/>
          <w:color w:val="auto"/>
        </w:rPr>
      </w:pPr>
      <w:r>
        <w:rPr>
          <w:rFonts w:ascii="Arial" w:cs="Arial" w:eastAsia="Arial" w:hAnsi="Arial"/>
          <w:sz w:val="16"/>
          <w:szCs w:val="16"/>
          <w:color w:val="auto"/>
        </w:rPr>
        <w:t>Amounts billed to customers for freight and handling costs on outbound shipments are included in net sales in the consolidated statements of operations.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Transportation and freight costs incurred by the Partnership on outbound shipments are included in cost of sales in the consolidated statements of operations.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96" w:lineRule="exact"/>
        <w:rPr>
          <w:sz w:val="20"/>
          <w:szCs w:val="20"/>
          <w:color w:val="auto"/>
        </w:rPr>
      </w:pPr>
    </w:p>
    <w:p>
      <w:pPr>
        <w:ind w:firstLine="395"/>
        <w:spacing w:after="0" w:line="284" w:lineRule="auto"/>
        <w:rPr>
          <w:sz w:val="20"/>
          <w:szCs w:val="20"/>
          <w:color w:val="auto"/>
        </w:rPr>
      </w:pPr>
      <w:r>
        <w:rPr>
          <w:rFonts w:ascii="Arial" w:cs="Arial" w:eastAsia="Arial" w:hAnsi="Arial"/>
          <w:sz w:val="16"/>
          <w:szCs w:val="16"/>
          <w:color w:val="auto"/>
        </w:rPr>
        <w:t>The accounting guidance for derivative instruments and hedging activities requires that the Partnership recognize all derivative instruments on the balance sheet at fair value, and changes in the derivative's fair value must be currently recognized in earnings or comprehensive income, depending on the designation of the derivative. If the derivative is designated as a fair value hedge, the changes in the fair value of the derivative and of the hedged item attributable to the hedged risk are recognized in earnings. If the derivative is designated as a cash flow hedge, the effective portion of the change in the fair value of the derivative is recorded in comprehensive income and is recognized in the statement of operations when the hedged item affects earnings. Ineffective portions of changes in the fair value of cash flow hedges are recognized in earnings currently.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Costs</w:t>
      </w:r>
    </w:p>
    <w:p>
      <w:pPr>
        <w:spacing w:after="0" w:line="96" w:lineRule="exact"/>
        <w:rPr>
          <w:sz w:val="20"/>
          <w:szCs w:val="20"/>
          <w:color w:val="auto"/>
        </w:rPr>
      </w:pPr>
    </w:p>
    <w:p>
      <w:pPr>
        <w:ind w:firstLine="395"/>
        <w:spacing w:after="0" w:line="287" w:lineRule="auto"/>
        <w:rPr>
          <w:sz w:val="20"/>
          <w:szCs w:val="20"/>
          <w:color w:val="auto"/>
        </w:rPr>
      </w:pPr>
      <w:r>
        <w:rPr>
          <w:rFonts w:ascii="Arial" w:cs="Arial" w:eastAsia="Arial" w:hAnsi="Arial"/>
          <w:sz w:val="16"/>
          <w:szCs w:val="16"/>
          <w:color w:val="auto"/>
        </w:rPr>
        <w:t>Environmental costs relating to current operations are expensed or capitalized, as appropriate, depending on whether such costs provide future economic benefits. Remediation liabilities are recognized when the costs are considered probable and can be reasonably estimated. Measurement of liabilities is based on currently enacted laws and regulations, existing technology and undiscounted site-specific costs. Environmental liabilities in connection with properties that are sold or closed are realized upon such sale or closure, to the extent they are probable and estimable and not previously reserved. Recognition of any joint and several liabilities is based upon the Partnership's best estimate of its final pro rata share of the liability.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83" w:lineRule="exact"/>
        <w:rPr>
          <w:sz w:val="20"/>
          <w:szCs w:val="20"/>
          <w:color w:val="auto"/>
        </w:rPr>
      </w:pPr>
    </w:p>
    <w:p>
      <w:pPr>
        <w:ind w:firstLine="395"/>
        <w:spacing w:after="0" w:line="250" w:lineRule="auto"/>
        <w:rPr>
          <w:sz w:val="20"/>
          <w:szCs w:val="20"/>
          <w:color w:val="auto"/>
        </w:rPr>
      </w:pPr>
      <w:r>
        <w:rPr>
          <w:rFonts w:ascii="Arial" w:cs="Arial" w:eastAsia="Arial" w:hAnsi="Arial"/>
          <w:sz w:val="18"/>
          <w:szCs w:val="18"/>
          <w:color w:val="auto"/>
        </w:rPr>
        <w:t>The Partnership is a limited partnership and is treated as a partnership for U.S. federal income tax purposes and, therefore, is not liable for entity-level federal income taxes. The Partnership is, however, subject to state and local income taxes. Deferred tax expense or benefit is the result of changes in the deferred tax assets and liabilities during the period. Valuation allowances are recorded against deferred tax assets when it is considered more likely than not that the deferred tax assets will not be realized on a separate tax return basis.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Partnership only operates one segment (ethylene production) and all of its operations are located in the United States.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96" w:lineRule="exact"/>
        <w:rPr>
          <w:sz w:val="20"/>
          <w:szCs w:val="20"/>
          <w:color w:val="auto"/>
        </w:rPr>
      </w:pPr>
    </w:p>
    <w:p>
      <w:pPr>
        <w:ind w:firstLine="395"/>
        <w:spacing w:after="0" w:line="252"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liabilities, revenues and expenses, and the disclosure of contingent assets and liabilities. Actual results could differ from those estimates.</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Comprehensive Income</w:t>
      </w:r>
    </w:p>
    <w:p>
      <w:pPr>
        <w:spacing w:after="0" w:line="83" w:lineRule="exact"/>
        <w:rPr>
          <w:sz w:val="20"/>
          <w:szCs w:val="20"/>
          <w:color w:val="auto"/>
        </w:rPr>
      </w:pPr>
    </w:p>
    <w:p>
      <w:pPr>
        <w:ind w:right="540" w:firstLine="395"/>
        <w:spacing w:after="0" w:line="261" w:lineRule="auto"/>
        <w:rPr>
          <w:sz w:val="20"/>
          <w:szCs w:val="20"/>
          <w:color w:val="auto"/>
        </w:rPr>
      </w:pPr>
      <w:r>
        <w:rPr>
          <w:rFonts w:ascii="Arial" w:cs="Arial" w:eastAsia="Arial" w:hAnsi="Arial"/>
          <w:sz w:val="18"/>
          <w:szCs w:val="18"/>
          <w:color w:val="auto"/>
        </w:rPr>
        <w:t>The Partnership has not reported consolidated statements of comprehensive income for the years ended December 31, 2022, 2021 and 2020 due to immateriality of the components of other comprehensive income.</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2" w:name="page63"/>
    <w:bookmarkEnd w:id="62"/>
    <w:p>
      <w:pPr>
        <w:spacing w:after="0"/>
        <w:rPr>
          <w:sz w:val="20"/>
          <w:szCs w:val="20"/>
          <w:color w:val="auto"/>
        </w:rPr>
      </w:pPr>
      <w:r>
        <w:rPr>
          <w:rFonts w:ascii="Arial" w:cs="Arial" w:eastAsia="Arial" w:hAnsi="Arial"/>
          <w:sz w:val="14"/>
          <w:szCs w:val="14"/>
          <w:u w:val="single" w:color="auto"/>
          <w:color w:val="0000FF"/>
        </w:rPr>
        <w:t>Table of Contents</w:t>
      </w:r>
    </w:p>
    <w:p>
      <w:pPr>
        <w:spacing w:after="0" w:line="1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PARTNERS LP</w:t>
      </w:r>
    </w:p>
    <w:p>
      <w:pPr>
        <w:spacing w:after="0" w:line="75"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Agreements with Westlake and Related Parties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Ethylene Sales Agreement</w:t>
      </w:r>
    </w:p>
    <w:p>
      <w:pPr>
        <w:spacing w:after="0" w:line="96" w:lineRule="exact"/>
        <w:rPr>
          <w:sz w:val="20"/>
          <w:szCs w:val="20"/>
          <w:color w:val="auto"/>
        </w:rPr>
      </w:pPr>
    </w:p>
    <w:p>
      <w:pPr>
        <w:ind w:right="120" w:firstLine="395"/>
        <w:spacing w:after="0" w:line="248" w:lineRule="auto"/>
        <w:rPr>
          <w:sz w:val="20"/>
          <w:szCs w:val="20"/>
          <w:color w:val="auto"/>
        </w:rPr>
      </w:pPr>
      <w:r>
        <w:rPr>
          <w:rFonts w:ascii="Arial" w:cs="Arial" w:eastAsia="Arial" w:hAnsi="Arial"/>
          <w:sz w:val="18"/>
          <w:szCs w:val="18"/>
          <w:color w:val="auto"/>
        </w:rPr>
        <w:t>OpCo has entered into a 12-year ethylene sales agreement with Westlake (the "Ethylene Sales Agreement"). The Ethylene Sales Agreement requires Westlake to purchase a minimum volume of ethylene each year equal to 95% of OpCo's planned ethylene production per year (the "Minimum Commitment"), subject to certain exceptions and a maximum commitment of 3.8 billion pounds per year. So long as Westlake is not in default under the Ethylene Sales Agreement, if OpCo's actual production exceeds planned production, Westlake has the option to purchase up to 95% of the excess production (the "Excess Production Option").</w:t>
      </w:r>
    </w:p>
    <w:p>
      <w:pPr>
        <w:spacing w:after="0" w:line="14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fee for each pound of ethylene purchased by Westlake from OpCo up to the Minimum Commitment in any calendar year will equal:</w:t>
      </w:r>
    </w:p>
    <w:p>
      <w:pPr>
        <w:spacing w:after="0" w:line="96" w:lineRule="exact"/>
        <w:rPr>
          <w:sz w:val="20"/>
          <w:szCs w:val="20"/>
          <w:color w:val="auto"/>
        </w:rPr>
      </w:pPr>
    </w:p>
    <w:p>
      <w:pPr>
        <w:ind w:left="640" w:right="20" w:hanging="319"/>
        <w:spacing w:after="0" w:line="324" w:lineRule="auto"/>
        <w:tabs>
          <w:tab w:leader="none" w:pos="636"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actual price OpCo pays Westlake to purchase ethane (or other feedstock, such as propane, if applicable) to produce each pound of ethylene, subject to a specified cap and a floor on the amount of feedstock that should be needed to produce each pound of ethylene; plus</w:t>
      </w:r>
    </w:p>
    <w:p>
      <w:pPr>
        <w:spacing w:after="0" w:line="3" w:lineRule="exact"/>
        <w:rPr>
          <w:rFonts w:ascii="Arial" w:cs="Arial" w:eastAsia="Arial" w:hAnsi="Arial"/>
          <w:sz w:val="16"/>
          <w:szCs w:val="16"/>
          <w:color w:val="auto"/>
        </w:rPr>
      </w:pPr>
    </w:p>
    <w:p>
      <w:pPr>
        <w:ind w:left="640" w:hanging="319"/>
        <w:spacing w:after="0" w:line="261" w:lineRule="auto"/>
        <w:tabs>
          <w:tab w:leader="none" w:pos="636"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actual price OpCo pays Westlake to purchase natural gas to produce each pound of ethylene, subject to a specified cap and a floor on the amount of natural gas that should be needed to produce each pound of ethylene; plus</w:t>
      </w:r>
    </w:p>
    <w:p>
      <w:pPr>
        <w:spacing w:after="0" w:line="62" w:lineRule="exact"/>
        <w:rPr>
          <w:rFonts w:ascii="Arial" w:cs="Arial" w:eastAsia="Arial" w:hAnsi="Arial"/>
          <w:sz w:val="18"/>
          <w:szCs w:val="18"/>
          <w:color w:val="auto"/>
        </w:rPr>
      </w:pPr>
    </w:p>
    <w:p>
      <w:pPr>
        <w:ind w:left="640" w:hanging="319"/>
        <w:spacing w:after="0" w:line="261" w:lineRule="auto"/>
        <w:tabs>
          <w:tab w:leader="none" w:pos="636" w:val="left"/>
        </w:tabs>
        <w:numPr>
          <w:ilvl w:val="0"/>
          <w:numId w:val="31"/>
        </w:numPr>
        <w:rPr>
          <w:rFonts w:ascii="Arial" w:cs="Arial" w:eastAsia="Arial" w:hAnsi="Arial"/>
          <w:sz w:val="18"/>
          <w:szCs w:val="18"/>
          <w:color w:val="auto"/>
        </w:rPr>
      </w:pPr>
      <w:r>
        <w:rPr>
          <w:rFonts w:ascii="Arial" w:cs="Arial" w:eastAsia="Arial" w:hAnsi="Arial"/>
          <w:sz w:val="18"/>
          <w:szCs w:val="18"/>
          <w:color w:val="auto"/>
        </w:rPr>
        <w:t>OpCo's estimated operating costs (including selling, general and administrative expenses), divided by OpCo's planned ethylene production for the year (in pounds); plus</w:t>
      </w:r>
    </w:p>
    <w:p>
      <w:pPr>
        <w:spacing w:after="0" w:line="62" w:lineRule="exact"/>
        <w:rPr>
          <w:rFonts w:ascii="Arial" w:cs="Arial" w:eastAsia="Arial" w:hAnsi="Arial"/>
          <w:sz w:val="18"/>
          <w:szCs w:val="18"/>
          <w:color w:val="auto"/>
        </w:rPr>
      </w:pPr>
    </w:p>
    <w:p>
      <w:pPr>
        <w:ind w:left="640" w:right="540" w:hanging="319"/>
        <w:spacing w:after="0" w:line="261" w:lineRule="auto"/>
        <w:tabs>
          <w:tab w:leader="none" w:pos="636"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five-year average of OpCo's expected future maintenance capital expenditures and other turnaround expenditures, divided by OpCo's planned ethylene production capacity for the year (in pounds); less</w:t>
      </w:r>
    </w:p>
    <w:p>
      <w:pPr>
        <w:spacing w:after="0" w:line="49" w:lineRule="exact"/>
        <w:rPr>
          <w:rFonts w:ascii="Arial" w:cs="Arial" w:eastAsia="Arial" w:hAnsi="Arial"/>
          <w:sz w:val="18"/>
          <w:szCs w:val="18"/>
          <w:color w:val="auto"/>
        </w:rPr>
      </w:pPr>
    </w:p>
    <w:p>
      <w:pPr>
        <w:ind w:left="640" w:right="600" w:hanging="319"/>
        <w:spacing w:after="0" w:line="324" w:lineRule="auto"/>
        <w:tabs>
          <w:tab w:leader="none" w:pos="636"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proceeds (on a per pound of ethylene basis) received by OpCo from the sale of co-products (including, but not limited to, propylene, crude butadiene, pyrolysis gasoline and hydrogen) associated with producing the ethylene purchased by Westlake; plus</w:t>
      </w:r>
    </w:p>
    <w:p>
      <w:pPr>
        <w:spacing w:after="0" w:line="16" w:lineRule="exact"/>
        <w:rPr>
          <w:rFonts w:ascii="Arial" w:cs="Arial" w:eastAsia="Arial" w:hAnsi="Arial"/>
          <w:sz w:val="16"/>
          <w:szCs w:val="16"/>
          <w:color w:val="auto"/>
        </w:rPr>
      </w:pPr>
    </w:p>
    <w:p>
      <w:pPr>
        <w:ind w:left="640" w:hanging="319"/>
        <w:spacing w:after="0"/>
        <w:tabs>
          <w:tab w:leader="none" w:pos="6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$0.10 per pound margin.</w:t>
      </w:r>
    </w:p>
    <w:p>
      <w:pPr>
        <w:spacing w:after="0" w:line="161" w:lineRule="exact"/>
        <w:rPr>
          <w:sz w:val="20"/>
          <w:szCs w:val="20"/>
          <w:color w:val="auto"/>
        </w:rPr>
      </w:pPr>
    </w:p>
    <w:p>
      <w:pPr>
        <w:ind w:right="280" w:firstLine="395"/>
        <w:spacing w:after="0" w:line="261" w:lineRule="auto"/>
        <w:rPr>
          <w:sz w:val="20"/>
          <w:szCs w:val="20"/>
          <w:color w:val="auto"/>
        </w:rPr>
      </w:pPr>
      <w:r>
        <w:rPr>
          <w:rFonts w:ascii="Arial" w:cs="Arial" w:eastAsia="Arial" w:hAnsi="Arial"/>
          <w:sz w:val="18"/>
          <w:szCs w:val="18"/>
          <w:color w:val="auto"/>
        </w:rPr>
        <w:t>The fee for the Excess Production Option, if exercised, equals OpCo's estimated variable operating costs of producing the incremental ethylene, net of revenues from co-products sales plus a $0.10 per pound margin.</w:t>
      </w:r>
    </w:p>
    <w:p>
      <w:pPr>
        <w:spacing w:after="0" w:line="129" w:lineRule="exact"/>
        <w:rPr>
          <w:sz w:val="20"/>
          <w:szCs w:val="20"/>
          <w:color w:val="auto"/>
        </w:rPr>
      </w:pPr>
    </w:p>
    <w:p>
      <w:pPr>
        <w:ind w:right="140" w:firstLine="395"/>
        <w:spacing w:after="0" w:line="261" w:lineRule="auto"/>
        <w:rPr>
          <w:sz w:val="20"/>
          <w:szCs w:val="20"/>
          <w:color w:val="auto"/>
        </w:rPr>
      </w:pPr>
      <w:r>
        <w:rPr>
          <w:rFonts w:ascii="Arial" w:cs="Arial" w:eastAsia="Arial" w:hAnsi="Arial"/>
          <w:sz w:val="18"/>
          <w:szCs w:val="18"/>
          <w:color w:val="auto"/>
        </w:rPr>
        <w:t>The estimated operating costs and the expected future maintenance capital expenditures and other turnaround expenditures will be adjusted at the end of each year, to be applicable for the fee for the next calendar year, to reflect certain changes in forecasted costs.</w:t>
      </w:r>
    </w:p>
    <w:p>
      <w:pPr>
        <w:spacing w:after="0" w:line="129" w:lineRule="exact"/>
        <w:rPr>
          <w:sz w:val="20"/>
          <w:szCs w:val="20"/>
          <w:color w:val="auto"/>
        </w:rPr>
      </w:pPr>
    </w:p>
    <w:p>
      <w:pPr>
        <w:ind w:right="500" w:firstLine="395"/>
        <w:spacing w:after="0" w:line="261" w:lineRule="auto"/>
        <w:rPr>
          <w:sz w:val="20"/>
          <w:szCs w:val="20"/>
          <w:color w:val="auto"/>
        </w:rPr>
      </w:pPr>
      <w:r>
        <w:rPr>
          <w:rFonts w:ascii="Arial" w:cs="Arial" w:eastAsia="Arial" w:hAnsi="Arial"/>
          <w:sz w:val="18"/>
          <w:szCs w:val="18"/>
          <w:color w:val="auto"/>
        </w:rPr>
        <w:t>Under the Ethylene Sales Agreement OpCo has the option to curtail up to approximately 5% of its ethylene production annually in the event OpCo reasonably determines that its sales of such ethylene to third parties during the relevant period would be uneconomic.</w:t>
      </w:r>
    </w:p>
    <w:p>
      <w:pPr>
        <w:spacing w:after="0" w:line="129" w:lineRule="exact"/>
        <w:rPr>
          <w:sz w:val="20"/>
          <w:szCs w:val="20"/>
          <w:color w:val="auto"/>
        </w:rPr>
      </w:pPr>
    </w:p>
    <w:p>
      <w:pPr>
        <w:ind w:right="60" w:firstLine="395"/>
        <w:spacing w:after="0" w:line="299" w:lineRule="auto"/>
        <w:rPr>
          <w:sz w:val="20"/>
          <w:szCs w:val="20"/>
          <w:color w:val="auto"/>
        </w:rPr>
      </w:pPr>
      <w:r>
        <w:rPr>
          <w:rFonts w:ascii="Arial" w:cs="Arial" w:eastAsia="Arial" w:hAnsi="Arial"/>
          <w:sz w:val="16"/>
          <w:szCs w:val="16"/>
          <w:color w:val="auto"/>
        </w:rPr>
        <w:t>Certain of the pricing components that make up the price for ethylene sold under the Ethylene Sales Agreement are modified to reflect the portion of OpCo's production capacity that is used to process Westlake's purge gas instead of producing ethylene. Costs specific to the processing of Westlake's purge gas are recovered under the Services and Secondment Agreement (as described below), and not the Ethylene Sales Agreement.</w:t>
      </w:r>
    </w:p>
    <w:p>
      <w:pPr>
        <w:spacing w:after="0" w:line="102" w:lineRule="exact"/>
        <w:rPr>
          <w:sz w:val="20"/>
          <w:szCs w:val="20"/>
          <w:color w:val="auto"/>
        </w:rPr>
      </w:pPr>
    </w:p>
    <w:p>
      <w:pPr>
        <w:ind w:right="140" w:firstLine="395"/>
        <w:spacing w:after="0" w:line="282" w:lineRule="auto"/>
        <w:rPr>
          <w:sz w:val="20"/>
          <w:szCs w:val="20"/>
          <w:color w:val="auto"/>
        </w:rPr>
      </w:pPr>
      <w:r>
        <w:rPr>
          <w:rFonts w:ascii="Arial" w:cs="Arial" w:eastAsia="Arial" w:hAnsi="Arial"/>
          <w:sz w:val="16"/>
          <w:szCs w:val="16"/>
          <w:color w:val="auto"/>
        </w:rPr>
        <w:t>Pursuant to the Ethylene Sales Agreement, Westlake's obligation to pay for the annual minimum commitment (95% of OpCo's budgeted ethylene production), which is measured on an annual basis, is not reduced for a force majeure event lasting fewer than 45 consecutive days. In the event of a force majeure event, the Partnership recognizes buyer deficiency fees representing fixed margin and unavoided operating and maintenance capital expenditures and maintenance expenses per pound of volume committed by Westlake during the force majeure period. In the event Westlake purchases less than its annual commitment, the Partnership recognizes buyer deficiency fees representing fixed margin and all expenses and expenditures incurred per pound of volume committed but not taken by Westlake. Payment for the buyer deficiency fee is scheduled to be received by the Partnership after the conclusion of the year in which the force majeure event occurred.</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63" w:name="page64"/>
    <w:bookmarkEnd w:id="63"/>
    <w:p>
      <w:pPr>
        <w:spacing w:after="0"/>
        <w:rPr>
          <w:sz w:val="20"/>
          <w:szCs w:val="20"/>
          <w:color w:val="auto"/>
        </w:rPr>
      </w:pPr>
      <w:r>
        <w:rPr>
          <w:rFonts w:ascii="Arial" w:cs="Arial" w:eastAsia="Arial" w:hAnsi="Arial"/>
          <w:sz w:val="14"/>
          <w:szCs w:val="14"/>
          <w:u w:val="single" w:color="auto"/>
          <w:color w:val="0000FF"/>
        </w:rPr>
        <w:t>Table of Contents</w:t>
      </w:r>
    </w:p>
    <w:p>
      <w:pPr>
        <w:spacing w:after="0" w:line="1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PARTNERS LP</w:t>
      </w:r>
    </w:p>
    <w:p>
      <w:pPr>
        <w:spacing w:after="0" w:line="75"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331" w:lineRule="exact"/>
        <w:rPr>
          <w:sz w:val="20"/>
          <w:szCs w:val="20"/>
          <w:color w:val="auto"/>
        </w:rPr>
      </w:pPr>
    </w:p>
    <w:p>
      <w:pPr>
        <w:ind w:right="20" w:firstLine="395"/>
        <w:spacing w:after="0" w:line="284" w:lineRule="auto"/>
        <w:rPr>
          <w:sz w:val="20"/>
          <w:szCs w:val="20"/>
          <w:color w:val="auto"/>
        </w:rPr>
      </w:pPr>
      <w:r>
        <w:rPr>
          <w:rFonts w:ascii="Arial" w:cs="Arial" w:eastAsia="Arial" w:hAnsi="Arial"/>
          <w:sz w:val="16"/>
          <w:szCs w:val="16"/>
          <w:color w:val="auto"/>
        </w:rPr>
        <w:t>The result of the fee structure is that OpCo should generally recover the portion of its total operating costs and maintenance capital expenditures and other turnaround expenditures corresponding to the portion of OpCo's aggregate production that is purchased by Westlake. Any shortfall in recovery of such costs is generally recognized during the period in which the related operating, maintenance or turnaround activities occur and is recoverable from Westlake in the subsequent year. Under the Ethylene Sales Agreement, if production costs billed to Westlake on an annual basis are less than 95% of the actual production costs incurred by OpCo during the contract year, OpCo is entitled to recover the shortfall in such production costs (proportionate to the volume sold to Westlake) in the subsequent year ("Shortfall").</w:t>
      </w:r>
    </w:p>
    <w:p>
      <w:pPr>
        <w:spacing w:after="0" w:line="115" w:lineRule="exact"/>
        <w:rPr>
          <w:sz w:val="20"/>
          <w:szCs w:val="20"/>
          <w:color w:val="auto"/>
        </w:rPr>
      </w:pPr>
    </w:p>
    <w:p>
      <w:pPr>
        <w:ind w:right="360" w:firstLine="395"/>
        <w:spacing w:after="0" w:line="252" w:lineRule="auto"/>
        <w:rPr>
          <w:sz w:val="20"/>
          <w:szCs w:val="20"/>
          <w:color w:val="auto"/>
        </w:rPr>
      </w:pPr>
      <w:r>
        <w:rPr>
          <w:rFonts w:ascii="Arial" w:cs="Arial" w:eastAsia="Arial" w:hAnsi="Arial"/>
          <w:sz w:val="18"/>
          <w:szCs w:val="18"/>
          <w:color w:val="auto"/>
        </w:rPr>
        <w:t>The Ethylene Sales Agreement provides that, if compliance with any law adopted or modified following the IPO results in OpCo incurring additional costs in excess of $500,000 in any contract year, OpCo is entitled to charge Westlake a monthly surcharge following efforts to mitigate the effects of such matter.</w:t>
      </w:r>
    </w:p>
    <w:p>
      <w:pPr>
        <w:spacing w:after="0" w:line="138" w:lineRule="exact"/>
        <w:rPr>
          <w:sz w:val="20"/>
          <w:szCs w:val="20"/>
          <w:color w:val="auto"/>
        </w:rPr>
      </w:pPr>
    </w:p>
    <w:p>
      <w:pPr>
        <w:ind w:right="100" w:firstLine="395"/>
        <w:spacing w:after="0" w:line="261" w:lineRule="auto"/>
        <w:rPr>
          <w:sz w:val="20"/>
          <w:szCs w:val="20"/>
          <w:color w:val="auto"/>
        </w:rPr>
      </w:pPr>
      <w:r>
        <w:rPr>
          <w:rFonts w:ascii="Arial" w:cs="Arial" w:eastAsia="Arial" w:hAnsi="Arial"/>
          <w:sz w:val="18"/>
          <w:szCs w:val="18"/>
          <w:color w:val="auto"/>
        </w:rPr>
        <w:t>The Ethylene Sales Agreement has an initial term extending until December 31, 2026 and automatically renews thereafter for successive 12-month terms unless terminated.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Feedstock Supply Agreement</w:t>
      </w:r>
    </w:p>
    <w:p>
      <w:pPr>
        <w:spacing w:after="0" w:line="83" w:lineRule="exact"/>
        <w:rPr>
          <w:sz w:val="20"/>
          <w:szCs w:val="20"/>
          <w:color w:val="auto"/>
        </w:rPr>
      </w:pPr>
    </w:p>
    <w:p>
      <w:pPr>
        <w:ind w:right="20" w:firstLine="395"/>
        <w:spacing w:after="0" w:line="287" w:lineRule="auto"/>
        <w:rPr>
          <w:sz w:val="20"/>
          <w:szCs w:val="20"/>
          <w:color w:val="auto"/>
        </w:rPr>
      </w:pPr>
      <w:r>
        <w:rPr>
          <w:rFonts w:ascii="Arial" w:cs="Arial" w:eastAsia="Arial" w:hAnsi="Arial"/>
          <w:sz w:val="16"/>
          <w:szCs w:val="16"/>
          <w:color w:val="auto"/>
        </w:rPr>
        <w:t>OpCo has entered into a feedstock supply agreement with Westlake, pursuant to which Westlake sells to OpCo ethane and other feedstock in amounts sufficient for OpCo to produce the ethylene to be sold under the Ethylene Sales Agreement (the "Feedstock Supply Agreement"). The Feedstock Supply Agreement provides that OpCo may obtain feedstock from Westlake based on Westlake's total cost of purchasing and delivering the feedstock, including applicable transportation, storage and other costs. Title and risk of loss for all feedstock purchased by OpCo through the Feedstock Supply Agreement passes to OpCo upon delivery to one of three delivery points described in the Feedstock Supply Agreement.</w:t>
      </w:r>
    </w:p>
    <w:p>
      <w:pPr>
        <w:spacing w:after="0" w:line="111" w:lineRule="exact"/>
        <w:rPr>
          <w:sz w:val="20"/>
          <w:szCs w:val="20"/>
          <w:color w:val="auto"/>
        </w:rPr>
      </w:pPr>
    </w:p>
    <w:p>
      <w:pPr>
        <w:ind w:right="40" w:firstLine="395"/>
        <w:spacing w:after="0" w:line="327" w:lineRule="auto"/>
        <w:rPr>
          <w:sz w:val="20"/>
          <w:szCs w:val="20"/>
          <w:color w:val="auto"/>
        </w:rPr>
      </w:pPr>
      <w:r>
        <w:rPr>
          <w:rFonts w:ascii="Arial" w:cs="Arial" w:eastAsia="Arial" w:hAnsi="Arial"/>
          <w:sz w:val="15"/>
          <w:szCs w:val="15"/>
          <w:color w:val="auto"/>
        </w:rPr>
        <w:t>The Feedstock Supply Agreement has an initial term extending until December 31, 2026 and automatically renews thereafter for successive 12-month terms unless terminated by either party; provided, however, that such agreement can only be renewed in the event the Ethylene Sales Agreement is renewed simultaneously. The Feedstock Supply Agreement may, in certain circumstances, terminate concurrently with the termination of the Ethylene Sales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and Secondment Agreement</w:t>
      </w:r>
    </w:p>
    <w:p>
      <w:pPr>
        <w:spacing w:after="0" w:line="96" w:lineRule="exact"/>
        <w:rPr>
          <w:sz w:val="20"/>
          <w:szCs w:val="20"/>
          <w:color w:val="auto"/>
        </w:rPr>
      </w:pPr>
    </w:p>
    <w:p>
      <w:pPr>
        <w:ind w:firstLine="395"/>
        <w:spacing w:after="0" w:line="287" w:lineRule="auto"/>
        <w:rPr>
          <w:sz w:val="20"/>
          <w:szCs w:val="20"/>
          <w:color w:val="auto"/>
        </w:rPr>
      </w:pPr>
      <w:r>
        <w:rPr>
          <w:rFonts w:ascii="Arial" w:cs="Arial" w:eastAsia="Arial" w:hAnsi="Arial"/>
          <w:sz w:val="16"/>
          <w:szCs w:val="16"/>
          <w:color w:val="auto"/>
        </w:rPr>
        <w:t>OpCo has entered into a Services and Secondment Agreement with Westlake, pursuant to which OpCo provides Westlake with certain services required for the operation of Westlake's facilities; and Westlake provides OpCo with comprehensive operating services for OpCo's facilities, ranging from services relating to the maintenance and operations of the common facilities necessary for the operation of OpCo's units, to making available certain shared utilities such as electricity and natural gas that are necessary for the operation of OpCo's units. Westlake also seconds employees to OpCo to allow OpCo to operate its facilities. Such seconded employees are under the control of OpCo while they work on OpCo's facilities.</w:t>
      </w:r>
    </w:p>
    <w:p>
      <w:pPr>
        <w:spacing w:after="0" w:line="111" w:lineRule="exact"/>
        <w:rPr>
          <w:sz w:val="20"/>
          <w:szCs w:val="20"/>
          <w:color w:val="auto"/>
        </w:rPr>
      </w:pPr>
    </w:p>
    <w:p>
      <w:pPr>
        <w:ind w:right="220" w:firstLine="395"/>
        <w:spacing w:after="0" w:line="250" w:lineRule="auto"/>
        <w:rPr>
          <w:sz w:val="20"/>
          <w:szCs w:val="20"/>
          <w:color w:val="auto"/>
        </w:rPr>
      </w:pPr>
      <w:r>
        <w:rPr>
          <w:rFonts w:ascii="Arial" w:cs="Arial" w:eastAsia="Arial" w:hAnsi="Arial"/>
          <w:sz w:val="18"/>
          <w:szCs w:val="18"/>
          <w:color w:val="auto"/>
        </w:rPr>
        <w:t>The Services and Secondment Agreement has an initial 12-year term. The Services and Secondment Agreement may be renewed thereafter upon agreement of the parties and shall automatically terminate if the Ethylene Sales Agreement terminates under certain circumstances. Westlake and OpCo each can terminate the Services and Secondment Agreement under certain circumstances, including if the other party materially defaults on the performance of its obligations and such default continues for a 30-day period.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Site Lease Agreements</w:t>
      </w:r>
    </w:p>
    <w:p>
      <w:pPr>
        <w:spacing w:after="0" w:line="96" w:lineRule="exact"/>
        <w:rPr>
          <w:sz w:val="20"/>
          <w:szCs w:val="20"/>
          <w:color w:val="auto"/>
        </w:rPr>
      </w:pPr>
    </w:p>
    <w:p>
      <w:pPr>
        <w:ind w:right="60" w:firstLine="395"/>
        <w:spacing w:after="0" w:line="291" w:lineRule="auto"/>
        <w:rPr>
          <w:sz w:val="20"/>
          <w:szCs w:val="20"/>
          <w:color w:val="auto"/>
        </w:rPr>
      </w:pPr>
      <w:r>
        <w:rPr>
          <w:rFonts w:ascii="Arial" w:cs="Arial" w:eastAsia="Arial" w:hAnsi="Arial"/>
          <w:sz w:val="16"/>
          <w:szCs w:val="16"/>
          <w:color w:val="auto"/>
        </w:rPr>
        <w:t>OpCo has entered into two site lease agreements with Westlake pursuant to which Westlake leases to OpCo the real property underlying Lake Charles Olefins and Calvert City Olefins, respectively, and grants OpCo rights to access and use certain other portions of Westlake's ethylene production facilities that are necessary to operate OpCo's production facilities. OpCo owes Westlake one dollar per site per year. The site lease agreements each have a term of 50 years. Each of the site lease agreements may be renewed if agreed by the parties.</w:t>
      </w: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4" w:name="page65"/>
    <w:bookmarkEnd w:id="64"/>
    <w:p>
      <w:pPr>
        <w:spacing w:after="0"/>
        <w:rPr>
          <w:sz w:val="20"/>
          <w:szCs w:val="20"/>
          <w:color w:val="auto"/>
        </w:rPr>
      </w:pPr>
      <w:r>
        <w:rPr>
          <w:rFonts w:ascii="Arial" w:cs="Arial" w:eastAsia="Arial" w:hAnsi="Arial"/>
          <w:sz w:val="14"/>
          <w:szCs w:val="14"/>
          <w:u w:val="single" w:color="auto"/>
          <w:color w:val="0000FF"/>
        </w:rPr>
        <w:t>Table of Contents</w:t>
      </w:r>
    </w:p>
    <w:p>
      <w:pPr>
        <w:spacing w:after="0" w:line="1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PARTNERS LP</w:t>
      </w:r>
    </w:p>
    <w:p>
      <w:pPr>
        <w:spacing w:after="0" w:line="75"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Omnibus Agreement</w:t>
      </w:r>
    </w:p>
    <w:p>
      <w:pPr>
        <w:spacing w:after="0" w:line="83" w:lineRule="exact"/>
        <w:rPr>
          <w:sz w:val="20"/>
          <w:szCs w:val="20"/>
          <w:color w:val="auto"/>
        </w:rPr>
      </w:pPr>
    </w:p>
    <w:p>
      <w:pPr>
        <w:ind w:right="200" w:firstLine="395"/>
        <w:spacing w:after="0" w:line="287" w:lineRule="auto"/>
        <w:rPr>
          <w:sz w:val="20"/>
          <w:szCs w:val="20"/>
          <w:color w:val="auto"/>
        </w:rPr>
      </w:pPr>
      <w:r>
        <w:rPr>
          <w:rFonts w:ascii="Arial" w:cs="Arial" w:eastAsia="Arial" w:hAnsi="Arial"/>
          <w:sz w:val="16"/>
          <w:szCs w:val="16"/>
          <w:color w:val="auto"/>
        </w:rPr>
        <w:t>The Partnership has entered into an Omnibus Agreement with Westlake that addresses (1) Westlake's indemnification of the Partnership for certain matters, including environmental and tax matters, (2) the provision by Westlake of certain management and other general and administrative services to the Partnership and its general partner and (3) the Partnership's reimbursement to Westlake for such services. The Omnibus Agreement also addresses Westlake's right of first refusal on any proposed transfer of the ethylene production facilities that serve Westlake's other facilities and Westlake's right of first refusal on any proposed transfer of the Partnership's equity interests in OpCo.</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Agreement</w:t>
      </w:r>
    </w:p>
    <w:p>
      <w:pPr>
        <w:spacing w:after="0" w:line="96" w:lineRule="exact"/>
        <w:rPr>
          <w:sz w:val="20"/>
          <w:szCs w:val="20"/>
          <w:color w:val="auto"/>
        </w:rPr>
      </w:pPr>
    </w:p>
    <w:p>
      <w:pPr>
        <w:ind w:right="60" w:firstLine="395"/>
        <w:spacing w:after="0" w:line="252" w:lineRule="auto"/>
        <w:rPr>
          <w:sz w:val="20"/>
          <w:szCs w:val="20"/>
          <w:color w:val="auto"/>
        </w:rPr>
      </w:pPr>
      <w:r>
        <w:rPr>
          <w:rFonts w:ascii="Arial" w:cs="Arial" w:eastAsia="Arial" w:hAnsi="Arial"/>
          <w:sz w:val="18"/>
          <w:szCs w:val="18"/>
          <w:color w:val="auto"/>
        </w:rPr>
        <w:t>OpCo and Westlake are parties to an exchange agreement, which continues on an annual basis, unless and until terminated by either party. Under the exchange agreement, OpCo may require Westlake to deliver up to 200 million pounds of ethylene for OpCo per year from the Site Leases to an ethylene hub in Mt. Belvieu, Texas, for which OpCo would be required to pay an exchange fee of $0.006 per pound.</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OpCo Partnership Agreement</w:t>
      </w:r>
    </w:p>
    <w:p>
      <w:pPr>
        <w:spacing w:after="0" w:line="96" w:lineRule="exact"/>
        <w:rPr>
          <w:sz w:val="20"/>
          <w:szCs w:val="20"/>
          <w:color w:val="auto"/>
        </w:rPr>
      </w:pPr>
    </w:p>
    <w:p>
      <w:pPr>
        <w:ind w:right="260" w:firstLine="395"/>
        <w:spacing w:after="0" w:line="327" w:lineRule="auto"/>
        <w:rPr>
          <w:sz w:val="20"/>
          <w:szCs w:val="20"/>
          <w:color w:val="auto"/>
        </w:rPr>
      </w:pPr>
      <w:r>
        <w:rPr>
          <w:rFonts w:ascii="Arial" w:cs="Arial" w:eastAsia="Arial" w:hAnsi="Arial"/>
          <w:sz w:val="15"/>
          <w:szCs w:val="15"/>
          <w:color w:val="auto"/>
        </w:rPr>
        <w:t>The Partnership, OpCo GP and Westlake are parties to an agreement of limited partnership for OpCo (the "OpCo LP Agreement"). The OpCo LP Agreement governs the ownership and management of OpCo and designates OpCo GP as the general partner of OpCo. OpCo GP generally has complete authority to manage OpCo's business and affairs. The Partnership controls OpCo GP, as its sole member, subject to certain approval rights held by Westlake.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Management Agreement</w:t>
      </w:r>
    </w:p>
    <w:p>
      <w:pPr>
        <w:spacing w:after="0" w:line="83" w:lineRule="exact"/>
        <w:rPr>
          <w:sz w:val="20"/>
          <w:szCs w:val="20"/>
          <w:color w:val="auto"/>
        </w:rPr>
      </w:pPr>
    </w:p>
    <w:p>
      <w:pPr>
        <w:ind w:right="120" w:firstLine="395"/>
        <w:spacing w:after="0" w:line="291" w:lineRule="auto"/>
        <w:rPr>
          <w:sz w:val="20"/>
          <w:szCs w:val="20"/>
          <w:color w:val="auto"/>
        </w:rPr>
      </w:pPr>
      <w:r>
        <w:rPr>
          <w:rFonts w:ascii="Arial" w:cs="Arial" w:eastAsia="Arial" w:hAnsi="Arial"/>
          <w:sz w:val="16"/>
          <w:szCs w:val="16"/>
          <w:color w:val="auto"/>
        </w:rPr>
        <w:t>The Partnership, OpCo and Westlake are parties to an Investment Management Agreement that authorizes Westlake to invest the Partnership and OpCo's excess cash with Westlake for durations of up to a maximum of nine months. Per the terms of the Investment Management Agreement, the Partnership earns a market return plus five basis points and Westlake provides daily availability of the invested cash to meet any liquidity needs of the Partnership or OpCo. The Partnership had $64,996 of invested cash under the Investment Management Agreement at December 31, 2022.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Accounts Receivable—Third Parties</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Accounts receivable—third parties consist of the following:</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4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82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26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Trade customers</w:t>
            </w:r>
          </w:p>
        </w:tc>
        <w:tc>
          <w:tcPr>
            <w:tcW w:w="880" w:type="dxa"/>
            <w:vAlign w:val="bottom"/>
            <w:shd w:val="clear" w:color="auto" w:fill="CCEEFF"/>
          </w:tcPr>
          <w:p>
            <w:pPr>
              <w:jc w:val="right"/>
              <w:ind w:right="678"/>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18,813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5,875</w:t>
            </w:r>
          </w:p>
        </w:tc>
        <w:tc>
          <w:tcPr>
            <w:tcW w:w="0" w:type="dxa"/>
            <w:vAlign w:val="bottom"/>
          </w:tcPr>
          <w:p>
            <w:pPr>
              <w:spacing w:after="0"/>
              <w:rPr>
                <w:sz w:val="1"/>
                <w:szCs w:val="1"/>
                <w:color w:val="auto"/>
              </w:rPr>
            </w:pP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Allowance for credit losses</w:t>
            </w:r>
          </w:p>
        </w:tc>
        <w:tc>
          <w:tcPr>
            <w:tcW w:w="8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receivables</w:t>
            </w: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8260" w:type="dxa"/>
            <w:vAlign w:val="bottom"/>
          </w:tcPr>
          <w:p>
            <w:pPr>
              <w:ind w:left="20"/>
              <w:spacing w:after="0"/>
              <w:rPr>
                <w:sz w:val="20"/>
                <w:szCs w:val="20"/>
                <w:color w:val="auto"/>
              </w:rPr>
            </w:pPr>
            <w:r>
              <w:rPr>
                <w:rFonts w:ascii="Arial" w:cs="Arial" w:eastAsia="Arial" w:hAnsi="Arial"/>
                <w:sz w:val="18"/>
                <w:szCs w:val="18"/>
                <w:color w:val="auto"/>
              </w:rPr>
              <w:t>Accounts receivable, net—third parties</w:t>
            </w:r>
          </w:p>
        </w:tc>
        <w:tc>
          <w:tcPr>
            <w:tcW w:w="880" w:type="dxa"/>
            <w:vAlign w:val="bottom"/>
            <w:tcBorders>
              <w:bottom w:val="single" w:sz="8" w:color="auto"/>
            </w:tcBorders>
          </w:tcPr>
          <w:p>
            <w:pPr>
              <w:jc w:val="right"/>
              <w:ind w:right="678"/>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20,030</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5,825</w:t>
            </w:r>
          </w:p>
        </w:tc>
        <w:tc>
          <w:tcPr>
            <w:tcW w:w="0" w:type="dxa"/>
            <w:vAlign w:val="bottom"/>
          </w:tcPr>
          <w:p>
            <w:pPr>
              <w:spacing w:after="0"/>
              <w:rPr>
                <w:sz w:val="1"/>
                <w:szCs w:val="1"/>
                <w:color w:val="auto"/>
              </w:rPr>
            </w:pPr>
          </w:p>
        </w:tc>
      </w:tr>
      <w:tr>
        <w:trPr>
          <w:trHeight w:val="20"/>
        </w:trPr>
        <w:tc>
          <w:tcPr>
            <w:tcW w:w="8260" w:type="dxa"/>
            <w:vAlign w:val="bottom"/>
            <w:vMerge w:val="restart"/>
          </w:tcPr>
          <w:p>
            <w:pPr>
              <w:spacing w:after="0"/>
              <w:rPr>
                <w:sz w:val="20"/>
                <w:szCs w:val="20"/>
                <w:color w:val="auto"/>
              </w:rPr>
            </w:pPr>
            <w:r>
              <w:rPr>
                <w:rFonts w:ascii="Arial" w:cs="Arial" w:eastAsia="Arial" w:hAnsi="Arial"/>
                <w:sz w:val="18"/>
                <w:szCs w:val="18"/>
                <w:b w:val="1"/>
                <w:bCs w:val="1"/>
                <w:color w:val="auto"/>
              </w:rPr>
              <w:t>4. Inventories</w:t>
            </w:r>
          </w:p>
        </w:tc>
        <w:tc>
          <w:tcPr>
            <w:tcW w:w="8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5"/>
        </w:trPr>
        <w:tc>
          <w:tcPr>
            <w:tcW w:w="826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9"/>
        </w:trPr>
        <w:tc>
          <w:tcPr>
            <w:tcW w:w="8260" w:type="dxa"/>
            <w:vAlign w:val="bottom"/>
          </w:tcPr>
          <w:p>
            <w:pPr>
              <w:ind w:left="400"/>
              <w:spacing w:after="0"/>
              <w:rPr>
                <w:sz w:val="20"/>
                <w:szCs w:val="20"/>
                <w:color w:val="auto"/>
              </w:rPr>
            </w:pPr>
            <w:r>
              <w:rPr>
                <w:rFonts w:ascii="Arial" w:cs="Arial" w:eastAsia="Arial" w:hAnsi="Arial"/>
                <w:sz w:val="18"/>
                <w:szCs w:val="18"/>
                <w:color w:val="auto"/>
              </w:rPr>
              <w:t>Inventories consist of the following:</w:t>
            </w: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3"/>
        </w:trPr>
        <w:tc>
          <w:tcPr>
            <w:tcW w:w="8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82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826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products</w:t>
            </w:r>
          </w:p>
        </w:tc>
        <w:tc>
          <w:tcPr>
            <w:tcW w:w="880" w:type="dxa"/>
            <w:vAlign w:val="bottom"/>
            <w:shd w:val="clear" w:color="auto" w:fill="CCEEFF"/>
          </w:tcPr>
          <w:p>
            <w:pPr>
              <w:jc w:val="right"/>
              <w:ind w:right="678"/>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5,458</w:t>
            </w:r>
          </w:p>
        </w:tc>
        <w:tc>
          <w:tcPr>
            <w:tcW w:w="0" w:type="dxa"/>
            <w:vAlign w:val="bottom"/>
          </w:tcPr>
          <w:p>
            <w:pPr>
              <w:spacing w:after="0"/>
              <w:rPr>
                <w:sz w:val="1"/>
                <w:szCs w:val="1"/>
                <w:color w:val="auto"/>
              </w:rPr>
            </w:pP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Feedstock, additives and chemicals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3,440</w:t>
            </w:r>
          </w:p>
        </w:tc>
        <w:tc>
          <w:tcPr>
            <w:tcW w:w="0" w:type="dxa"/>
            <w:vAlign w:val="bottom"/>
          </w:tcPr>
          <w:p>
            <w:pPr>
              <w:spacing w:after="0"/>
              <w:rPr>
                <w:sz w:val="1"/>
                <w:szCs w:val="1"/>
                <w:color w:val="auto"/>
              </w:rPr>
            </w:pPr>
          </w:p>
        </w:tc>
      </w:tr>
      <w:tr>
        <w:trPr>
          <w:trHeight w:val="242"/>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880" w:type="dxa"/>
            <w:vAlign w:val="bottom"/>
            <w:tcBorders>
              <w:bottom w:val="single" w:sz="8" w:color="auto"/>
            </w:tcBorders>
            <w:shd w:val="clear" w:color="auto" w:fill="CCEEFF"/>
          </w:tcPr>
          <w:p>
            <w:pPr>
              <w:jc w:val="right"/>
              <w:ind w:right="678"/>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4,715</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8,898</w:t>
            </w:r>
          </w:p>
        </w:tc>
        <w:tc>
          <w:tcPr>
            <w:tcW w:w="0" w:type="dxa"/>
            <w:vAlign w:val="bottom"/>
          </w:tcPr>
          <w:p>
            <w:pPr>
              <w:spacing w:after="0"/>
              <w:rPr>
                <w:sz w:val="1"/>
                <w:szCs w:val="1"/>
                <w:color w:val="auto"/>
              </w:rPr>
            </w:pP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5" w:name="page66"/>
    <w:bookmarkEnd w:id="65"/>
    <w:p>
      <w:pPr>
        <w:spacing w:after="0"/>
        <w:rPr>
          <w:sz w:val="20"/>
          <w:szCs w:val="20"/>
          <w:color w:val="auto"/>
        </w:rPr>
      </w:pPr>
      <w:r>
        <w:rPr>
          <w:rFonts w:ascii="Arial" w:cs="Arial" w:eastAsia="Arial" w:hAnsi="Arial"/>
          <w:sz w:val="14"/>
          <w:szCs w:val="14"/>
          <w:u w:val="single" w:color="auto"/>
          <w:color w:val="0000FF"/>
        </w:rPr>
        <w:t>Table of Contents</w:t>
      </w:r>
    </w:p>
    <w:p>
      <w:pPr>
        <w:spacing w:after="0" w:line="1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PARTNERS LP</w:t>
      </w:r>
    </w:p>
    <w:p>
      <w:pPr>
        <w:spacing w:after="0" w:line="75"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Property, Plant and Equipment</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Property, plant and equipment consist of the following: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Pr>
          <w:p>
            <w:pPr>
              <w:spacing w:after="0"/>
              <w:rPr>
                <w:sz w:val="15"/>
                <w:szCs w:val="15"/>
                <w:color w:val="auto"/>
              </w:rPr>
            </w:pPr>
          </w:p>
        </w:tc>
      </w:tr>
      <w:tr>
        <w:trPr>
          <w:trHeight w:val="24"/>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4"/>
        </w:trPr>
        <w:tc>
          <w:tcPr>
            <w:tcW w:w="82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2021</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Building and improvements</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18,551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18,361</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Plant and equipment</w:t>
            </w: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1,937,439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1,909,519</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110,984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107,656</w:t>
            </w:r>
          </w:p>
        </w:tc>
      </w:tr>
      <w:tr>
        <w:trPr>
          <w:trHeight w:val="217"/>
        </w:trPr>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2,066,974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2,035,536</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(1,102,800)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(1,022,750)</w:t>
            </w:r>
          </w:p>
        </w:tc>
      </w:tr>
      <w:tr>
        <w:trPr>
          <w:trHeight w:val="217"/>
        </w:trPr>
        <w:tc>
          <w:tcPr>
            <w:tcW w:w="8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964,174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1,012,786</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Construction in progress</w:t>
            </w: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26,039</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30,753</w:t>
            </w:r>
          </w:p>
        </w:tc>
      </w:tr>
      <w:tr>
        <w:trPr>
          <w:trHeight w:val="217"/>
        </w:trPr>
        <w:tc>
          <w:tcPr>
            <w:tcW w:w="8260" w:type="dxa"/>
            <w:vAlign w:val="bottom"/>
          </w:tcPr>
          <w:p>
            <w:pPr>
              <w:ind w:left="20"/>
              <w:spacing w:after="0"/>
              <w:rPr>
                <w:sz w:val="20"/>
                <w:szCs w:val="20"/>
                <w:color w:val="auto"/>
              </w:rPr>
            </w:pPr>
            <w:r>
              <w:rPr>
                <w:rFonts w:ascii="Arial" w:cs="Arial" w:eastAsia="Arial" w:hAnsi="Arial"/>
                <w:sz w:val="18"/>
                <w:szCs w:val="18"/>
                <w:color w:val="auto"/>
              </w:rPr>
              <w:t>Property, plant and equipment, net</w:t>
            </w:r>
          </w:p>
        </w:tc>
        <w:tc>
          <w:tcPr>
            <w:tcW w:w="3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990,213</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1,043,539</w:t>
            </w:r>
          </w:p>
        </w:tc>
      </w:tr>
      <w:tr>
        <w:trPr>
          <w:trHeight w:val="20"/>
        </w:trPr>
        <w:tc>
          <w:tcPr>
            <w:tcW w:w="8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360" w:firstLine="395"/>
        <w:spacing w:after="0" w:line="261" w:lineRule="auto"/>
        <w:rPr>
          <w:sz w:val="20"/>
          <w:szCs w:val="20"/>
          <w:color w:val="auto"/>
        </w:rPr>
      </w:pPr>
      <w:r>
        <w:rPr>
          <w:rFonts w:ascii="Arial" w:cs="Arial" w:eastAsia="Arial" w:hAnsi="Arial"/>
          <w:sz w:val="18"/>
          <w:szCs w:val="18"/>
          <w:color w:val="auto"/>
        </w:rPr>
        <w:t>Depreciation expense on property, plant and equipment of $94,744, $91,852 and $90,768 is included in cost of sales in the consolidated statements of operations for the years ended December 31, 2022, 2021 and 2020,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w:t>
      </w:r>
    </w:p>
    <w:p>
      <w:pPr>
        <w:spacing w:after="0" w:line="102" w:lineRule="exact"/>
        <w:rPr>
          <w:sz w:val="20"/>
          <w:szCs w:val="20"/>
          <w:color w:val="auto"/>
        </w:rPr>
      </w:pPr>
    </w:p>
    <w:p>
      <w:pPr>
        <w:ind w:right="120" w:firstLine="395"/>
        <w:spacing w:after="0" w:line="281" w:lineRule="auto"/>
        <w:rPr>
          <w:sz w:val="20"/>
          <w:szCs w:val="20"/>
          <w:color w:val="auto"/>
        </w:rPr>
      </w:pPr>
      <w:r>
        <w:rPr>
          <w:rFonts w:ascii="Arial" w:cs="Arial" w:eastAsia="Arial" w:hAnsi="Arial"/>
          <w:sz w:val="16"/>
          <w:szCs w:val="16"/>
          <w:color w:val="auto"/>
        </w:rPr>
        <w:t>The Partnership's goodwill balance was $5,814 at December 31, 2022 and 2021. The impairment assessment for the recorded goodwill was performed during the fourth quarter of 2022 and did not indicate impairment of the goodwill. The fair value of the goodwill was calculated using both a discounted cash flow methodology and a market value methodology. The discounted cash flow projections were based on a long-term forecast to reflect the cyclicality of the Partnership's business. The forecast was based on projected market prices and spreads and estimates by management, including their strategic and operational plans. Other significant assumptions used in the discounted cash flow projection included sales volumes based on production capacities. The future cash flows were discounted to present value using a discount rate of 9.5%. The significant assumptions used in determining the fair value of the reporting unit using the market value methodology include the determination of appropriate market comparables and the estimated multiples of EBITDA a willing buyer is likely to pay.</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Deferred Charges and Other Assets</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Deferred charges and other assets, net consist of the following: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Pr>
          <w:p>
            <w:pPr>
              <w:spacing w:after="0"/>
              <w:rPr>
                <w:sz w:val="15"/>
                <w:szCs w:val="15"/>
                <w:color w:val="auto"/>
              </w:rPr>
            </w:pPr>
          </w:p>
        </w:tc>
      </w:tr>
      <w:tr>
        <w:trPr>
          <w:trHeight w:val="24"/>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4"/>
        </w:trPr>
        <w:tc>
          <w:tcPr>
            <w:tcW w:w="82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Turnaround costs, net</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127,647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146,942</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3,193</w:t>
            </w:r>
          </w:p>
        </w:tc>
      </w:tr>
      <w:tr>
        <w:trPr>
          <w:trHeight w:val="242"/>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charges and other assets, net</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130,159</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150,135</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right="480" w:firstLine="395"/>
        <w:spacing w:after="0" w:line="252" w:lineRule="auto"/>
        <w:rPr>
          <w:sz w:val="20"/>
          <w:szCs w:val="20"/>
          <w:color w:val="auto"/>
        </w:rPr>
      </w:pPr>
      <w:r>
        <w:rPr>
          <w:rFonts w:ascii="Arial" w:cs="Arial" w:eastAsia="Arial" w:hAnsi="Arial"/>
          <w:sz w:val="18"/>
          <w:szCs w:val="18"/>
          <w:color w:val="auto"/>
        </w:rPr>
        <w:t>Amortization expense on other assets of $26,330, $16,962 and $12,386 is included in the consolidated statements of operations for the years ended December 31, 2022, 2021 and 2020, respectively. Certain other assets are amortized over periods ranging from five to fifteen years using the straight-line method.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Long-Term Debt</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Long-term debt payable to Westlake consists of the following:</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06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8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060" w:type="dxa"/>
            <w:vAlign w:val="bottom"/>
          </w:tcPr>
          <w:p>
            <w:pPr>
              <w:spacing w:after="0"/>
              <w:rPr>
                <w:sz w:val="2"/>
                <w:szCs w:val="2"/>
                <w:color w:val="auto"/>
              </w:rPr>
            </w:pPr>
          </w:p>
        </w:tc>
        <w:tc>
          <w:tcPr>
            <w:tcW w:w="42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4060" w:type="dxa"/>
            <w:vAlign w:val="bottom"/>
            <w:tcBorders>
              <w:bottom w:val="single" w:sz="8" w:color="CCEEFF"/>
            </w:tcBorders>
          </w:tcPr>
          <w:p>
            <w:pPr>
              <w:spacing w:after="0"/>
              <w:rPr>
                <w:sz w:val="15"/>
                <w:szCs w:val="15"/>
                <w:color w:val="auto"/>
              </w:rPr>
            </w:pPr>
          </w:p>
        </w:tc>
        <w:tc>
          <w:tcPr>
            <w:tcW w:w="42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4"/>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OpCo Revolver</w:t>
            </w:r>
          </w:p>
        </w:tc>
        <w:tc>
          <w:tcPr>
            <w:tcW w:w="4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22,619</w:t>
            </w:r>
          </w:p>
        </w:tc>
        <w:tc>
          <w:tcPr>
            <w:tcW w:w="0" w:type="dxa"/>
            <w:vAlign w:val="bottom"/>
          </w:tcPr>
          <w:p>
            <w:pPr>
              <w:spacing w:after="0"/>
              <w:rPr>
                <w:sz w:val="1"/>
                <w:szCs w:val="1"/>
                <w:color w:val="auto"/>
              </w:rPr>
            </w:pPr>
          </w:p>
        </w:tc>
      </w:tr>
      <w:tr>
        <w:trPr>
          <w:trHeight w:val="223"/>
        </w:trPr>
        <w:tc>
          <w:tcPr>
            <w:tcW w:w="40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MLP Revolver</w:t>
            </w:r>
          </w:p>
        </w:tc>
        <w:tc>
          <w:tcPr>
            <w:tcW w:w="4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377,055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377,055</w:t>
            </w:r>
          </w:p>
        </w:tc>
        <w:tc>
          <w:tcPr>
            <w:tcW w:w="0" w:type="dxa"/>
            <w:vAlign w:val="bottom"/>
          </w:tcPr>
          <w:p>
            <w:pPr>
              <w:spacing w:after="0"/>
              <w:rPr>
                <w:sz w:val="1"/>
                <w:szCs w:val="1"/>
                <w:color w:val="auto"/>
              </w:rPr>
            </w:pPr>
          </w:p>
        </w:tc>
      </w:tr>
      <w:tr>
        <w:trPr>
          <w:trHeight w:val="237"/>
        </w:trPr>
        <w:tc>
          <w:tcPr>
            <w:tcW w:w="4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payable to Westlake</w:t>
            </w:r>
          </w:p>
        </w:tc>
        <w:tc>
          <w:tcPr>
            <w:tcW w:w="45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399,674</w:t>
            </w: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399,674</w:t>
            </w:r>
          </w:p>
        </w:tc>
        <w:tc>
          <w:tcPr>
            <w:tcW w:w="0" w:type="dxa"/>
            <w:vAlign w:val="bottom"/>
          </w:tcPr>
          <w:p>
            <w:pPr>
              <w:spacing w:after="0"/>
              <w:rPr>
                <w:sz w:val="1"/>
                <w:szCs w:val="1"/>
                <w:color w:val="auto"/>
              </w:rPr>
            </w:pPr>
          </w:p>
        </w:tc>
      </w:tr>
      <w:tr>
        <w:trPr>
          <w:trHeight w:val="20"/>
        </w:trPr>
        <w:tc>
          <w:tcPr>
            <w:tcW w:w="4060" w:type="dxa"/>
            <w:vAlign w:val="bottom"/>
            <w:tcBorders>
              <w:top w:val="single" w:sz="8" w:color="CCEEFF"/>
            </w:tcBorders>
          </w:tcPr>
          <w:p>
            <w:pPr>
              <w:spacing w:after="0" w:line="20" w:lineRule="exact"/>
              <w:rPr>
                <w:sz w:val="1"/>
                <w:szCs w:val="1"/>
                <w:color w:val="auto"/>
              </w:rPr>
            </w:pPr>
          </w:p>
        </w:tc>
        <w:tc>
          <w:tcPr>
            <w:tcW w:w="4200" w:type="dxa"/>
            <w:vAlign w:val="bottom"/>
            <w:tcBorders>
              <w:top w:val="single" w:sz="8" w:color="CCEEFF"/>
              <w:bottom w:val="single" w:sz="8" w:color="CCEEFF"/>
            </w:tcBorders>
            <w:vMerge w:val="restart"/>
          </w:tcPr>
          <w:p>
            <w:pPr>
              <w:jc w:val="right"/>
              <w:ind w:right="2452"/>
              <w:spacing w:after="0"/>
              <w:rPr>
                <w:sz w:val="20"/>
                <w:szCs w:val="20"/>
                <w:color w:val="auto"/>
              </w:rPr>
            </w:pPr>
            <w:r>
              <w:rPr>
                <w:rFonts w:ascii="Arial" w:cs="Arial" w:eastAsia="Arial" w:hAnsi="Arial"/>
                <w:sz w:val="18"/>
                <w:szCs w:val="18"/>
                <w:color w:val="auto"/>
              </w:rPr>
              <w:t>60</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0"/>
        </w:trPr>
        <w:tc>
          <w:tcPr>
            <w:tcW w:w="4060" w:type="dxa"/>
            <w:vAlign w:val="bottom"/>
          </w:tcPr>
          <w:p>
            <w:pPr>
              <w:spacing w:after="0"/>
              <w:rPr>
                <w:sz w:val="24"/>
                <w:szCs w:val="24"/>
                <w:color w:val="auto"/>
              </w:rPr>
            </w:pPr>
          </w:p>
        </w:tc>
        <w:tc>
          <w:tcPr>
            <w:tcW w:w="420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060" w:type="dxa"/>
            <w:vAlign w:val="bottom"/>
            <w:tcBorders>
              <w:bottom w:val="single" w:sz="8" w:color="9A9A9A"/>
            </w:tcBorders>
          </w:tcPr>
          <w:p>
            <w:pPr>
              <w:spacing w:after="0"/>
              <w:rPr>
                <w:sz w:val="9"/>
                <w:szCs w:val="9"/>
                <w:color w:val="auto"/>
              </w:rPr>
            </w:pPr>
          </w:p>
        </w:tc>
        <w:tc>
          <w:tcPr>
            <w:tcW w:w="42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8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6" w:name="page67"/>
    <w:bookmarkEnd w:id="66"/>
    <w:p>
      <w:pPr>
        <w:spacing w:after="0"/>
        <w:rPr>
          <w:sz w:val="20"/>
          <w:szCs w:val="20"/>
          <w:color w:val="auto"/>
        </w:rPr>
      </w:pPr>
      <w:r>
        <w:rPr>
          <w:rFonts w:ascii="Arial" w:cs="Arial" w:eastAsia="Arial" w:hAnsi="Arial"/>
          <w:sz w:val="14"/>
          <w:szCs w:val="14"/>
          <w:u w:val="single" w:color="auto"/>
          <w:color w:val="0000FF"/>
        </w:rPr>
        <w:t>Table of Contents</w:t>
      </w:r>
    </w:p>
    <w:p>
      <w:pPr>
        <w:spacing w:after="0" w:line="1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PARTNERS LP</w:t>
      </w:r>
    </w:p>
    <w:p>
      <w:pPr>
        <w:spacing w:after="0" w:line="75"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331" w:lineRule="exact"/>
        <w:rPr>
          <w:sz w:val="20"/>
          <w:szCs w:val="20"/>
          <w:color w:val="auto"/>
        </w:rPr>
      </w:pPr>
    </w:p>
    <w:p>
      <w:pPr>
        <w:ind w:right="20" w:firstLine="395"/>
        <w:spacing w:after="0" w:line="281" w:lineRule="auto"/>
        <w:rPr>
          <w:sz w:val="20"/>
          <w:szCs w:val="20"/>
          <w:color w:val="auto"/>
        </w:rPr>
      </w:pPr>
      <w:r>
        <w:rPr>
          <w:rFonts w:ascii="Arial" w:cs="Arial" w:eastAsia="Arial" w:hAnsi="Arial"/>
          <w:sz w:val="16"/>
          <w:szCs w:val="16"/>
          <w:color w:val="auto"/>
        </w:rPr>
        <w:t>On August 4, 2014, OpCo entered into a $600,000 senior unsecured revolving credit facility agreement with Westlake (as subsequently amended, the "OpCo Revolver"). On July 12, 2022, OpCo entered into the Second Amendment (the "OpCo Revolver Amendment") to the OpCo Revolver. Prior to the OpCo Revolver Amendment, the OpCo Revolver bore interest at the London Interbank Offered Rate ("LIBOR") plus 2.0%. The OpCo Revolver Amendment, among other things, extended the maturity date of the OpCo Revolver from September 25, 2023 to July 12, 2027 and provided for the replacement of LIBOR with the Secured Overnight Financing Rate, as administered by the Federal Reserve Bank of New York ("SOFR"). Borrowings under the OpCo Revolver now bear interest at a variable rate of either (a) SOFR plus the Applicable Margin plus a 0.10% credit spread adjustment or, if SOFR is no longer available, (b) the Alternate Base Rate plus the Applicable Margin minus 1.0%. The Applicable Margin under the OpCo Revolver is 1.75%. As of December 31, 2022, outstanding borrowings under the OpCo Revolver bore interest at SOFR plus the Applicable Margin and credit spread adjustment.</w:t>
      </w:r>
    </w:p>
    <w:p>
      <w:pPr>
        <w:spacing w:after="0" w:line="119" w:lineRule="exact"/>
        <w:rPr>
          <w:sz w:val="20"/>
          <w:szCs w:val="20"/>
          <w:color w:val="auto"/>
        </w:rPr>
      </w:pPr>
    </w:p>
    <w:p>
      <w:pPr>
        <w:ind w:firstLine="395"/>
        <w:spacing w:after="0" w:line="276" w:lineRule="auto"/>
        <w:rPr>
          <w:sz w:val="20"/>
          <w:szCs w:val="20"/>
          <w:color w:val="auto"/>
        </w:rPr>
      </w:pPr>
      <w:r>
        <w:rPr>
          <w:rFonts w:ascii="Arial" w:cs="Arial" w:eastAsia="Arial" w:hAnsi="Arial"/>
          <w:sz w:val="16"/>
          <w:szCs w:val="16"/>
          <w:color w:val="auto"/>
        </w:rPr>
        <w:t>On April 29, 2015, the Partnership entered into a $300,000 revolving credit facility agreement with an affiliate of Westlake (as subsequently amended, the "MLP Revolver") to fund the Partnership's purchase of an additional 2.7% newly-issued, limited partner interest in OpCo for $135,341. In 2017, the Partnership entered into an amendment to the MLP Revolver credit agreement, increasing borrowing capacity from $300,000 to $600,000. On March 29, 2019, the Partnership borrowed $123,511 under the MLP Revolver to partially fund the purchase of the additional 4.5% interest in OpCo. On July 12, 2022, the Partnership entered into the Fourth Amendment (the "MLP Revolver Amendment") to the MLP Revolver. Prior to the MLP Revolver Amendment, the MLP Revolver bore interest at a variable rate of either (a) LIBOR plus 2.0% or, if LIBOR were no longer available, (b) the Alternate Base Rate plus 1.0%. The MLP Revolver Amendment, among other things, extended the maturity date of the MLP Revolver from March 19, 2023 to July 12, 2027 and provided for the replacement of LIBOR with SOFR as the reference rate. Borrowings under the MLP Revolver now bear interest at a variable rate of either (a) SOFR plus the Applicable Margin plus a 0.10% credit spread adjustment or, if SOFR is no longer available, (b) the Alternate Base Rate plus the Applicable Margin minus</w:t>
      </w:r>
    </w:p>
    <w:p>
      <w:pPr>
        <w:spacing w:after="0" w:line="2" w:lineRule="exact"/>
        <w:rPr>
          <w:sz w:val="20"/>
          <w:szCs w:val="20"/>
          <w:color w:val="auto"/>
        </w:rPr>
      </w:pPr>
    </w:p>
    <w:p>
      <w:pPr>
        <w:spacing w:after="0" w:line="274" w:lineRule="auto"/>
        <w:rPr>
          <w:sz w:val="20"/>
          <w:szCs w:val="20"/>
          <w:color w:val="auto"/>
        </w:rPr>
      </w:pPr>
      <w:r>
        <w:rPr>
          <w:rFonts w:ascii="Arial" w:cs="Arial" w:eastAsia="Arial" w:hAnsi="Arial"/>
          <w:sz w:val="16"/>
          <w:szCs w:val="16"/>
          <w:color w:val="auto"/>
        </w:rPr>
        <w:t>1.0%. The Applicable Margin under the MLP Revolver varies between 1.75% and 2.75%, depending on the Partnership's Consolidated Leverage Ratio. As of December 31, 2022, outstanding borrowings under the MLP Revolver bore interest at SOFR plus the Applicable Margin and credit spread adjustment. The MLP Revolver provides that the Partnership may pay all or a portion of the interest on any borrowings in kind, in which case any such amounts would be added to the principal amount of the loan. The MLP Revolver requires that the Partnership maintain a consolidated leverage ratio of either (1) during any one-year period following certain types of acquisitions (including acquisitions of additional interests in OpCo), 5.50:1.00 or less, or (2) during any other period,</w:t>
      </w:r>
    </w:p>
    <w:p>
      <w:pPr>
        <w:spacing w:after="0" w:line="2" w:lineRule="exact"/>
        <w:rPr>
          <w:sz w:val="20"/>
          <w:szCs w:val="20"/>
          <w:color w:val="auto"/>
        </w:rPr>
      </w:pPr>
    </w:p>
    <w:p>
      <w:pPr>
        <w:ind w:right="380"/>
        <w:spacing w:after="0" w:line="248" w:lineRule="auto"/>
        <w:rPr>
          <w:sz w:val="20"/>
          <w:szCs w:val="20"/>
          <w:color w:val="auto"/>
        </w:rPr>
      </w:pPr>
      <w:r>
        <w:rPr>
          <w:rFonts w:ascii="Arial" w:cs="Arial" w:eastAsia="Arial" w:hAnsi="Arial"/>
          <w:sz w:val="18"/>
          <w:szCs w:val="18"/>
          <w:color w:val="auto"/>
        </w:rPr>
        <w:t>4.50:1.00 or less. The MLP Revolver also contains certain other customary covenants. The repayment of borrowings under the MLP Revolver is subject to acceleration upon the occurrence of an event of default.</w:t>
      </w:r>
    </w:p>
    <w:p>
      <w:pPr>
        <w:spacing w:after="0" w:line="13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As of December 31, 2022, the Partnership was in compliance with all of the covenants under the OpCo Revolver and the MLP Revolver.</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weighted average interest rate on all long-term debt was 4.8% and 2.1% at December 31, 2022 and 2021, respectively.</w:t>
      </w:r>
    </w:p>
    <w:p>
      <w:pPr>
        <w:spacing w:after="0" w:line="161" w:lineRule="exact"/>
        <w:rPr>
          <w:sz w:val="20"/>
          <w:szCs w:val="20"/>
          <w:color w:val="auto"/>
        </w:rPr>
      </w:pPr>
    </w:p>
    <w:p>
      <w:pPr>
        <w:ind w:right="440" w:firstLine="395"/>
        <w:spacing w:after="0" w:line="261" w:lineRule="auto"/>
        <w:rPr>
          <w:sz w:val="20"/>
          <w:szCs w:val="20"/>
          <w:color w:val="auto"/>
        </w:rPr>
      </w:pPr>
      <w:r>
        <w:rPr>
          <w:rFonts w:ascii="Arial" w:cs="Arial" w:eastAsia="Arial" w:hAnsi="Arial"/>
          <w:sz w:val="18"/>
          <w:szCs w:val="18"/>
          <w:color w:val="auto"/>
        </w:rPr>
        <w:t>As of December 31, 2022, the Partnership had no scheduled maturities of long-term debt until 2027. The OpCo Revolver and the MLP Revolver are scheduled to mature on July 12, 2027.</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Distributions and Net Income Per Limited Partner Unit</w:t>
      </w:r>
    </w:p>
    <w:p>
      <w:pPr>
        <w:spacing w:after="0" w:line="89" w:lineRule="exact"/>
        <w:rPr>
          <w:sz w:val="20"/>
          <w:szCs w:val="20"/>
          <w:color w:val="auto"/>
        </w:rPr>
      </w:pPr>
    </w:p>
    <w:p>
      <w:pPr>
        <w:ind w:right="100" w:firstLine="395"/>
        <w:spacing w:after="0" w:line="252" w:lineRule="auto"/>
        <w:rPr>
          <w:sz w:val="20"/>
          <w:szCs w:val="20"/>
          <w:color w:val="auto"/>
        </w:rPr>
      </w:pPr>
      <w:r>
        <w:rPr>
          <w:rFonts w:ascii="Arial" w:cs="Arial" w:eastAsia="Arial" w:hAnsi="Arial"/>
          <w:sz w:val="18"/>
          <w:szCs w:val="18"/>
          <w:color w:val="auto"/>
        </w:rPr>
        <w:t>On January 23, 2023, the board of directors of Westlake Chemical Partners GP LLC ("Westlake GP"), the Partnership's general partner, declared a quarterly cash distribution for the period from October 1, 2022 to December 31, 2022 of $0.4714 per common unit. This distribution was paid on February 16, 2023 to unitholders of record on February 2, 2023.</w:t>
      </w:r>
    </w:p>
    <w:p>
      <w:pPr>
        <w:spacing w:after="0" w:line="138" w:lineRule="exact"/>
        <w:rPr>
          <w:sz w:val="20"/>
          <w:szCs w:val="20"/>
          <w:color w:val="auto"/>
        </w:rPr>
      </w:pPr>
    </w:p>
    <w:p>
      <w:pPr>
        <w:ind w:right="280" w:firstLine="395"/>
        <w:spacing w:after="0" w:line="261" w:lineRule="auto"/>
        <w:rPr>
          <w:sz w:val="20"/>
          <w:szCs w:val="20"/>
          <w:color w:val="auto"/>
        </w:rPr>
      </w:pPr>
      <w:r>
        <w:rPr>
          <w:rFonts w:ascii="Arial" w:cs="Arial" w:eastAsia="Arial" w:hAnsi="Arial"/>
          <w:sz w:val="18"/>
          <w:szCs w:val="18"/>
          <w:color w:val="auto"/>
        </w:rPr>
        <w:t>Distributions are declared subsequent to quarter end; therefore, the table below represents total cash distributions declared from earnings of the related periods pertaining to such distributions.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40" w:type="dxa"/>
            <w:vAlign w:val="bottom"/>
            <w:gridSpan w:val="4"/>
          </w:tcPr>
          <w:p>
            <w:pPr>
              <w:ind w:left="40"/>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400" w:type="dxa"/>
            <w:vAlign w:val="bottom"/>
          </w:tcPr>
          <w:p>
            <w:pPr>
              <w:spacing w:after="0"/>
              <w:rPr>
                <w:sz w:val="2"/>
                <w:szCs w:val="2"/>
                <w:color w:val="auto"/>
              </w:rPr>
            </w:pPr>
          </w:p>
        </w:tc>
        <w:tc>
          <w:tcPr>
            <w:tcW w:w="220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400" w:type="dxa"/>
            <w:vAlign w:val="bottom"/>
            <w:tcBorders>
              <w:bottom w:val="single" w:sz="8" w:color="CCEEFF"/>
            </w:tcBorders>
          </w:tcPr>
          <w:p>
            <w:pPr>
              <w:spacing w:after="0"/>
              <w:rPr>
                <w:sz w:val="15"/>
                <w:szCs w:val="15"/>
                <w:color w:val="auto"/>
              </w:rPr>
            </w:pPr>
          </w:p>
        </w:tc>
        <w:tc>
          <w:tcPr>
            <w:tcW w:w="1320" w:type="dxa"/>
            <w:vAlign w:val="bottom"/>
            <w:tcBorders>
              <w:bottom w:val="single" w:sz="8" w:color="CCEEFF"/>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100" w:type="dxa"/>
            <w:vAlign w:val="bottom"/>
            <w:tcBorders>
              <w:top w:val="single" w:sz="8" w:color="auto"/>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24"/>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attributable to the Partnership</w:t>
            </w:r>
          </w:p>
        </w:tc>
        <w:tc>
          <w:tcPr>
            <w:tcW w:w="2200" w:type="dxa"/>
            <w:vAlign w:val="bottom"/>
            <w:gridSpan w:val="2"/>
            <w:shd w:val="clear" w:color="auto" w:fill="CCEEFF"/>
          </w:tcPr>
          <w:p>
            <w:pPr>
              <w:jc w:val="right"/>
              <w:ind w:right="69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4"/>
              </w:rPr>
              <w:t>64,173</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82,547</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66,167</w:t>
            </w:r>
          </w:p>
        </w:tc>
        <w:tc>
          <w:tcPr>
            <w:tcW w:w="0" w:type="dxa"/>
            <w:vAlign w:val="bottom"/>
          </w:tcPr>
          <w:p>
            <w:pPr>
              <w:spacing w:after="0"/>
              <w:rPr>
                <w:sz w:val="1"/>
                <w:szCs w:val="1"/>
                <w:color w:val="auto"/>
              </w:rPr>
            </w:pPr>
          </w:p>
        </w:tc>
      </w:tr>
      <w:tr>
        <w:trPr>
          <w:trHeight w:val="223"/>
        </w:trPr>
        <w:tc>
          <w:tcPr>
            <w:tcW w:w="5400" w:type="dxa"/>
            <w:vAlign w:val="bottom"/>
          </w:tcPr>
          <w:p>
            <w:pPr>
              <w:ind w:left="20"/>
              <w:spacing w:after="0"/>
              <w:rPr>
                <w:sz w:val="20"/>
                <w:szCs w:val="20"/>
                <w:color w:val="auto"/>
              </w:rPr>
            </w:pPr>
            <w:r>
              <w:rPr>
                <w:rFonts w:ascii="Arial" w:cs="Arial" w:eastAsia="Arial" w:hAnsi="Arial"/>
                <w:sz w:val="18"/>
                <w:szCs w:val="18"/>
                <w:color w:val="auto"/>
              </w:rPr>
              <w:t>Less:</w:t>
            </w:r>
          </w:p>
        </w:tc>
        <w:tc>
          <w:tcPr>
            <w:tcW w:w="1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Limited partners' distribution declared on common units</w:t>
            </w:r>
          </w:p>
        </w:tc>
        <w:tc>
          <w:tcPr>
            <w:tcW w:w="132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4"/>
              </w:rPr>
              <w:t>66,403</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66,388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66,365</w:t>
            </w:r>
          </w:p>
        </w:tc>
        <w:tc>
          <w:tcPr>
            <w:tcW w:w="0" w:type="dxa"/>
            <w:vAlign w:val="bottom"/>
          </w:tcPr>
          <w:p>
            <w:pPr>
              <w:spacing w:after="0"/>
              <w:rPr>
                <w:sz w:val="1"/>
                <w:szCs w:val="1"/>
                <w:color w:val="auto"/>
              </w:rPr>
            </w:pPr>
          </w:p>
        </w:tc>
      </w:tr>
      <w:tr>
        <w:trPr>
          <w:trHeight w:val="217"/>
        </w:trPr>
        <w:tc>
          <w:tcPr>
            <w:tcW w:w="5400" w:type="dxa"/>
            <w:vAlign w:val="bottom"/>
          </w:tcPr>
          <w:p>
            <w:pPr>
              <w:ind w:left="20"/>
              <w:spacing w:after="0"/>
              <w:rPr>
                <w:sz w:val="20"/>
                <w:szCs w:val="20"/>
                <w:color w:val="auto"/>
              </w:rPr>
            </w:pPr>
            <w:r>
              <w:rPr>
                <w:rFonts w:ascii="Arial" w:cs="Arial" w:eastAsia="Arial" w:hAnsi="Arial"/>
                <w:sz w:val="18"/>
                <w:szCs w:val="18"/>
                <w:color w:val="auto"/>
                <w:w w:val="91"/>
              </w:rPr>
              <w:t>Net income in excess of distribution (Distribution in excess of net income)</w:t>
            </w:r>
          </w:p>
        </w:tc>
        <w:tc>
          <w:tcPr>
            <w:tcW w:w="220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560" w:type="dxa"/>
            <w:vAlign w:val="bottom"/>
          </w:tcPr>
          <w:p>
            <w:pPr>
              <w:ind w:left="20"/>
              <w:spacing w:after="0"/>
              <w:rPr>
                <w:sz w:val="20"/>
                <w:szCs w:val="20"/>
                <w:color w:val="auto"/>
              </w:rPr>
            </w:pPr>
            <w:r>
              <w:rPr>
                <w:rFonts w:ascii="Arial" w:cs="Arial" w:eastAsia="Arial" w:hAnsi="Arial"/>
                <w:sz w:val="18"/>
                <w:szCs w:val="18"/>
                <w:color w:val="auto"/>
                <w:w w:val="91"/>
              </w:rPr>
              <w:t>(2,230)</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16,159</w:t>
            </w:r>
          </w:p>
        </w:tc>
        <w:tc>
          <w:tcPr>
            <w:tcW w:w="100" w:type="dxa"/>
            <w:vAlign w:val="bottom"/>
          </w:tcPr>
          <w:p>
            <w:pPr>
              <w:spacing w:after="0"/>
              <w:rPr>
                <w:sz w:val="18"/>
                <w:szCs w:val="18"/>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0"/>
        </w:trPr>
        <w:tc>
          <w:tcPr>
            <w:tcW w:w="5400" w:type="dxa"/>
            <w:vAlign w:val="bottom"/>
          </w:tcPr>
          <w:p>
            <w:pPr>
              <w:spacing w:after="0" w:line="20" w:lineRule="exact"/>
              <w:rPr>
                <w:sz w:val="1"/>
                <w:szCs w:val="1"/>
                <w:color w:val="auto"/>
              </w:rPr>
            </w:pPr>
          </w:p>
        </w:tc>
        <w:tc>
          <w:tcPr>
            <w:tcW w:w="1320" w:type="dxa"/>
            <w:vAlign w:val="bottom"/>
            <w:vMerge w:val="restart"/>
          </w:tcPr>
          <w:p>
            <w:pPr>
              <w:jc w:val="right"/>
              <w:ind w:right="912"/>
              <w:spacing w:after="0"/>
              <w:rPr>
                <w:sz w:val="20"/>
                <w:szCs w:val="20"/>
                <w:color w:val="auto"/>
              </w:rPr>
            </w:pPr>
            <w:r>
              <w:rPr>
                <w:rFonts w:ascii="Arial" w:cs="Arial" w:eastAsia="Arial" w:hAnsi="Arial"/>
                <w:sz w:val="18"/>
                <w:szCs w:val="18"/>
                <w:color w:val="auto"/>
              </w:rPr>
              <w:t>61</w:t>
            </w: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4"/>
        </w:trPr>
        <w:tc>
          <w:tcPr>
            <w:tcW w:w="5400" w:type="dxa"/>
            <w:vAlign w:val="bottom"/>
          </w:tcPr>
          <w:p>
            <w:pPr>
              <w:spacing w:after="0"/>
              <w:rPr>
                <w:sz w:val="24"/>
                <w:szCs w:val="24"/>
                <w:color w:val="auto"/>
              </w:rPr>
            </w:pPr>
          </w:p>
        </w:tc>
        <w:tc>
          <w:tcPr>
            <w:tcW w:w="132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4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880" w:type="dxa"/>
            <w:vAlign w:val="bottom"/>
            <w:tcBorders>
              <w:bottom w:val="single" w:sz="8" w:color="9A9A9A"/>
            </w:tcBorders>
          </w:tcPr>
          <w:p>
            <w:pPr>
              <w:spacing w:after="0"/>
              <w:rPr>
                <w:sz w:val="9"/>
                <w:szCs w:val="9"/>
                <w:color w:val="auto"/>
              </w:rPr>
            </w:pPr>
          </w:p>
        </w:tc>
        <w:tc>
          <w:tcPr>
            <w:tcW w:w="5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7" w:name="page68"/>
    <w:bookmarkEnd w:id="67"/>
    <w:p>
      <w:pPr>
        <w:spacing w:after="0"/>
        <w:rPr>
          <w:sz w:val="20"/>
          <w:szCs w:val="20"/>
          <w:color w:val="auto"/>
        </w:rPr>
      </w:pPr>
      <w:r>
        <w:rPr>
          <w:rFonts w:ascii="Arial" w:cs="Arial" w:eastAsia="Arial" w:hAnsi="Arial"/>
          <w:sz w:val="14"/>
          <w:szCs w:val="14"/>
          <w:u w:val="single" w:color="auto"/>
          <w:color w:val="0000FF"/>
        </w:rPr>
        <w:t>Table of Contents</w:t>
      </w:r>
    </w:p>
    <w:p>
      <w:pPr>
        <w:spacing w:after="0" w:line="1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PARTNERS LP</w:t>
      </w:r>
    </w:p>
    <w:p>
      <w:pPr>
        <w:spacing w:after="0" w:line="75"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331" w:lineRule="exact"/>
        <w:rPr>
          <w:sz w:val="20"/>
          <w:szCs w:val="20"/>
          <w:color w:val="auto"/>
        </w:rPr>
      </w:pPr>
    </w:p>
    <w:p>
      <w:pPr>
        <w:ind w:right="160" w:firstLine="395"/>
        <w:spacing w:after="0" w:line="281" w:lineRule="auto"/>
        <w:rPr>
          <w:sz w:val="20"/>
          <w:szCs w:val="20"/>
          <w:color w:val="auto"/>
        </w:rPr>
      </w:pPr>
      <w:r>
        <w:rPr>
          <w:rFonts w:ascii="Arial" w:cs="Arial" w:eastAsia="Arial" w:hAnsi="Arial"/>
          <w:sz w:val="16"/>
          <w:szCs w:val="16"/>
          <w:color w:val="auto"/>
        </w:rPr>
        <w:t>Net income per unit applicable to common limited partner units and to subordinated limited partner units is computed by dividing the respective limited partners' interest in net income by the weighted-average number of common units and subordinated units outstanding for the period. Because the Partnership has more than one class of participating securities, it uses the two-class method when calculating the net income per unit applicable to limited partners. The classes of participating securities include common units, subordinated units and incentive distribution rights. Net income attributable to the Partnership is allocated to the unitholders in accordance with their respective ownership percentages in preparation of the consolidated statements of changes in equity. However, when distributions related to the incentive distribution rights are made, net income equal to the amount of those distributions is first allocated to the general partner before the remaining net income is allocated to the unitholders based on their respective ownership percentages. Basic and diluted net income per unit is the same because the Partnership does not have any potentially dilutive units outstanding for the periods presented.</w:t>
      </w:r>
    </w:p>
    <w:p>
      <w:pPr>
        <w:spacing w:after="0" w:line="11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All of the subordinated units, which were owned by Westlake, were converted into common units in 2017.</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28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260" w:type="dxa"/>
            <w:vAlign w:val="bottom"/>
            <w:gridSpan w:val="6"/>
          </w:tcPr>
          <w:p>
            <w:pPr>
              <w:jc w:val="center"/>
              <w:ind w:left="859"/>
              <w:spacing w:after="0"/>
              <w:rPr>
                <w:sz w:val="20"/>
                <w:szCs w:val="20"/>
                <w:color w:val="auto"/>
              </w:rPr>
            </w:pPr>
            <w:r>
              <w:rPr>
                <w:rFonts w:ascii="Arial" w:cs="Arial" w:eastAsia="Arial" w:hAnsi="Arial"/>
                <w:sz w:val="14"/>
                <w:szCs w:val="14"/>
                <w:b w:val="1"/>
                <w:bCs w:val="1"/>
                <w:color w:val="auto"/>
                <w:w w:val="90"/>
              </w:rPr>
              <w:t>Year Ended December 31, 2022</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42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428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tcPr>
          <w:p>
            <w:pPr>
              <w:jc w:val="center"/>
              <w:ind w:right="59"/>
              <w:spacing w:after="0" w:line="125" w:lineRule="exact"/>
              <w:rPr>
                <w:sz w:val="20"/>
                <w:szCs w:val="20"/>
                <w:color w:val="auto"/>
              </w:rPr>
            </w:pPr>
            <w:r>
              <w:rPr>
                <w:rFonts w:ascii="Arial" w:cs="Arial" w:eastAsia="Arial" w:hAnsi="Arial"/>
                <w:sz w:val="14"/>
                <w:szCs w:val="14"/>
                <w:b w:val="1"/>
                <w:bCs w:val="1"/>
                <w:color w:val="auto"/>
                <w:w w:val="93"/>
              </w:rPr>
              <w:t>Limited Partners'</w:t>
            </w:r>
          </w:p>
        </w:tc>
        <w:tc>
          <w:tcPr>
            <w:tcW w:w="100" w:type="dxa"/>
            <w:vAlign w:val="bottom"/>
          </w:tcPr>
          <w:p>
            <w:pPr>
              <w:spacing w:after="0"/>
              <w:rPr>
                <w:sz w:val="10"/>
                <w:szCs w:val="10"/>
                <w:color w:val="auto"/>
              </w:rPr>
            </w:pPr>
          </w:p>
        </w:tc>
        <w:tc>
          <w:tcPr>
            <w:tcW w:w="1540" w:type="dxa"/>
            <w:vAlign w:val="bottom"/>
            <w:gridSpan w:val="3"/>
          </w:tcPr>
          <w:p>
            <w:pPr>
              <w:jc w:val="center"/>
              <w:ind w:right="100"/>
              <w:spacing w:after="0" w:line="125" w:lineRule="exact"/>
              <w:rPr>
                <w:sz w:val="20"/>
                <w:szCs w:val="20"/>
                <w:color w:val="auto"/>
              </w:rPr>
            </w:pPr>
            <w:r>
              <w:rPr>
                <w:rFonts w:ascii="Arial" w:cs="Arial" w:eastAsia="Arial" w:hAnsi="Arial"/>
                <w:sz w:val="14"/>
                <w:szCs w:val="14"/>
                <w:b w:val="1"/>
                <w:bCs w:val="1"/>
                <w:color w:val="auto"/>
                <w:w w:val="92"/>
              </w:rPr>
              <w:t>Incentive Distribution</w:t>
            </w:r>
          </w:p>
        </w:tc>
        <w:tc>
          <w:tcPr>
            <w:tcW w:w="340" w:type="dxa"/>
            <w:vAlign w:val="bottom"/>
          </w:tcPr>
          <w:p>
            <w:pPr>
              <w:spacing w:after="0"/>
              <w:rPr>
                <w:sz w:val="10"/>
                <w:szCs w:val="10"/>
                <w:color w:val="auto"/>
              </w:rPr>
            </w:pPr>
          </w:p>
        </w:tc>
        <w:tc>
          <w:tcPr>
            <w:tcW w:w="110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1"/>
        </w:trPr>
        <w:tc>
          <w:tcPr>
            <w:tcW w:w="42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59"/>
              <w:spacing w:after="0"/>
              <w:rPr>
                <w:sz w:val="20"/>
                <w:szCs w:val="20"/>
                <w:color w:val="auto"/>
              </w:rPr>
            </w:pPr>
            <w:r>
              <w:rPr>
                <w:rFonts w:ascii="Arial" w:cs="Arial" w:eastAsia="Arial" w:hAnsi="Arial"/>
                <w:sz w:val="14"/>
                <w:szCs w:val="14"/>
                <w:b w:val="1"/>
                <w:bCs w:val="1"/>
                <w:color w:val="auto"/>
                <w:w w:val="90"/>
              </w:rPr>
              <w:t>Common Units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Rights</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the Partnership:</w:t>
            </w:r>
          </w:p>
        </w:tc>
        <w:tc>
          <w:tcPr>
            <w:tcW w:w="2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tcPr>
          <w:p>
            <w:pPr>
              <w:ind w:left="340"/>
              <w:spacing w:after="0"/>
              <w:rPr>
                <w:sz w:val="20"/>
                <w:szCs w:val="20"/>
                <w:color w:val="auto"/>
              </w:rPr>
            </w:pPr>
            <w:r>
              <w:rPr>
                <w:rFonts w:ascii="Arial" w:cs="Arial" w:eastAsia="Arial" w:hAnsi="Arial"/>
                <w:sz w:val="18"/>
                <w:szCs w:val="18"/>
                <w:color w:val="auto"/>
              </w:rPr>
              <w:t>Distribution</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66,403</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66,403</w:t>
            </w:r>
          </w:p>
        </w:tc>
        <w:tc>
          <w:tcPr>
            <w:tcW w:w="0" w:type="dxa"/>
            <w:vAlign w:val="bottom"/>
          </w:tcPr>
          <w:p>
            <w:pPr>
              <w:spacing w:after="0"/>
              <w:rPr>
                <w:sz w:val="1"/>
                <w:szCs w:val="1"/>
                <w:color w:val="auto"/>
              </w:rPr>
            </w:pPr>
          </w:p>
        </w:tc>
      </w:tr>
      <w:tr>
        <w:trPr>
          <w:trHeight w:val="224"/>
        </w:trPr>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Distribution in excess of net income</w:t>
            </w:r>
          </w:p>
        </w:tc>
        <w:tc>
          <w:tcPr>
            <w:tcW w:w="24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0" w:type="dxa"/>
            <w:vAlign w:val="bottom"/>
          </w:tcPr>
          <w:p>
            <w:pPr>
              <w:spacing w:after="0"/>
              <w:rPr>
                <w:sz w:val="1"/>
                <w:szCs w:val="1"/>
                <w:color w:val="auto"/>
              </w:rPr>
            </w:pPr>
          </w:p>
        </w:tc>
      </w:tr>
      <w:tr>
        <w:trPr>
          <w:trHeight w:val="217"/>
        </w:trPr>
        <w:tc>
          <w:tcPr>
            <w:tcW w:w="4280" w:type="dxa"/>
            <w:vAlign w:val="bottom"/>
          </w:tcPr>
          <w:p>
            <w:pPr>
              <w:ind w:left="660"/>
              <w:spacing w:after="0"/>
              <w:rPr>
                <w:sz w:val="20"/>
                <w:szCs w:val="20"/>
                <w:color w:val="auto"/>
              </w:rPr>
            </w:pPr>
            <w:r>
              <w:rPr>
                <w:rFonts w:ascii="Arial" w:cs="Arial" w:eastAsia="Arial" w:hAnsi="Arial"/>
                <w:sz w:val="18"/>
                <w:szCs w:val="18"/>
                <w:color w:val="auto"/>
              </w:rPr>
              <w:t>Net income</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64,173</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64,173</w:t>
            </w: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28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Weighted average units outstanding:</w:t>
            </w:r>
          </w:p>
        </w:tc>
        <w:tc>
          <w:tcPr>
            <w:tcW w:w="2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80" w:type="dxa"/>
            <w:vAlign w:val="bottom"/>
          </w:tcPr>
          <w:p>
            <w:pPr>
              <w:ind w:left="340"/>
              <w:spacing w:after="0"/>
              <w:rPr>
                <w:sz w:val="20"/>
                <w:szCs w:val="20"/>
                <w:color w:val="auto"/>
              </w:rPr>
            </w:pPr>
            <w:r>
              <w:rPr>
                <w:rFonts w:ascii="Arial" w:cs="Arial" w:eastAsia="Arial" w:hAnsi="Arial"/>
                <w:sz w:val="18"/>
                <w:szCs w:val="18"/>
                <w:color w:val="auto"/>
              </w:rPr>
              <w:t>Basic and diluted</w:t>
            </w:r>
          </w:p>
        </w:tc>
        <w:tc>
          <w:tcPr>
            <w:tcW w:w="2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35,217,336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35,217,336</w:t>
            </w: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28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Net income per limited partner unit:</w:t>
            </w:r>
          </w:p>
        </w:tc>
        <w:tc>
          <w:tcPr>
            <w:tcW w:w="2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80" w:type="dxa"/>
            <w:vAlign w:val="bottom"/>
          </w:tcPr>
          <w:p>
            <w:pPr>
              <w:ind w:left="340"/>
              <w:spacing w:after="0"/>
              <w:rPr>
                <w:sz w:val="20"/>
                <w:szCs w:val="20"/>
                <w:color w:val="auto"/>
              </w:rPr>
            </w:pPr>
            <w:r>
              <w:rPr>
                <w:rFonts w:ascii="Arial" w:cs="Arial" w:eastAsia="Arial" w:hAnsi="Arial"/>
                <w:sz w:val="18"/>
                <w:szCs w:val="18"/>
                <w:color w:val="auto"/>
              </w:rPr>
              <w:t>Basic and diluted</w:t>
            </w:r>
          </w:p>
        </w:tc>
        <w:tc>
          <w:tcPr>
            <w:tcW w:w="24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42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60" w:type="dxa"/>
            <w:vAlign w:val="bottom"/>
            <w:gridSpan w:val="6"/>
          </w:tcPr>
          <w:p>
            <w:pPr>
              <w:jc w:val="center"/>
              <w:ind w:left="859"/>
              <w:spacing w:after="0"/>
              <w:rPr>
                <w:sz w:val="20"/>
                <w:szCs w:val="20"/>
                <w:color w:val="auto"/>
              </w:rPr>
            </w:pPr>
            <w:r>
              <w:rPr>
                <w:rFonts w:ascii="Arial" w:cs="Arial" w:eastAsia="Arial" w:hAnsi="Arial"/>
                <w:sz w:val="14"/>
                <w:szCs w:val="14"/>
                <w:b w:val="1"/>
                <w:bCs w:val="1"/>
                <w:color w:val="auto"/>
                <w:w w:val="90"/>
              </w:rPr>
              <w:t>Year Ended December 31, 2021</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2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428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tcPr>
          <w:p>
            <w:pPr>
              <w:jc w:val="center"/>
              <w:ind w:right="59"/>
              <w:spacing w:after="0" w:line="129" w:lineRule="exact"/>
              <w:rPr>
                <w:sz w:val="20"/>
                <w:szCs w:val="20"/>
                <w:color w:val="auto"/>
              </w:rPr>
            </w:pPr>
            <w:r>
              <w:rPr>
                <w:rFonts w:ascii="Arial" w:cs="Arial" w:eastAsia="Arial" w:hAnsi="Arial"/>
                <w:sz w:val="14"/>
                <w:szCs w:val="14"/>
                <w:b w:val="1"/>
                <w:bCs w:val="1"/>
                <w:color w:val="auto"/>
                <w:w w:val="93"/>
              </w:rPr>
              <w:t>Limited Partners'</w:t>
            </w:r>
          </w:p>
        </w:tc>
        <w:tc>
          <w:tcPr>
            <w:tcW w:w="100" w:type="dxa"/>
            <w:vAlign w:val="bottom"/>
          </w:tcPr>
          <w:p>
            <w:pPr>
              <w:spacing w:after="0"/>
              <w:rPr>
                <w:sz w:val="11"/>
                <w:szCs w:val="11"/>
                <w:color w:val="auto"/>
              </w:rPr>
            </w:pPr>
          </w:p>
        </w:tc>
        <w:tc>
          <w:tcPr>
            <w:tcW w:w="1540" w:type="dxa"/>
            <w:vAlign w:val="bottom"/>
            <w:gridSpan w:val="3"/>
          </w:tcPr>
          <w:p>
            <w:pPr>
              <w:jc w:val="center"/>
              <w:ind w:right="100"/>
              <w:spacing w:after="0" w:line="129" w:lineRule="exact"/>
              <w:rPr>
                <w:sz w:val="20"/>
                <w:szCs w:val="20"/>
                <w:color w:val="auto"/>
              </w:rPr>
            </w:pPr>
            <w:r>
              <w:rPr>
                <w:rFonts w:ascii="Arial" w:cs="Arial" w:eastAsia="Arial" w:hAnsi="Arial"/>
                <w:sz w:val="14"/>
                <w:szCs w:val="14"/>
                <w:b w:val="1"/>
                <w:bCs w:val="1"/>
                <w:color w:val="auto"/>
                <w:w w:val="92"/>
              </w:rPr>
              <w:t>Incentive Distribution</w:t>
            </w:r>
          </w:p>
        </w:tc>
        <w:tc>
          <w:tcPr>
            <w:tcW w:w="340" w:type="dxa"/>
            <w:vAlign w:val="bottom"/>
          </w:tcPr>
          <w:p>
            <w:pPr>
              <w:spacing w:after="0"/>
              <w:rPr>
                <w:sz w:val="11"/>
                <w:szCs w:val="11"/>
                <w:color w:val="auto"/>
              </w:rPr>
            </w:pPr>
          </w:p>
        </w:tc>
        <w:tc>
          <w:tcPr>
            <w:tcW w:w="110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8"/>
        </w:trPr>
        <w:tc>
          <w:tcPr>
            <w:tcW w:w="42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59"/>
              <w:spacing w:after="0"/>
              <w:rPr>
                <w:sz w:val="20"/>
                <w:szCs w:val="20"/>
                <w:color w:val="auto"/>
              </w:rPr>
            </w:pPr>
            <w:r>
              <w:rPr>
                <w:rFonts w:ascii="Arial" w:cs="Arial" w:eastAsia="Arial" w:hAnsi="Arial"/>
                <w:sz w:val="14"/>
                <w:szCs w:val="14"/>
                <w:b w:val="1"/>
                <w:bCs w:val="1"/>
                <w:color w:val="auto"/>
                <w:w w:val="90"/>
              </w:rPr>
              <w:t>Common Units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Rights</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the Partnership:</w:t>
            </w:r>
          </w:p>
        </w:tc>
        <w:tc>
          <w:tcPr>
            <w:tcW w:w="2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tcPr>
          <w:p>
            <w:pPr>
              <w:ind w:left="340"/>
              <w:spacing w:after="0"/>
              <w:rPr>
                <w:sz w:val="20"/>
                <w:szCs w:val="20"/>
                <w:color w:val="auto"/>
              </w:rPr>
            </w:pPr>
            <w:r>
              <w:rPr>
                <w:rFonts w:ascii="Arial" w:cs="Arial" w:eastAsia="Arial" w:hAnsi="Arial"/>
                <w:sz w:val="18"/>
                <w:szCs w:val="18"/>
                <w:color w:val="auto"/>
              </w:rPr>
              <w:t>Distribution</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66,388</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66,388</w:t>
            </w:r>
          </w:p>
        </w:tc>
        <w:tc>
          <w:tcPr>
            <w:tcW w:w="0" w:type="dxa"/>
            <w:vAlign w:val="bottom"/>
          </w:tcPr>
          <w:p>
            <w:pPr>
              <w:spacing w:after="0"/>
              <w:rPr>
                <w:sz w:val="1"/>
                <w:szCs w:val="1"/>
                <w:color w:val="auto"/>
              </w:rPr>
            </w:pPr>
          </w:p>
        </w:tc>
      </w:tr>
      <w:tr>
        <w:trPr>
          <w:trHeight w:val="224"/>
        </w:trPr>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income in excess of distribution</w:t>
            </w:r>
          </w:p>
        </w:tc>
        <w:tc>
          <w:tcPr>
            <w:tcW w:w="24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16,159</w:t>
            </w:r>
          </w:p>
        </w:tc>
        <w:tc>
          <w:tcPr>
            <w:tcW w:w="0" w:type="dxa"/>
            <w:vAlign w:val="bottom"/>
          </w:tcPr>
          <w:p>
            <w:pPr>
              <w:spacing w:after="0"/>
              <w:rPr>
                <w:sz w:val="1"/>
                <w:szCs w:val="1"/>
                <w:color w:val="auto"/>
              </w:rPr>
            </w:pPr>
          </w:p>
        </w:tc>
      </w:tr>
      <w:tr>
        <w:trPr>
          <w:trHeight w:val="217"/>
        </w:trPr>
        <w:tc>
          <w:tcPr>
            <w:tcW w:w="4280" w:type="dxa"/>
            <w:vAlign w:val="bottom"/>
          </w:tcPr>
          <w:p>
            <w:pPr>
              <w:ind w:left="660"/>
              <w:spacing w:after="0"/>
              <w:rPr>
                <w:sz w:val="20"/>
                <w:szCs w:val="20"/>
                <w:color w:val="auto"/>
              </w:rPr>
            </w:pPr>
            <w:r>
              <w:rPr>
                <w:rFonts w:ascii="Arial" w:cs="Arial" w:eastAsia="Arial" w:hAnsi="Arial"/>
                <w:sz w:val="18"/>
                <w:szCs w:val="18"/>
                <w:color w:val="auto"/>
              </w:rPr>
              <w:t>Net income</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82,547</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82,547</w:t>
            </w: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28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Weighted average units outstanding:</w:t>
            </w:r>
          </w:p>
        </w:tc>
        <w:tc>
          <w:tcPr>
            <w:tcW w:w="2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80" w:type="dxa"/>
            <w:vAlign w:val="bottom"/>
          </w:tcPr>
          <w:p>
            <w:pPr>
              <w:ind w:left="340"/>
              <w:spacing w:after="0"/>
              <w:rPr>
                <w:sz w:val="20"/>
                <w:szCs w:val="20"/>
                <w:color w:val="auto"/>
              </w:rPr>
            </w:pPr>
            <w:r>
              <w:rPr>
                <w:rFonts w:ascii="Arial" w:cs="Arial" w:eastAsia="Arial" w:hAnsi="Arial"/>
                <w:sz w:val="18"/>
                <w:szCs w:val="18"/>
                <w:color w:val="auto"/>
              </w:rPr>
              <w:t>Basic and diluted</w:t>
            </w:r>
          </w:p>
        </w:tc>
        <w:tc>
          <w:tcPr>
            <w:tcW w:w="2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35,206,333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35,206,333</w:t>
            </w: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28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Net income per limited partner unit:</w:t>
            </w:r>
          </w:p>
        </w:tc>
        <w:tc>
          <w:tcPr>
            <w:tcW w:w="2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80" w:type="dxa"/>
            <w:vAlign w:val="bottom"/>
          </w:tcPr>
          <w:p>
            <w:pPr>
              <w:ind w:left="340"/>
              <w:spacing w:after="0"/>
              <w:rPr>
                <w:sz w:val="20"/>
                <w:szCs w:val="20"/>
                <w:color w:val="auto"/>
              </w:rPr>
            </w:pPr>
            <w:r>
              <w:rPr>
                <w:rFonts w:ascii="Arial" w:cs="Arial" w:eastAsia="Arial" w:hAnsi="Arial"/>
                <w:sz w:val="18"/>
                <w:szCs w:val="18"/>
                <w:color w:val="auto"/>
              </w:rPr>
              <w:t>Basic and diluted</w:t>
            </w:r>
          </w:p>
        </w:tc>
        <w:tc>
          <w:tcPr>
            <w:tcW w:w="24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980" w:type="dxa"/>
            <w:vAlign w:val="bottom"/>
            <w:gridSpan w:val="5"/>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5"/>
        </w:trPr>
        <w:tc>
          <w:tcPr>
            <w:tcW w:w="42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60" w:type="dxa"/>
            <w:vAlign w:val="bottom"/>
            <w:gridSpan w:val="6"/>
          </w:tcPr>
          <w:p>
            <w:pPr>
              <w:jc w:val="center"/>
              <w:ind w:left="859"/>
              <w:spacing w:after="0"/>
              <w:rPr>
                <w:sz w:val="20"/>
                <w:szCs w:val="20"/>
                <w:color w:val="auto"/>
              </w:rPr>
            </w:pPr>
            <w:r>
              <w:rPr>
                <w:rFonts w:ascii="Arial" w:cs="Arial" w:eastAsia="Arial" w:hAnsi="Arial"/>
                <w:sz w:val="14"/>
                <w:szCs w:val="14"/>
                <w:b w:val="1"/>
                <w:bCs w:val="1"/>
                <w:color w:val="auto"/>
                <w:w w:val="90"/>
              </w:rPr>
              <w:t>Year Ended December 31, 2020</w:t>
            </w: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428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3"/>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428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280" w:type="dxa"/>
            <w:vAlign w:val="bottom"/>
          </w:tcPr>
          <w:p>
            <w:pPr>
              <w:jc w:val="center"/>
              <w:ind w:right="59"/>
              <w:spacing w:after="0" w:line="125" w:lineRule="exact"/>
              <w:rPr>
                <w:sz w:val="20"/>
                <w:szCs w:val="20"/>
                <w:color w:val="auto"/>
              </w:rPr>
            </w:pPr>
            <w:r>
              <w:rPr>
                <w:rFonts w:ascii="Arial" w:cs="Arial" w:eastAsia="Arial" w:hAnsi="Arial"/>
                <w:sz w:val="14"/>
                <w:szCs w:val="14"/>
                <w:b w:val="1"/>
                <w:bCs w:val="1"/>
                <w:color w:val="auto"/>
                <w:w w:val="93"/>
              </w:rPr>
              <w:t>Limited Partners'</w:t>
            </w:r>
          </w:p>
        </w:tc>
        <w:tc>
          <w:tcPr>
            <w:tcW w:w="100" w:type="dxa"/>
            <w:vAlign w:val="bottom"/>
          </w:tcPr>
          <w:p>
            <w:pPr>
              <w:spacing w:after="0"/>
              <w:rPr>
                <w:sz w:val="10"/>
                <w:szCs w:val="10"/>
                <w:color w:val="auto"/>
              </w:rPr>
            </w:pPr>
          </w:p>
        </w:tc>
        <w:tc>
          <w:tcPr>
            <w:tcW w:w="1540" w:type="dxa"/>
            <w:vAlign w:val="bottom"/>
            <w:gridSpan w:val="3"/>
          </w:tcPr>
          <w:p>
            <w:pPr>
              <w:jc w:val="center"/>
              <w:ind w:right="100"/>
              <w:spacing w:after="0" w:line="125" w:lineRule="exact"/>
              <w:rPr>
                <w:sz w:val="20"/>
                <w:szCs w:val="20"/>
                <w:color w:val="auto"/>
              </w:rPr>
            </w:pPr>
            <w:r>
              <w:rPr>
                <w:rFonts w:ascii="Arial" w:cs="Arial" w:eastAsia="Arial" w:hAnsi="Arial"/>
                <w:sz w:val="14"/>
                <w:szCs w:val="14"/>
                <w:b w:val="1"/>
                <w:bCs w:val="1"/>
                <w:color w:val="auto"/>
                <w:w w:val="92"/>
              </w:rPr>
              <w:t>Incentive Distribution</w:t>
            </w:r>
          </w:p>
        </w:tc>
        <w:tc>
          <w:tcPr>
            <w:tcW w:w="340" w:type="dxa"/>
            <w:vAlign w:val="bottom"/>
          </w:tcPr>
          <w:p>
            <w:pPr>
              <w:spacing w:after="0"/>
              <w:rPr>
                <w:sz w:val="10"/>
                <w:szCs w:val="10"/>
                <w:color w:val="auto"/>
              </w:rPr>
            </w:pPr>
          </w:p>
        </w:tc>
        <w:tc>
          <w:tcPr>
            <w:tcW w:w="110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1"/>
        </w:trPr>
        <w:tc>
          <w:tcPr>
            <w:tcW w:w="42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59"/>
              <w:spacing w:after="0"/>
              <w:rPr>
                <w:sz w:val="20"/>
                <w:szCs w:val="20"/>
                <w:color w:val="auto"/>
              </w:rPr>
            </w:pPr>
            <w:r>
              <w:rPr>
                <w:rFonts w:ascii="Arial" w:cs="Arial" w:eastAsia="Arial" w:hAnsi="Arial"/>
                <w:sz w:val="14"/>
                <w:szCs w:val="14"/>
                <w:b w:val="1"/>
                <w:bCs w:val="1"/>
                <w:color w:val="auto"/>
                <w:w w:val="90"/>
              </w:rPr>
              <w:t>Common Units</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Rights</w:t>
            </w:r>
          </w:p>
        </w:tc>
        <w:tc>
          <w:tcPr>
            <w:tcW w:w="3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2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the Partnership:</w:t>
            </w:r>
          </w:p>
        </w:tc>
        <w:tc>
          <w:tcPr>
            <w:tcW w:w="24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80" w:type="dxa"/>
            <w:vAlign w:val="bottom"/>
          </w:tcPr>
          <w:p>
            <w:pPr>
              <w:ind w:left="340"/>
              <w:spacing w:after="0"/>
              <w:rPr>
                <w:sz w:val="20"/>
                <w:szCs w:val="20"/>
                <w:color w:val="auto"/>
              </w:rPr>
            </w:pPr>
            <w:r>
              <w:rPr>
                <w:rFonts w:ascii="Arial" w:cs="Arial" w:eastAsia="Arial" w:hAnsi="Arial"/>
                <w:sz w:val="18"/>
                <w:szCs w:val="18"/>
                <w:color w:val="auto"/>
              </w:rPr>
              <w:t>Distribution</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66,365</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66,365</w:t>
            </w:r>
          </w:p>
        </w:tc>
        <w:tc>
          <w:tcPr>
            <w:tcW w:w="0" w:type="dxa"/>
            <w:vAlign w:val="bottom"/>
          </w:tcPr>
          <w:p>
            <w:pPr>
              <w:spacing w:after="0"/>
              <w:rPr>
                <w:sz w:val="1"/>
                <w:szCs w:val="1"/>
                <w:color w:val="auto"/>
              </w:rPr>
            </w:pPr>
          </w:p>
        </w:tc>
      </w:tr>
      <w:tr>
        <w:trPr>
          <w:trHeight w:val="224"/>
        </w:trPr>
        <w:tc>
          <w:tcPr>
            <w:tcW w:w="4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Distribution in excess of net income</w:t>
            </w:r>
          </w:p>
        </w:tc>
        <w:tc>
          <w:tcPr>
            <w:tcW w:w="24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17"/>
        </w:trPr>
        <w:tc>
          <w:tcPr>
            <w:tcW w:w="4280" w:type="dxa"/>
            <w:vAlign w:val="bottom"/>
          </w:tcPr>
          <w:p>
            <w:pPr>
              <w:ind w:left="660"/>
              <w:spacing w:after="0"/>
              <w:rPr>
                <w:sz w:val="20"/>
                <w:szCs w:val="20"/>
                <w:color w:val="auto"/>
              </w:rPr>
            </w:pPr>
            <w:r>
              <w:rPr>
                <w:rFonts w:ascii="Arial" w:cs="Arial" w:eastAsia="Arial" w:hAnsi="Arial"/>
                <w:sz w:val="18"/>
                <w:szCs w:val="18"/>
                <w:color w:val="auto"/>
              </w:rPr>
              <w:t>Net income</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66,167</w:t>
            </w:r>
          </w:p>
        </w:tc>
        <w:tc>
          <w:tcPr>
            <w:tcW w:w="42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66,167</w:t>
            </w: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28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Weighted average units outstanding:</w:t>
            </w:r>
          </w:p>
        </w:tc>
        <w:tc>
          <w:tcPr>
            <w:tcW w:w="2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80" w:type="dxa"/>
            <w:vAlign w:val="bottom"/>
          </w:tcPr>
          <w:p>
            <w:pPr>
              <w:ind w:left="340"/>
              <w:spacing w:after="0"/>
              <w:rPr>
                <w:sz w:val="20"/>
                <w:szCs w:val="20"/>
                <w:color w:val="auto"/>
              </w:rPr>
            </w:pPr>
            <w:r>
              <w:rPr>
                <w:rFonts w:ascii="Arial" w:cs="Arial" w:eastAsia="Arial" w:hAnsi="Arial"/>
                <w:sz w:val="18"/>
                <w:szCs w:val="18"/>
                <w:color w:val="auto"/>
              </w:rPr>
              <w:t>Basic and diluted</w:t>
            </w:r>
          </w:p>
        </w:tc>
        <w:tc>
          <w:tcPr>
            <w:tcW w:w="24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35,195,271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35,195,271</w:t>
            </w:r>
          </w:p>
        </w:tc>
        <w:tc>
          <w:tcPr>
            <w:tcW w:w="0" w:type="dxa"/>
            <w:vAlign w:val="bottom"/>
          </w:tcPr>
          <w:p>
            <w:pPr>
              <w:spacing w:after="0"/>
              <w:rPr>
                <w:sz w:val="1"/>
                <w:szCs w:val="1"/>
                <w:color w:val="auto"/>
              </w:rPr>
            </w:pPr>
          </w:p>
        </w:tc>
      </w:tr>
      <w:tr>
        <w:trPr>
          <w:trHeight w:val="20"/>
        </w:trPr>
        <w:tc>
          <w:tcPr>
            <w:tcW w:w="4280" w:type="dxa"/>
            <w:vAlign w:val="bottom"/>
            <w:tcBorders>
              <w:bottom w:val="single" w:sz="8" w:color="CCEEFF"/>
            </w:tcBorders>
          </w:tcPr>
          <w:p>
            <w:pPr>
              <w:spacing w:after="0" w:line="20" w:lineRule="exact"/>
              <w:rPr>
                <w:sz w:val="1"/>
                <w:szCs w:val="1"/>
                <w:color w:val="auto"/>
              </w:rPr>
            </w:pPr>
          </w:p>
        </w:tc>
        <w:tc>
          <w:tcPr>
            <w:tcW w:w="24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11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4280" w:type="dxa"/>
            <w:vAlign w:val="bottom"/>
            <w:shd w:val="clear" w:color="auto" w:fill="CCEEFF"/>
          </w:tcPr>
          <w:p>
            <w:pPr>
              <w:ind w:left="20"/>
              <w:spacing w:after="0" w:line="190" w:lineRule="exact"/>
              <w:rPr>
                <w:sz w:val="20"/>
                <w:szCs w:val="20"/>
                <w:color w:val="auto"/>
              </w:rPr>
            </w:pPr>
            <w:r>
              <w:rPr>
                <w:rFonts w:ascii="Arial" w:cs="Arial" w:eastAsia="Arial" w:hAnsi="Arial"/>
                <w:sz w:val="18"/>
                <w:szCs w:val="18"/>
                <w:color w:val="auto"/>
              </w:rPr>
              <w:t>Net income per limited partner unit:</w:t>
            </w:r>
          </w:p>
        </w:tc>
        <w:tc>
          <w:tcPr>
            <w:tcW w:w="24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4280" w:type="dxa"/>
            <w:vAlign w:val="bottom"/>
          </w:tcPr>
          <w:p>
            <w:pPr>
              <w:ind w:left="340"/>
              <w:spacing w:after="0"/>
              <w:rPr>
                <w:sz w:val="20"/>
                <w:szCs w:val="20"/>
                <w:color w:val="auto"/>
              </w:rPr>
            </w:pPr>
            <w:r>
              <w:rPr>
                <w:rFonts w:ascii="Arial" w:cs="Arial" w:eastAsia="Arial" w:hAnsi="Arial"/>
                <w:sz w:val="18"/>
                <w:szCs w:val="18"/>
                <w:color w:val="auto"/>
              </w:rPr>
              <w:t>Basic and diluted</w:t>
            </w:r>
          </w:p>
        </w:tc>
        <w:tc>
          <w:tcPr>
            <w:tcW w:w="2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2440" w:type="dxa"/>
            <w:vAlign w:val="bottom"/>
            <w:vMerge w:val="restart"/>
          </w:tcPr>
          <w:p>
            <w:pPr>
              <w:jc w:val="right"/>
              <w:ind w:right="912"/>
              <w:spacing w:after="0"/>
              <w:rPr>
                <w:sz w:val="20"/>
                <w:szCs w:val="20"/>
                <w:color w:val="auto"/>
              </w:rPr>
            </w:pPr>
            <w:r>
              <w:rPr>
                <w:rFonts w:ascii="Arial" w:cs="Arial" w:eastAsia="Arial" w:hAnsi="Arial"/>
                <w:sz w:val="18"/>
                <w:szCs w:val="18"/>
                <w:color w:val="auto"/>
              </w:rPr>
              <w:t>62</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0"/>
        </w:trPr>
        <w:tc>
          <w:tcPr>
            <w:tcW w:w="4280" w:type="dxa"/>
            <w:vAlign w:val="bottom"/>
          </w:tcPr>
          <w:p>
            <w:pPr>
              <w:spacing w:after="0"/>
              <w:rPr>
                <w:sz w:val="24"/>
                <w:szCs w:val="24"/>
                <w:color w:val="auto"/>
              </w:rPr>
            </w:pPr>
          </w:p>
        </w:tc>
        <w:tc>
          <w:tcPr>
            <w:tcW w:w="244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4280" w:type="dxa"/>
            <w:vAlign w:val="bottom"/>
            <w:tcBorders>
              <w:bottom w:val="single" w:sz="8" w:color="9A9A9A"/>
            </w:tcBorders>
          </w:tcPr>
          <w:p>
            <w:pPr>
              <w:spacing w:after="0"/>
              <w:rPr>
                <w:sz w:val="9"/>
                <w:szCs w:val="9"/>
                <w:color w:val="auto"/>
              </w:rPr>
            </w:pPr>
          </w:p>
        </w:tc>
        <w:tc>
          <w:tcPr>
            <w:tcW w:w="24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1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p>
      <w:pPr>
        <w:spacing w:after="0"/>
        <w:rPr>
          <w:sz w:val="20"/>
          <w:szCs w:val="20"/>
          <w:color w:val="auto"/>
        </w:rPr>
      </w:pPr>
      <w:r>
        <w:rPr>
          <w:rFonts w:ascii="Arial" w:cs="Arial" w:eastAsia="Arial" w:hAnsi="Arial"/>
          <w:sz w:val="14"/>
          <w:szCs w:val="14"/>
          <w:u w:val="single" w:color="auto"/>
          <w:color w:val="0000FF"/>
        </w:rPr>
        <w:t>Table of Contents</w:t>
      </w:r>
    </w:p>
    <w:p>
      <w:pPr>
        <w:spacing w:after="0" w:line="1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PARTNERS LP</w:t>
      </w:r>
    </w:p>
    <w:p>
      <w:pPr>
        <w:spacing w:after="0" w:line="75"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331" w:lineRule="exact"/>
        <w:rPr>
          <w:sz w:val="20"/>
          <w:szCs w:val="20"/>
          <w:color w:val="auto"/>
        </w:rPr>
      </w:pPr>
    </w:p>
    <w:p>
      <w:pPr>
        <w:ind w:right="260" w:firstLine="395"/>
        <w:spacing w:after="0" w:line="250" w:lineRule="auto"/>
        <w:rPr>
          <w:sz w:val="20"/>
          <w:szCs w:val="20"/>
          <w:color w:val="auto"/>
        </w:rPr>
      </w:pPr>
      <w:r>
        <w:rPr>
          <w:rFonts w:ascii="Arial" w:cs="Arial" w:eastAsia="Arial" w:hAnsi="Arial"/>
          <w:sz w:val="18"/>
          <w:szCs w:val="18"/>
          <w:color w:val="auto"/>
        </w:rPr>
        <w:t>The amended Partnership Agreement provides that the Partnership will distribute cash that is deemed to be operating surplus each quarter to all the unitholders, pro rata, until each unit has received a distribution of $1.2938. If cash distributions to the Partnership's unitholders exceed $1.2938 per common unit in any quarter, the Partnership's unitholders and Westlake, as the holder of the Partnership's incentive distribution rights, will receive distributions according to the following percentage allocations: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7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20" w:type="dxa"/>
            <w:vAlign w:val="bottom"/>
            <w:gridSpan w:val="3"/>
          </w:tcPr>
          <w:p>
            <w:pPr>
              <w:jc w:val="right"/>
              <w:ind w:right="157"/>
              <w:spacing w:after="0"/>
              <w:rPr>
                <w:sz w:val="20"/>
                <w:szCs w:val="20"/>
                <w:color w:val="auto"/>
              </w:rPr>
            </w:pPr>
            <w:r>
              <w:rPr>
                <w:rFonts w:ascii="Arial" w:cs="Arial" w:eastAsia="Arial" w:hAnsi="Arial"/>
                <w:sz w:val="14"/>
                <w:szCs w:val="14"/>
                <w:b w:val="1"/>
                <w:bCs w:val="1"/>
                <w:color w:val="auto"/>
                <w:w w:val="99"/>
              </w:rPr>
              <w:t>Marginal Percentage Interest in Distributions</w:t>
            </w:r>
          </w:p>
        </w:tc>
        <w:tc>
          <w:tcPr>
            <w:tcW w:w="0" w:type="dxa"/>
            <w:vAlign w:val="bottom"/>
          </w:tcPr>
          <w:p>
            <w:pPr>
              <w:spacing w:after="0"/>
              <w:rPr>
                <w:sz w:val="1"/>
                <w:szCs w:val="1"/>
                <w:color w:val="auto"/>
              </w:rPr>
            </w:pPr>
          </w:p>
        </w:tc>
      </w:tr>
      <w:tr>
        <w:trPr>
          <w:trHeight w:val="24"/>
        </w:trPr>
        <w:tc>
          <w:tcPr>
            <w:tcW w:w="7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Total Quarterly Distribution Per Unit</w:t>
            </w:r>
          </w:p>
        </w:tc>
        <w:tc>
          <w:tcPr>
            <w:tcW w:w="100" w:type="dxa"/>
            <w:vAlign w:val="bottom"/>
            <w:vMerge w:val="restart"/>
          </w:tcPr>
          <w:p>
            <w:pPr>
              <w:spacing w:after="0"/>
              <w:rPr>
                <w:sz w:val="2"/>
                <w:szCs w:val="2"/>
                <w:color w:val="auto"/>
              </w:rPr>
            </w:pPr>
          </w:p>
        </w:tc>
        <w:tc>
          <w:tcPr>
            <w:tcW w:w="1680" w:type="dxa"/>
            <w:vAlign w:val="bottom"/>
            <w:tcBorders>
              <w:bottom w:val="single" w:sz="8" w:color="auto"/>
            </w:tcBorders>
            <w:gridSpan w:val="2"/>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792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5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Unitholders</w:t>
            </w:r>
          </w:p>
        </w:tc>
        <w:tc>
          <w:tcPr>
            <w:tcW w:w="12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IDR Holders</w:t>
            </w:r>
          </w:p>
        </w:tc>
        <w:tc>
          <w:tcPr>
            <w:tcW w:w="0" w:type="dxa"/>
            <w:vAlign w:val="bottom"/>
          </w:tcPr>
          <w:p>
            <w:pPr>
              <w:spacing w:after="0"/>
              <w:rPr>
                <w:sz w:val="1"/>
                <w:szCs w:val="1"/>
                <w:color w:val="auto"/>
              </w:rPr>
            </w:pPr>
          </w:p>
        </w:tc>
      </w:tr>
      <w:tr>
        <w:trPr>
          <w:trHeight w:val="224"/>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Above $1.2938 up to $1.4063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85.0 %</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15.0 %</w:t>
            </w:r>
          </w:p>
        </w:tc>
        <w:tc>
          <w:tcPr>
            <w:tcW w:w="0" w:type="dxa"/>
            <w:vAlign w:val="bottom"/>
          </w:tcPr>
          <w:p>
            <w:pPr>
              <w:spacing w:after="0"/>
              <w:rPr>
                <w:sz w:val="1"/>
                <w:szCs w:val="1"/>
                <w:color w:val="auto"/>
              </w:rPr>
            </w:pPr>
          </w:p>
        </w:tc>
      </w:tr>
      <w:tr>
        <w:trPr>
          <w:trHeight w:val="223"/>
        </w:trPr>
        <w:tc>
          <w:tcPr>
            <w:tcW w:w="8020" w:type="dxa"/>
            <w:vAlign w:val="bottom"/>
            <w:gridSpan w:val="2"/>
          </w:tcPr>
          <w:p>
            <w:pPr>
              <w:ind w:left="20"/>
              <w:spacing w:after="0"/>
              <w:rPr>
                <w:sz w:val="20"/>
                <w:szCs w:val="20"/>
                <w:color w:val="auto"/>
              </w:rPr>
            </w:pPr>
            <w:r>
              <w:rPr>
                <w:rFonts w:ascii="Arial" w:cs="Arial" w:eastAsia="Arial" w:hAnsi="Arial"/>
                <w:sz w:val="18"/>
                <w:szCs w:val="18"/>
                <w:color w:val="auto"/>
              </w:rPr>
              <w:t>Above $1.4063 up to $1.6875</w:t>
            </w:r>
          </w:p>
        </w:tc>
        <w:tc>
          <w:tcPr>
            <w:tcW w:w="1560" w:type="dxa"/>
            <w:vAlign w:val="bottom"/>
          </w:tcPr>
          <w:p>
            <w:pPr>
              <w:jc w:val="right"/>
              <w:spacing w:after="0"/>
              <w:rPr>
                <w:sz w:val="20"/>
                <w:szCs w:val="20"/>
                <w:color w:val="auto"/>
              </w:rPr>
            </w:pPr>
            <w:r>
              <w:rPr>
                <w:rFonts w:ascii="Arial" w:cs="Arial" w:eastAsia="Arial" w:hAnsi="Arial"/>
                <w:sz w:val="18"/>
                <w:szCs w:val="18"/>
                <w:color w:val="auto"/>
              </w:rPr>
              <w:t>75.0 %</w:t>
            </w:r>
          </w:p>
        </w:tc>
        <w:tc>
          <w:tcPr>
            <w:tcW w:w="1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25.0 %</w:t>
            </w:r>
          </w:p>
        </w:tc>
        <w:tc>
          <w:tcPr>
            <w:tcW w:w="0" w:type="dxa"/>
            <w:vAlign w:val="bottom"/>
          </w:tcPr>
          <w:p>
            <w:pPr>
              <w:spacing w:after="0"/>
              <w:rPr>
                <w:sz w:val="1"/>
                <w:szCs w:val="1"/>
                <w:color w:val="auto"/>
              </w:rPr>
            </w:pPr>
          </w:p>
        </w:tc>
      </w:tr>
      <w:tr>
        <w:trPr>
          <w:trHeight w:val="224"/>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Above $1.6875</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50.0 %</w:t>
            </w:r>
          </w:p>
        </w:tc>
        <w:tc>
          <w:tcPr>
            <w:tcW w:w="1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50.0 %</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right="240" w:firstLine="395"/>
        <w:spacing w:after="0" w:line="362" w:lineRule="auto"/>
        <w:rPr>
          <w:sz w:val="20"/>
          <w:szCs w:val="20"/>
          <w:color w:val="auto"/>
        </w:rPr>
      </w:pPr>
      <w:r>
        <w:rPr>
          <w:rFonts w:ascii="Arial" w:cs="Arial" w:eastAsia="Arial" w:hAnsi="Arial"/>
          <w:sz w:val="15"/>
          <w:szCs w:val="15"/>
          <w:color w:val="auto"/>
        </w:rPr>
        <w:t>The Partnership's distribution for each quarter in the year ended December 31, 2022 did not exceed the $1.2938 per unit threshold, and, as a result, no distribution was made with respect to the Partnership's incentive distribution rights to Westlake, as the holder of the Partnership' incentive distribution rights.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Distribution Per Common Unit</w:t>
      </w:r>
    </w:p>
    <w:p>
      <w:pPr>
        <w:spacing w:after="0" w:line="16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Distributions per common unit for the years ended December 31, 2022, 2021 and 2020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7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Year Ended December 31,</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4"/>
        </w:trPr>
        <w:tc>
          <w:tcPr>
            <w:tcW w:w="672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2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r>
      <w:tr>
        <w:trPr>
          <w:trHeight w:val="244"/>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Distributions per common unit</w:t>
            </w:r>
          </w:p>
        </w:tc>
        <w:tc>
          <w:tcPr>
            <w:tcW w:w="880" w:type="dxa"/>
            <w:vAlign w:val="bottom"/>
            <w:shd w:val="clear" w:color="auto" w:fill="CCEEFF"/>
          </w:tcPr>
          <w:p>
            <w:pPr>
              <w:jc w:val="right"/>
              <w:ind w:right="681"/>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1.8856</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1.8856</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Partners' Equity</w:t>
      </w:r>
    </w:p>
    <w:p>
      <w:pPr>
        <w:spacing w:after="0" w:line="102" w:lineRule="exact"/>
        <w:rPr>
          <w:sz w:val="20"/>
          <w:szCs w:val="20"/>
          <w:color w:val="auto"/>
        </w:rPr>
      </w:pPr>
    </w:p>
    <w:p>
      <w:pPr>
        <w:ind w:right="20" w:firstLine="395"/>
        <w:spacing w:after="0" w:line="287" w:lineRule="auto"/>
        <w:rPr>
          <w:sz w:val="20"/>
          <w:szCs w:val="20"/>
          <w:color w:val="auto"/>
        </w:rPr>
      </w:pPr>
      <w:r>
        <w:rPr>
          <w:rFonts w:ascii="Arial" w:cs="Arial" w:eastAsia="Arial" w:hAnsi="Arial"/>
          <w:sz w:val="16"/>
          <w:szCs w:val="16"/>
          <w:color w:val="auto"/>
        </w:rPr>
        <w:t>On October 4, 2018, the Partnership and Westlake Chemical Partners GP LLC, the general partner of the Partnership, entered into an Equity Distribution Agreement with UBS Securities LLC, Barclays Capital Inc., Citigroup Global Markets Inc., Deutsche Bank Securities Inc., RBC Capital Markets, LLC, Merrill Lynch, Pierce, Fenner &amp; Smith Incorporated and Wells Fargo Securities, LLC to offer and sell the Partnership's common units, from time to time, up to an aggregate offering amount of $50,000. The Equity Distribution Agreement was amended on February 28, 2020 to reference a new shelf registration for utilization under this agreement that expired on February 28, 2023. To date, no common units have been issued under this program.</w:t>
      </w:r>
    </w:p>
    <w:p>
      <w:pPr>
        <w:spacing w:after="0" w:line="111" w:lineRule="exact"/>
        <w:rPr>
          <w:sz w:val="20"/>
          <w:szCs w:val="20"/>
          <w:color w:val="auto"/>
        </w:rPr>
      </w:pPr>
    </w:p>
    <w:p>
      <w:pPr>
        <w:ind w:right="20" w:firstLine="395"/>
        <w:spacing w:after="0" w:line="252" w:lineRule="auto"/>
        <w:rPr>
          <w:sz w:val="20"/>
          <w:szCs w:val="20"/>
          <w:color w:val="auto"/>
        </w:rPr>
      </w:pPr>
      <w:r>
        <w:rPr>
          <w:rFonts w:ascii="Arial" w:cs="Arial" w:eastAsia="Arial" w:hAnsi="Arial"/>
          <w:sz w:val="18"/>
          <w:szCs w:val="18"/>
          <w:color w:val="auto"/>
        </w:rPr>
        <w:t>On March 29, 2019, the Partnership completed the issuance and sale of 2,940,818 common units at a price of $21.40 per unit through a private placement. TTWF LP, Westlake's principal stockholder and a related party, acquired 1,401,869 common units out of 2,940,818 common units issued in the private placement.</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Partnership and OpCo regularly enter into related party transactions with Westlake. See below for a description of transactions with related parties.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to Related Parties</w:t>
      </w:r>
    </w:p>
    <w:p>
      <w:pPr>
        <w:spacing w:after="0" w:line="83" w:lineRule="exact"/>
        <w:rPr>
          <w:sz w:val="20"/>
          <w:szCs w:val="20"/>
          <w:color w:val="auto"/>
        </w:rPr>
      </w:pPr>
    </w:p>
    <w:p>
      <w:pPr>
        <w:ind w:right="40" w:firstLine="395"/>
        <w:spacing w:after="0" w:line="261" w:lineRule="auto"/>
        <w:rPr>
          <w:sz w:val="20"/>
          <w:szCs w:val="20"/>
          <w:color w:val="auto"/>
        </w:rPr>
      </w:pPr>
      <w:r>
        <w:rPr>
          <w:rFonts w:ascii="Arial" w:cs="Arial" w:eastAsia="Arial" w:hAnsi="Arial"/>
          <w:sz w:val="18"/>
          <w:szCs w:val="18"/>
          <w:color w:val="auto"/>
        </w:rPr>
        <w:t>OpCo sells ethylene to Westlake under the Ethylene Sales Agreement. Additionally, the Partnership and OpCo from time to time provide other services or products for which it charges Westlake a fee.</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Sales to related parties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350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Year Ended December 31,</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3500" w:type="dxa"/>
            <w:vAlign w:val="bottom"/>
          </w:tcPr>
          <w:p>
            <w:pPr>
              <w:spacing w:after="0"/>
              <w:rPr>
                <w:sz w:val="2"/>
                <w:szCs w:val="2"/>
                <w:color w:val="auto"/>
              </w:rPr>
            </w:pPr>
          </w:p>
        </w:tc>
        <w:tc>
          <w:tcPr>
            <w:tcW w:w="32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3500" w:type="dxa"/>
            <w:vAlign w:val="bottom"/>
            <w:tcBorders>
              <w:bottom w:val="single" w:sz="8" w:color="CCEEFF"/>
            </w:tcBorders>
          </w:tcPr>
          <w:p>
            <w:pPr>
              <w:spacing w:after="0"/>
              <w:rPr>
                <w:sz w:val="15"/>
                <w:szCs w:val="15"/>
                <w:color w:val="auto"/>
              </w:rPr>
            </w:pPr>
          </w:p>
        </w:tc>
        <w:tc>
          <w:tcPr>
            <w:tcW w:w="32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244"/>
        </w:trPr>
        <w:tc>
          <w:tcPr>
            <w:tcW w:w="35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sales—Westlake</w:t>
            </w:r>
          </w:p>
        </w:tc>
        <w:tc>
          <w:tcPr>
            <w:tcW w:w="35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1,342,910</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1,026,586</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888,245</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bottom w:val="single" w:sz="8" w:color="CCEEFF"/>
            </w:tcBorders>
            <w:vMerge w:val="restart"/>
          </w:tcPr>
          <w:p>
            <w:pPr>
              <w:jc w:val="right"/>
              <w:ind w:right="912"/>
              <w:spacing w:after="0"/>
              <w:rPr>
                <w:sz w:val="20"/>
                <w:szCs w:val="20"/>
                <w:color w:val="auto"/>
              </w:rPr>
            </w:pPr>
            <w:r>
              <w:rPr>
                <w:rFonts w:ascii="Arial" w:cs="Arial" w:eastAsia="Arial" w:hAnsi="Arial"/>
                <w:sz w:val="18"/>
                <w:szCs w:val="18"/>
                <w:color w:val="auto"/>
              </w:rPr>
              <w:t>63</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4"/>
        </w:trPr>
        <w:tc>
          <w:tcPr>
            <w:tcW w:w="350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3500" w:type="dxa"/>
            <w:vAlign w:val="bottom"/>
            <w:tcBorders>
              <w:bottom w:val="single" w:sz="8" w:color="9A9A9A"/>
            </w:tcBorders>
          </w:tcPr>
          <w:p>
            <w:pPr>
              <w:spacing w:after="0"/>
              <w:rPr>
                <w:sz w:val="9"/>
                <w:szCs w:val="9"/>
                <w:color w:val="auto"/>
              </w:rPr>
            </w:pPr>
          </w:p>
        </w:tc>
        <w:tc>
          <w:tcPr>
            <w:tcW w:w="32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spacing w:after="0"/>
        <w:rPr>
          <w:sz w:val="20"/>
          <w:szCs w:val="20"/>
          <w:color w:val="auto"/>
        </w:rPr>
      </w:pPr>
      <w:r>
        <w:rPr>
          <w:rFonts w:ascii="Arial" w:cs="Arial" w:eastAsia="Arial" w:hAnsi="Arial"/>
          <w:sz w:val="14"/>
          <w:szCs w:val="14"/>
          <w:u w:val="single" w:color="auto"/>
          <w:color w:val="0000FF"/>
        </w:rPr>
        <w:t>Table of Contents</w:t>
      </w:r>
    </w:p>
    <w:p>
      <w:pPr>
        <w:spacing w:after="0" w:line="1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PARTNERS LP</w:t>
      </w:r>
    </w:p>
    <w:p>
      <w:pPr>
        <w:spacing w:after="0" w:line="75"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331" w:lineRule="exact"/>
        <w:rPr>
          <w:sz w:val="20"/>
          <w:szCs w:val="20"/>
          <w:color w:val="auto"/>
        </w:rPr>
      </w:pPr>
    </w:p>
    <w:p>
      <w:pPr>
        <w:jc w:val="both"/>
        <w:ind w:right="240" w:firstLine="395"/>
        <w:spacing w:after="0" w:line="316" w:lineRule="auto"/>
        <w:rPr>
          <w:sz w:val="20"/>
          <w:szCs w:val="20"/>
          <w:color w:val="auto"/>
        </w:rPr>
      </w:pPr>
      <w:r>
        <w:rPr>
          <w:rFonts w:ascii="Arial" w:cs="Arial" w:eastAsia="Arial" w:hAnsi="Arial"/>
          <w:sz w:val="15"/>
          <w:szCs w:val="15"/>
          <w:color w:val="auto"/>
        </w:rPr>
        <w:t>Based on OpCo's 2022 production, the Partnership recognized buyer deficiency fees of $23,835 during the year ended December 31, 2022. The buyer deficiency fee is measured periodically based upon the lower of the actual production deficiency at period end or the estimated annual production deficiency based upon OpCo's annual anticipated production. These periodic estimates are updated at the end of the year based on actual annual production. The buyer deficiency fees are classified as a component of net sales—Westlake. The buyer deficiency fee was received by the Partnership in January 2023.</w:t>
      </w:r>
    </w:p>
    <w:p>
      <w:pPr>
        <w:spacing w:after="0" w:line="92" w:lineRule="exact"/>
        <w:rPr>
          <w:sz w:val="20"/>
          <w:szCs w:val="20"/>
          <w:color w:val="auto"/>
        </w:rPr>
      </w:pPr>
    </w:p>
    <w:p>
      <w:pPr>
        <w:ind w:right="60" w:firstLine="395"/>
        <w:spacing w:after="0" w:line="304" w:lineRule="auto"/>
        <w:rPr>
          <w:sz w:val="20"/>
          <w:szCs w:val="20"/>
          <w:color w:val="auto"/>
        </w:rPr>
      </w:pPr>
      <w:r>
        <w:rPr>
          <w:rFonts w:ascii="Arial" w:cs="Arial" w:eastAsia="Arial" w:hAnsi="Arial"/>
          <w:sz w:val="15"/>
          <w:szCs w:val="15"/>
          <w:color w:val="auto"/>
        </w:rPr>
        <w:t>OpCo declared force majeure events in 2021 related to the flash fire at the Petro 2 facility, OpCo's Petro 1 facility outage, and due to the severe winter storm. As a result of these force majeure events in 2021, the Partnership recognized revenue for a buyer deficiency fee and Shortfall in 2021 of $51,395 and of $58,906, respectively. The buyer deficiency fee is measured periodically based upon the lower of the actual production deficiency at period end or the estimated annual production deficiency based upon OpCo's annual anticipated production. These periodic estimates are updated at the end of the year based on actual annual production. The buyer deficiency fees and Shortfall are classified as a component of net sales—Westlake. The buyer deficiency fee recognized in 2021 was received by the Partnership in January 2022 and out of the total Shortfall of $58,906 recognized in 2021, $51,713 was received by the Partnership in 2022, $5,010 was received in January 2023 and the remaining amount will be collected in 2023 pursuant to the terms of the Ethylene Sales Agreement.</w:t>
      </w:r>
    </w:p>
    <w:p>
      <w:pPr>
        <w:spacing w:after="0" w:line="102" w:lineRule="exact"/>
        <w:rPr>
          <w:sz w:val="20"/>
          <w:szCs w:val="20"/>
          <w:color w:val="auto"/>
        </w:rPr>
      </w:pPr>
    </w:p>
    <w:p>
      <w:pPr>
        <w:ind w:firstLine="395"/>
        <w:spacing w:after="0" w:line="299" w:lineRule="auto"/>
        <w:rPr>
          <w:sz w:val="20"/>
          <w:szCs w:val="20"/>
          <w:color w:val="auto"/>
        </w:rPr>
      </w:pPr>
      <w:r>
        <w:rPr>
          <w:rFonts w:ascii="Arial" w:cs="Arial" w:eastAsia="Arial" w:hAnsi="Arial"/>
          <w:sz w:val="16"/>
          <w:szCs w:val="16"/>
          <w:color w:val="auto"/>
        </w:rPr>
        <w:t>During 2020, the Lake Charles Petro 1 and Petro 2 facilities were impacted by Hurricanes Laura and Delta, which resulted in force majeure events under the Ethylene Sales Agreement. As a result of the force majeure events, the Partnership recognized a buyer deficiency fee of $69,555 as a component of net sales —Westlake in 2020. Payment for the buyer deficiency fee was received by the Partnership in January 2021.</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 from Related Parties</w:t>
      </w:r>
    </w:p>
    <w:p>
      <w:pPr>
        <w:spacing w:after="0" w:line="83" w:lineRule="exact"/>
        <w:rPr>
          <w:sz w:val="20"/>
          <w:szCs w:val="20"/>
          <w:color w:val="auto"/>
        </w:rPr>
      </w:pPr>
    </w:p>
    <w:p>
      <w:pPr>
        <w:ind w:right="700" w:firstLine="395"/>
        <w:spacing w:after="0" w:line="324" w:lineRule="auto"/>
        <w:rPr>
          <w:sz w:val="20"/>
          <w:szCs w:val="20"/>
          <w:color w:val="auto"/>
        </w:rPr>
      </w:pPr>
      <w:r>
        <w:rPr>
          <w:rFonts w:ascii="Arial" w:cs="Arial" w:eastAsia="Arial" w:hAnsi="Arial"/>
          <w:sz w:val="16"/>
          <w:szCs w:val="16"/>
          <w:color w:val="auto"/>
        </w:rPr>
        <w:t>Charges for goods and services purchased by the Partnership and OpCo from Westlake and included in cost of sales relate primarily to feedstock purchased under the Feedstock Supply Agreement and services provided under the Services and Secondment Agreement.</w:t>
      </w:r>
    </w:p>
    <w:p>
      <w:pPr>
        <w:spacing w:after="0" w:line="8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Charges from related parties in cost of sales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40" w:type="dxa"/>
            <w:vAlign w:val="bottom"/>
            <w:gridSpan w:val="4"/>
          </w:tcPr>
          <w:p>
            <w:pPr>
              <w:ind w:left="40"/>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4"/>
        </w:trPr>
        <w:tc>
          <w:tcPr>
            <w:tcW w:w="6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r>
      <w:tr>
        <w:trPr>
          <w:trHeight w:val="224"/>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Feedstock purchased from Westlake and included in cost of sales</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764,123</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404,359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255,910</w:t>
            </w:r>
          </w:p>
        </w:tc>
      </w:tr>
      <w:tr>
        <w:trPr>
          <w:trHeight w:val="223"/>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charges from Westlake and included in cost of sales</w:t>
            </w:r>
          </w:p>
        </w:tc>
        <w:tc>
          <w:tcPr>
            <w:tcW w:w="3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172,761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130,541</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103,273</w:t>
            </w:r>
          </w:p>
        </w:tc>
      </w:tr>
      <w:tr>
        <w:trPr>
          <w:trHeight w:val="23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936,884</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534,900</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359,183</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from Related Parties Included in Selling, General and Administrative Expenses</w:t>
      </w:r>
    </w:p>
    <w:p>
      <w:pPr>
        <w:spacing w:after="0" w:line="96" w:lineRule="exact"/>
        <w:rPr>
          <w:sz w:val="20"/>
          <w:szCs w:val="20"/>
          <w:color w:val="auto"/>
        </w:rPr>
      </w:pPr>
    </w:p>
    <w:p>
      <w:pPr>
        <w:ind w:right="80" w:firstLine="395"/>
        <w:spacing w:after="0" w:line="252" w:lineRule="auto"/>
        <w:rPr>
          <w:sz w:val="20"/>
          <w:szCs w:val="20"/>
          <w:color w:val="auto"/>
        </w:rPr>
      </w:pPr>
      <w:r>
        <w:rPr>
          <w:rFonts w:ascii="Arial" w:cs="Arial" w:eastAsia="Arial" w:hAnsi="Arial"/>
          <w:sz w:val="18"/>
          <w:szCs w:val="18"/>
          <w:color w:val="auto"/>
        </w:rPr>
        <w:t>Charges for services purchased by the Partnership from Westlake and included in selling, general and administrative expenses primarily relate to services Westlake performs on behalf of the Partnership under the Omnibus Agreement, including the Partnership's finance, legal, information technology, human resources, communication, ethics and compliance and other administrative functions.</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Charges from related parties included within selling, general and administrative expenses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Year Ended December 31,</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
        </w:trPr>
        <w:tc>
          <w:tcPr>
            <w:tcW w:w="5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5200" w:type="dxa"/>
            <w:vAlign w:val="bottom"/>
            <w:tcBorders>
              <w:bottom w:val="single" w:sz="8" w:color="CCEEFF"/>
            </w:tcBorders>
          </w:tcPr>
          <w:p>
            <w:pPr>
              <w:spacing w:after="0"/>
              <w:rPr>
                <w:sz w:val="15"/>
                <w:szCs w:val="15"/>
                <w:color w:val="auto"/>
              </w:rPr>
            </w:pPr>
          </w:p>
        </w:tc>
        <w:tc>
          <w:tcPr>
            <w:tcW w:w="15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c>
          <w:tcPr>
            <w:tcW w:w="0" w:type="dxa"/>
            <w:vAlign w:val="bottom"/>
          </w:tcPr>
          <w:p>
            <w:pPr>
              <w:spacing w:after="0"/>
              <w:rPr>
                <w:sz w:val="1"/>
                <w:szCs w:val="1"/>
                <w:color w:val="auto"/>
              </w:rPr>
            </w:pPr>
          </w:p>
        </w:tc>
      </w:tr>
      <w:tr>
        <w:trPr>
          <w:trHeight w:val="159"/>
        </w:trPr>
        <w:tc>
          <w:tcPr>
            <w:tcW w:w="5200" w:type="dxa"/>
            <w:vAlign w:val="bottom"/>
            <w:shd w:val="clear" w:color="auto" w:fill="CCEEFF"/>
          </w:tcPr>
          <w:p>
            <w:pPr>
              <w:ind w:left="20"/>
              <w:spacing w:after="0" w:line="158" w:lineRule="exact"/>
              <w:rPr>
                <w:sz w:val="20"/>
                <w:szCs w:val="20"/>
                <w:color w:val="auto"/>
              </w:rPr>
            </w:pPr>
            <w:r>
              <w:rPr>
                <w:rFonts w:ascii="Arial" w:cs="Arial" w:eastAsia="Arial" w:hAnsi="Arial"/>
                <w:sz w:val="18"/>
                <w:szCs w:val="18"/>
                <w:color w:val="auto"/>
                <w:w w:val="93"/>
              </w:rPr>
              <w:t>Services received from Westlake and included in selling, general and</w:t>
            </w:r>
          </w:p>
        </w:tc>
        <w:tc>
          <w:tcPr>
            <w:tcW w:w="188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26,621</w:t>
            </w:r>
          </w:p>
        </w:tc>
        <w:tc>
          <w:tcPr>
            <w:tcW w:w="4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28,577</w:t>
            </w:r>
          </w:p>
        </w:tc>
        <w:tc>
          <w:tcPr>
            <w:tcW w:w="100" w:type="dxa"/>
            <w:vAlign w:val="bottom"/>
            <w:shd w:val="clear" w:color="auto" w:fill="CCEEFF"/>
          </w:tcPr>
          <w:p>
            <w:pPr>
              <w:spacing w:after="0"/>
              <w:rPr>
                <w:sz w:val="13"/>
                <w:szCs w:val="13"/>
                <w:color w:val="auto"/>
              </w:rPr>
            </w:pPr>
          </w:p>
        </w:tc>
        <w:tc>
          <w:tcPr>
            <w:tcW w:w="340" w:type="dxa"/>
            <w:vAlign w:val="bottom"/>
            <w:vMerge w:val="restart"/>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22,162</w:t>
            </w:r>
          </w:p>
        </w:tc>
        <w:tc>
          <w:tcPr>
            <w:tcW w:w="0" w:type="dxa"/>
            <w:vAlign w:val="bottom"/>
          </w:tcPr>
          <w:p>
            <w:pPr>
              <w:spacing w:after="0"/>
              <w:rPr>
                <w:sz w:val="1"/>
                <w:szCs w:val="1"/>
                <w:color w:val="auto"/>
              </w:rPr>
            </w:pPr>
          </w:p>
        </w:tc>
      </w:tr>
      <w:tr>
        <w:trPr>
          <w:trHeight w:val="230"/>
        </w:trPr>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administrative expenses</w:t>
            </w:r>
          </w:p>
        </w:tc>
        <w:tc>
          <w:tcPr>
            <w:tcW w:w="1880" w:type="dxa"/>
            <w:vAlign w:val="bottom"/>
            <w:gridSpan w:val="2"/>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440" w:type="dxa"/>
            <w:vAlign w:val="bottom"/>
            <w:gridSpan w:val="2"/>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CCEEFF"/>
            </w:tcBorders>
            <w:vMerge w:val="restart"/>
          </w:tcPr>
          <w:p>
            <w:pPr>
              <w:jc w:val="right"/>
              <w:ind w:right="912"/>
              <w:spacing w:after="0"/>
              <w:rPr>
                <w:sz w:val="20"/>
                <w:szCs w:val="20"/>
                <w:color w:val="auto"/>
              </w:rPr>
            </w:pPr>
            <w:r>
              <w:rPr>
                <w:rFonts w:ascii="Arial" w:cs="Arial" w:eastAsia="Arial" w:hAnsi="Arial"/>
                <w:sz w:val="18"/>
                <w:szCs w:val="18"/>
                <w:color w:val="auto"/>
              </w:rPr>
              <w:t>64</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0"/>
        </w:trPr>
        <w:tc>
          <w:tcPr>
            <w:tcW w:w="5200" w:type="dxa"/>
            <w:vAlign w:val="bottom"/>
          </w:tcPr>
          <w:p>
            <w:pPr>
              <w:spacing w:after="0"/>
              <w:rPr>
                <w:sz w:val="24"/>
                <w:szCs w:val="24"/>
                <w:color w:val="auto"/>
              </w:rPr>
            </w:pPr>
          </w:p>
        </w:tc>
        <w:tc>
          <w:tcPr>
            <w:tcW w:w="152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2"/>
        </w:trPr>
        <w:tc>
          <w:tcPr>
            <w:tcW w:w="5200" w:type="dxa"/>
            <w:vAlign w:val="bottom"/>
            <w:tcBorders>
              <w:bottom w:val="single" w:sz="8" w:color="9A9A9A"/>
            </w:tcBorders>
          </w:tcPr>
          <w:p>
            <w:pPr>
              <w:spacing w:after="0"/>
              <w:rPr>
                <w:sz w:val="9"/>
                <w:szCs w:val="9"/>
                <w:color w:val="auto"/>
              </w:rPr>
            </w:pPr>
          </w:p>
        </w:tc>
        <w:tc>
          <w:tcPr>
            <w:tcW w:w="152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spacing w:after="0"/>
        <w:rPr>
          <w:sz w:val="20"/>
          <w:szCs w:val="20"/>
          <w:color w:val="auto"/>
        </w:rPr>
      </w:pPr>
      <w:r>
        <w:rPr>
          <w:rFonts w:ascii="Arial" w:cs="Arial" w:eastAsia="Arial" w:hAnsi="Arial"/>
          <w:sz w:val="14"/>
          <w:szCs w:val="14"/>
          <w:u w:val="single" w:color="auto"/>
          <w:color w:val="0000FF"/>
        </w:rPr>
        <w:t>Table of Contents</w:t>
      </w:r>
    </w:p>
    <w:p>
      <w:pPr>
        <w:spacing w:after="0" w:line="1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PARTNERS LP</w:t>
      </w:r>
    </w:p>
    <w:p>
      <w:pPr>
        <w:spacing w:after="0" w:line="75"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Goods and Services from Related Parties Capitalized as Assets</w:t>
      </w:r>
    </w:p>
    <w:p>
      <w:pPr>
        <w:spacing w:after="0" w:line="83" w:lineRule="exact"/>
        <w:rPr>
          <w:sz w:val="20"/>
          <w:szCs w:val="20"/>
          <w:color w:val="auto"/>
        </w:rPr>
      </w:pPr>
    </w:p>
    <w:p>
      <w:pPr>
        <w:ind w:right="80" w:firstLine="395"/>
        <w:spacing w:after="0" w:line="261" w:lineRule="auto"/>
        <w:rPr>
          <w:sz w:val="20"/>
          <w:szCs w:val="20"/>
          <w:color w:val="auto"/>
        </w:rPr>
      </w:pPr>
      <w:r>
        <w:rPr>
          <w:rFonts w:ascii="Arial" w:cs="Arial" w:eastAsia="Arial" w:hAnsi="Arial"/>
          <w:sz w:val="18"/>
          <w:szCs w:val="18"/>
          <w:color w:val="auto"/>
        </w:rPr>
        <w:t>Charges for goods and services purchased by the Partnership and OpCo from Westlake which were capitalized as assets relate primarily to the services of Westlake employees under the Services and Secondment Agreement.</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Charges from related parties for goods and services capitalized as assets were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Year Ended December 31,</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4"/>
        </w:trPr>
        <w:tc>
          <w:tcPr>
            <w:tcW w:w="67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01"/>
              <w:spacing w:after="0"/>
              <w:rPr>
                <w:sz w:val="20"/>
                <w:szCs w:val="20"/>
                <w:color w:val="auto"/>
              </w:rPr>
            </w:pPr>
            <w:r>
              <w:rPr>
                <w:rFonts w:ascii="Arial" w:cs="Arial" w:eastAsia="Arial" w:hAnsi="Arial"/>
                <w:sz w:val="14"/>
                <w:szCs w:val="14"/>
                <w:b w:val="1"/>
                <w:bCs w:val="1"/>
                <w:color w:val="auto"/>
              </w:rPr>
              <w:t>2020</w:t>
            </w:r>
          </w:p>
        </w:tc>
      </w:tr>
      <w:tr>
        <w:trPr>
          <w:trHeight w:val="244"/>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Goods and services purchased from Westlake and capitalized as assets</w:t>
            </w:r>
          </w:p>
        </w:tc>
        <w:tc>
          <w:tcPr>
            <w:tcW w:w="920" w:type="dxa"/>
            <w:vAlign w:val="bottom"/>
            <w:shd w:val="clear" w:color="auto" w:fill="CCEEFF"/>
          </w:tcPr>
          <w:p>
            <w:pPr>
              <w:jc w:val="right"/>
              <w:ind w:right="721"/>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2,852</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16,318</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Receivable under the Investment Management Agreement</w:t>
      </w:r>
    </w:p>
    <w:p>
      <w:pPr>
        <w:spacing w:after="0" w:line="96" w:lineRule="exact"/>
        <w:rPr>
          <w:sz w:val="20"/>
          <w:szCs w:val="20"/>
          <w:color w:val="auto"/>
        </w:rPr>
      </w:pPr>
    </w:p>
    <w:p>
      <w:pPr>
        <w:ind w:firstLine="395"/>
        <w:spacing w:after="0" w:line="284" w:lineRule="auto"/>
        <w:rPr>
          <w:sz w:val="20"/>
          <w:szCs w:val="20"/>
          <w:color w:val="auto"/>
        </w:rPr>
      </w:pPr>
      <w:r>
        <w:rPr>
          <w:rFonts w:ascii="Arial" w:cs="Arial" w:eastAsia="Arial" w:hAnsi="Arial"/>
          <w:sz w:val="16"/>
          <w:szCs w:val="16"/>
          <w:color w:val="auto"/>
        </w:rPr>
        <w:t>On August 1, 2017, the Partnership, OpCo and Westlake executed an investment management agreement (the "Investment Management Agreement") that authorized Westlake to invest the Partnership's and OpCo's excess cash with Westlake for durations of up to a maximum of nine months. Per the terms of the Investment Management Agreement, the Partnership earns a market return plus five basis points and Westlake provides daily availability of the invested cash to meet any liquidity needs of the Partnership or OpCo. Accrued interest of $940 and $71 was included in the receivable under the Investment Management Agreement balance at December 31, 2022 and 2021, respectively. Total interest earned related to the Investment Management Agreement was $1,875, $296 and $932 for the years ended December 31, 2022, 2021 and 2020, respectively.</w:t>
      </w:r>
    </w:p>
    <w:p>
      <w:pPr>
        <w:spacing w:after="0" w:line="115"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Partnership's receivable under the Investment Management Agreement was as follows:</w:t>
      </w:r>
    </w:p>
    <w:p>
      <w:pPr>
        <w:spacing w:after="0" w:line="125"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5250815</wp:posOffset>
            </wp:positionH>
            <wp:positionV relativeFrom="paragraph">
              <wp:posOffset>29210</wp:posOffset>
            </wp:positionV>
            <wp:extent cx="18884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spacing w:after="0" w:line="30" w:lineRule="exact"/>
        <w:rPr>
          <w:sz w:val="20"/>
          <w:szCs w:val="20"/>
          <w:color w:val="auto"/>
        </w:rPr>
      </w:pPr>
    </w:p>
    <w:p>
      <w:pPr>
        <w:ind w:left="8840"/>
        <w:spacing w:after="0"/>
        <w:tabs>
          <w:tab w:leader="none" w:pos="1036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35495" cy="16700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5495" cy="167005"/>
                    </a:xfrm>
                    <a:prstGeom prst="rect">
                      <a:avLst/>
                    </a:prstGeom>
                    <a:noFill/>
                  </pic:spPr>
                </pic:pic>
              </a:graphicData>
            </a:graphic>
          </wp:anchor>
        </w:drawing>
      </w:r>
    </w:p>
    <w:p>
      <w:pPr>
        <w:spacing w:after="0" w:line="40" w:lineRule="exact"/>
        <w:rPr>
          <w:sz w:val="20"/>
          <w:szCs w:val="20"/>
          <w:color w:val="auto"/>
        </w:rPr>
      </w:pPr>
    </w:p>
    <w:p>
      <w:pPr>
        <w:ind w:left="20"/>
        <w:spacing w:after="0"/>
        <w:tabs>
          <w:tab w:leader="none" w:pos="8260" w:val="left"/>
          <w:tab w:leader="none" w:pos="9140" w:val="left"/>
          <w:tab w:leader="none" w:pos="9800" w:val="left"/>
          <w:tab w:leader="none" w:pos="10580" w:val="left"/>
        </w:tabs>
        <w:rPr>
          <w:sz w:val="20"/>
          <w:szCs w:val="20"/>
          <w:color w:val="auto"/>
        </w:rPr>
      </w:pPr>
      <w:r>
        <w:rPr>
          <w:rFonts w:ascii="Arial" w:cs="Arial" w:eastAsia="Arial" w:hAnsi="Arial"/>
          <w:sz w:val="18"/>
          <w:szCs w:val="18"/>
          <w:color w:val="auto"/>
        </w:rPr>
        <w:t>Receivable under the Investment Management Agreement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64,996</w:t>
        <w:tab/>
        <w:t>$</w:t>
      </w:r>
      <w:r>
        <w:rPr>
          <w:sz w:val="20"/>
          <w:szCs w:val="20"/>
          <w:color w:val="auto"/>
        </w:rPr>
        <w:tab/>
      </w:r>
      <w:r>
        <w:rPr>
          <w:rFonts w:ascii="Arial" w:cs="Arial" w:eastAsia="Arial" w:hAnsi="Arial"/>
          <w:sz w:val="16"/>
          <w:szCs w:val="16"/>
          <w:color w:val="auto"/>
        </w:rPr>
        <w:t>106,243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5250815</wp:posOffset>
            </wp:positionH>
            <wp:positionV relativeFrom="paragraph">
              <wp:posOffset>34925</wp:posOffset>
            </wp:positionV>
            <wp:extent cx="18884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 from Related Parties</w:t>
      </w:r>
    </w:p>
    <w:p>
      <w:pPr>
        <w:spacing w:after="0" w:line="96" w:lineRule="exact"/>
        <w:rPr>
          <w:sz w:val="20"/>
          <w:szCs w:val="20"/>
          <w:color w:val="auto"/>
        </w:rPr>
      </w:pPr>
    </w:p>
    <w:p>
      <w:pPr>
        <w:ind w:firstLine="395"/>
        <w:spacing w:after="0" w:line="287" w:lineRule="auto"/>
        <w:rPr>
          <w:sz w:val="20"/>
          <w:szCs w:val="20"/>
          <w:color w:val="auto"/>
        </w:rPr>
      </w:pPr>
      <w:r>
        <w:rPr>
          <w:rFonts w:ascii="Arial" w:cs="Arial" w:eastAsia="Arial" w:hAnsi="Arial"/>
          <w:sz w:val="16"/>
          <w:szCs w:val="16"/>
          <w:color w:val="auto"/>
        </w:rPr>
        <w:t>The Partnership's accounts receivable from Westlake result primarily from ethylene sales to Westlake and any buyer deficiency fee and Shortfall recognized under the Ethylene Sales Agreement. As discussed above under "Sales to Related Parties", the buyer deficiency fee for the year ended December 31, 2022 was received by the Partnership in January 2023. Payment for the buyer deficiency fee recognized during 2021 was received by the Partnership in January 2022, and out of the total Shortfall recognized in 2021, $51,713 was received by the Partnership in 2022, $5,010 was received in January 2023 and the remaining amount will be collected in 2023 pursuant to the terms of the Ethylene Sales Agreement.</w:t>
      </w:r>
    </w:p>
    <w:p>
      <w:pPr>
        <w:spacing w:after="0" w:line="11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Partnership's accounts receivable from Westlake were as follows:</w:t>
      </w:r>
    </w:p>
    <w:p>
      <w:pPr>
        <w:spacing w:after="0" w:line="112"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5250815</wp:posOffset>
            </wp:positionH>
            <wp:positionV relativeFrom="paragraph">
              <wp:posOffset>29210</wp:posOffset>
            </wp:positionV>
            <wp:extent cx="18884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spacing w:after="0" w:line="30" w:lineRule="exact"/>
        <w:rPr>
          <w:sz w:val="20"/>
          <w:szCs w:val="20"/>
          <w:color w:val="auto"/>
        </w:rPr>
      </w:pPr>
    </w:p>
    <w:p>
      <w:pPr>
        <w:ind w:left="8840"/>
        <w:spacing w:after="0"/>
        <w:tabs>
          <w:tab w:leader="none" w:pos="1036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35495" cy="1670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35495" cy="167005"/>
                    </a:xfrm>
                    <a:prstGeom prst="rect">
                      <a:avLst/>
                    </a:prstGeom>
                    <a:noFill/>
                  </pic:spPr>
                </pic:pic>
              </a:graphicData>
            </a:graphic>
          </wp:anchor>
        </w:drawing>
      </w:r>
    </w:p>
    <w:p>
      <w:pPr>
        <w:spacing w:after="0" w:line="40" w:lineRule="exact"/>
        <w:rPr>
          <w:sz w:val="20"/>
          <w:szCs w:val="20"/>
          <w:color w:val="auto"/>
        </w:rPr>
      </w:pPr>
    </w:p>
    <w:p>
      <w:pPr>
        <w:ind w:left="20"/>
        <w:spacing w:after="0"/>
        <w:tabs>
          <w:tab w:leader="none" w:pos="8260" w:val="left"/>
          <w:tab w:leader="none" w:pos="9140" w:val="left"/>
          <w:tab w:leader="none" w:pos="9800" w:val="left"/>
          <w:tab w:leader="none" w:pos="10580" w:val="left"/>
        </w:tabs>
        <w:rPr>
          <w:sz w:val="20"/>
          <w:szCs w:val="20"/>
          <w:color w:val="auto"/>
        </w:rPr>
      </w:pPr>
      <w:r>
        <w:rPr>
          <w:rFonts w:ascii="Arial" w:cs="Arial" w:eastAsia="Arial" w:hAnsi="Arial"/>
          <w:sz w:val="18"/>
          <w:szCs w:val="18"/>
          <w:color w:val="auto"/>
        </w:rPr>
        <w:t>Accounts receivable—Westlake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90,965</w:t>
        <w:tab/>
        <w:t>$</w:t>
      </w:r>
      <w:r>
        <w:rPr>
          <w:sz w:val="20"/>
          <w:szCs w:val="20"/>
          <w:color w:val="auto"/>
        </w:rPr>
        <w:tab/>
      </w:r>
      <w:r>
        <w:rPr>
          <w:rFonts w:ascii="Arial" w:cs="Arial" w:eastAsia="Arial" w:hAnsi="Arial"/>
          <w:sz w:val="16"/>
          <w:szCs w:val="16"/>
          <w:color w:val="auto"/>
        </w:rPr>
        <w:t>142,791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5250815</wp:posOffset>
            </wp:positionH>
            <wp:positionV relativeFrom="paragraph">
              <wp:posOffset>34925</wp:posOffset>
            </wp:positionV>
            <wp:extent cx="18884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spacing w:after="0" w:line="3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Payable to Related Parties</w:t>
      </w:r>
    </w:p>
    <w:p>
      <w:pPr>
        <w:spacing w:after="0" w:line="83" w:lineRule="exact"/>
        <w:rPr>
          <w:sz w:val="20"/>
          <w:szCs w:val="20"/>
          <w:color w:val="auto"/>
        </w:rPr>
      </w:pPr>
    </w:p>
    <w:p>
      <w:pPr>
        <w:ind w:right="160" w:firstLine="395"/>
        <w:spacing w:after="0" w:line="324" w:lineRule="auto"/>
        <w:rPr>
          <w:sz w:val="20"/>
          <w:szCs w:val="20"/>
          <w:color w:val="auto"/>
        </w:rPr>
      </w:pPr>
      <w:r>
        <w:rPr>
          <w:rFonts w:ascii="Arial" w:cs="Arial" w:eastAsia="Arial" w:hAnsi="Arial"/>
          <w:sz w:val="16"/>
          <w:szCs w:val="16"/>
          <w:color w:val="auto"/>
        </w:rPr>
        <w:t>The Partnership's accounts payable to Westlake result primarily from feedstock purchases under the Feedstock Supply Agreement and services provided under the Services and Secondment Agreement and the Omnibus Agreement. The Partnership's accounts payable to Westlake were as follows:</w:t>
      </w:r>
    </w:p>
    <w:p>
      <w:pPr>
        <w:spacing w:after="0" w:line="46"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5250815</wp:posOffset>
            </wp:positionH>
            <wp:positionV relativeFrom="paragraph">
              <wp:posOffset>29210</wp:posOffset>
            </wp:positionV>
            <wp:extent cx="18884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spacing w:after="0" w:line="30" w:lineRule="exact"/>
        <w:rPr>
          <w:sz w:val="20"/>
          <w:szCs w:val="20"/>
          <w:color w:val="auto"/>
        </w:rPr>
      </w:pPr>
    </w:p>
    <w:p>
      <w:pPr>
        <w:ind w:left="8840"/>
        <w:spacing w:after="0"/>
        <w:tabs>
          <w:tab w:leader="none" w:pos="1036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35495" cy="16700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35495" cy="167005"/>
                    </a:xfrm>
                    <a:prstGeom prst="rect">
                      <a:avLst/>
                    </a:prstGeom>
                    <a:noFill/>
                  </pic:spPr>
                </pic:pic>
              </a:graphicData>
            </a:graphic>
          </wp:anchor>
        </w:drawing>
      </w:r>
    </w:p>
    <w:p>
      <w:pPr>
        <w:spacing w:after="0" w:line="40" w:lineRule="exact"/>
        <w:rPr>
          <w:sz w:val="20"/>
          <w:szCs w:val="20"/>
          <w:color w:val="auto"/>
        </w:rPr>
      </w:pPr>
    </w:p>
    <w:p>
      <w:pPr>
        <w:ind w:left="20"/>
        <w:spacing w:after="0"/>
        <w:tabs>
          <w:tab w:leader="none" w:pos="8260" w:val="left"/>
          <w:tab w:leader="none" w:pos="9140" w:val="left"/>
          <w:tab w:leader="none" w:pos="9800" w:val="left"/>
          <w:tab w:leader="none" w:pos="10680" w:val="left"/>
        </w:tabs>
        <w:rPr>
          <w:sz w:val="20"/>
          <w:szCs w:val="20"/>
          <w:color w:val="auto"/>
        </w:rPr>
      </w:pPr>
      <w:r>
        <w:rPr>
          <w:rFonts w:ascii="Arial" w:cs="Arial" w:eastAsia="Arial" w:hAnsi="Arial"/>
          <w:sz w:val="18"/>
          <w:szCs w:val="18"/>
          <w:color w:val="auto"/>
        </w:rPr>
        <w:t>Accounts payable—Westlake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34,087</w:t>
        <w:tab/>
        <w:t>$</w:t>
      </w:r>
      <w:r>
        <w:rPr>
          <w:sz w:val="20"/>
          <w:szCs w:val="20"/>
          <w:color w:val="auto"/>
        </w:rPr>
        <w:tab/>
      </w:r>
      <w:r>
        <w:rPr>
          <w:rFonts w:ascii="Arial" w:cs="Arial" w:eastAsia="Arial" w:hAnsi="Arial"/>
          <w:sz w:val="15"/>
          <w:szCs w:val="15"/>
          <w:color w:val="auto"/>
        </w:rPr>
        <w:t>10,796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5250815</wp:posOffset>
            </wp:positionH>
            <wp:positionV relativeFrom="paragraph">
              <wp:posOffset>34925</wp:posOffset>
            </wp:positionV>
            <wp:extent cx="18884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1" w:name="page72"/>
    <w:bookmarkEnd w:id="71"/>
    <w:p>
      <w:pPr>
        <w:spacing w:after="0"/>
        <w:rPr>
          <w:sz w:val="20"/>
          <w:szCs w:val="20"/>
          <w:color w:val="auto"/>
        </w:rPr>
      </w:pPr>
      <w:r>
        <w:rPr>
          <w:rFonts w:ascii="Arial" w:cs="Arial" w:eastAsia="Arial" w:hAnsi="Arial"/>
          <w:sz w:val="14"/>
          <w:szCs w:val="14"/>
          <w:u w:val="single" w:color="auto"/>
          <w:color w:val="0000FF"/>
        </w:rPr>
        <w:t>Table of Contents</w:t>
      </w:r>
    </w:p>
    <w:p>
      <w:pPr>
        <w:spacing w:after="0" w:line="1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PARTNERS LP</w:t>
      </w:r>
    </w:p>
    <w:p>
      <w:pPr>
        <w:spacing w:after="0" w:line="75"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Payable to Related Parties</w:t>
      </w:r>
    </w:p>
    <w:p>
      <w:pPr>
        <w:spacing w:after="0" w:line="8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Note 8 for a description of related party debt payable balances.</w:t>
      </w:r>
    </w:p>
    <w:p>
      <w:pPr>
        <w:spacing w:after="0" w:line="161" w:lineRule="exact"/>
        <w:rPr>
          <w:sz w:val="20"/>
          <w:szCs w:val="20"/>
          <w:color w:val="auto"/>
        </w:rPr>
      </w:pPr>
    </w:p>
    <w:p>
      <w:pPr>
        <w:ind w:right="160" w:firstLine="395"/>
        <w:spacing w:after="0" w:line="250" w:lineRule="auto"/>
        <w:rPr>
          <w:sz w:val="20"/>
          <w:szCs w:val="20"/>
          <w:color w:val="auto"/>
        </w:rPr>
      </w:pPr>
      <w:r>
        <w:rPr>
          <w:rFonts w:ascii="Arial" w:cs="Arial" w:eastAsia="Arial" w:hAnsi="Arial"/>
          <w:sz w:val="18"/>
          <w:szCs w:val="18"/>
          <w:color w:val="auto"/>
        </w:rPr>
        <w:t>Interest on related party debt payable balances, net of capitalized interest, for the years ended December 31, 2022, 2021 and 2020 was $13,407, $8,816 and $12,038, respectively, and is reflected as a component of interest expense—Westlake in the consolidated statements of operations. At December 31, 2022 and 2021, accrued interest on related party debt was $4,733 and $2,176, respectively, and is reflected as a component of accrued and other liabilities in the consolidated balance sheets.</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Debt payable to related parties was as follows:</w:t>
      </w:r>
    </w:p>
    <w:p>
      <w:pPr>
        <w:spacing w:after="0" w:line="125" w:lineRule="exact"/>
        <w:rPr>
          <w:sz w:val="20"/>
          <w:szCs w:val="20"/>
          <w:color w:val="auto"/>
        </w:rPr>
      </w:pPr>
    </w:p>
    <w:p>
      <w:pPr>
        <w:jc w:val="center"/>
        <w:ind w:left="82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5250815</wp:posOffset>
            </wp:positionH>
            <wp:positionV relativeFrom="paragraph">
              <wp:posOffset>29210</wp:posOffset>
            </wp:positionV>
            <wp:extent cx="18884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spacing w:after="0" w:line="30" w:lineRule="exact"/>
        <w:rPr>
          <w:sz w:val="20"/>
          <w:szCs w:val="20"/>
          <w:color w:val="auto"/>
        </w:rPr>
      </w:pPr>
    </w:p>
    <w:p>
      <w:pPr>
        <w:ind w:left="8840"/>
        <w:spacing w:after="0"/>
        <w:tabs>
          <w:tab w:leader="none" w:pos="1036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29210</wp:posOffset>
            </wp:positionV>
            <wp:extent cx="7135495" cy="16700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5495" cy="167005"/>
                    </a:xfrm>
                    <a:prstGeom prst="rect">
                      <a:avLst/>
                    </a:prstGeom>
                    <a:noFill/>
                  </pic:spPr>
                </pic:pic>
              </a:graphicData>
            </a:graphic>
          </wp:anchor>
        </w:drawing>
      </w:r>
    </w:p>
    <w:p>
      <w:pPr>
        <w:spacing w:after="0" w:line="40" w:lineRule="exact"/>
        <w:rPr>
          <w:sz w:val="20"/>
          <w:szCs w:val="20"/>
          <w:color w:val="auto"/>
        </w:rPr>
      </w:pPr>
    </w:p>
    <w:p>
      <w:pPr>
        <w:ind w:left="20"/>
        <w:spacing w:after="0"/>
        <w:tabs>
          <w:tab w:leader="none" w:pos="8260" w:val="left"/>
          <w:tab w:leader="none" w:pos="9040" w:val="left"/>
          <w:tab w:leader="none" w:pos="9800" w:val="left"/>
          <w:tab w:leader="none" w:pos="10580" w:val="left"/>
        </w:tabs>
        <w:rPr>
          <w:sz w:val="20"/>
          <w:szCs w:val="20"/>
          <w:color w:val="auto"/>
        </w:rPr>
      </w:pPr>
      <w:r>
        <w:rPr>
          <w:rFonts w:ascii="Arial" w:cs="Arial" w:eastAsia="Arial" w:hAnsi="Arial"/>
          <w:sz w:val="18"/>
          <w:szCs w:val="18"/>
          <w:color w:val="auto"/>
        </w:rPr>
        <w:t>Long-term debt payable to Westlake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399,674</w:t>
        <w:tab/>
        <w:t>$</w:t>
      </w:r>
      <w:r>
        <w:rPr>
          <w:sz w:val="20"/>
          <w:szCs w:val="20"/>
          <w:color w:val="auto"/>
        </w:rPr>
        <w:tab/>
      </w:r>
      <w:r>
        <w:rPr>
          <w:rFonts w:ascii="Arial" w:cs="Arial" w:eastAsia="Arial" w:hAnsi="Arial"/>
          <w:sz w:val="16"/>
          <w:szCs w:val="16"/>
          <w:color w:val="auto"/>
        </w:rPr>
        <w:t>399,674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5250815</wp:posOffset>
            </wp:positionH>
            <wp:positionV relativeFrom="paragraph">
              <wp:posOffset>34925</wp:posOffset>
            </wp:positionV>
            <wp:extent cx="18884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888490" cy="825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Leases</w:t>
      </w:r>
    </w:p>
    <w:p>
      <w:pPr>
        <w:spacing w:after="0" w:line="96" w:lineRule="exact"/>
        <w:rPr>
          <w:sz w:val="20"/>
          <w:szCs w:val="20"/>
          <w:color w:val="auto"/>
        </w:rPr>
      </w:pPr>
    </w:p>
    <w:p>
      <w:pPr>
        <w:ind w:right="120" w:firstLine="395"/>
        <w:spacing w:after="0" w:line="252" w:lineRule="auto"/>
        <w:rPr>
          <w:sz w:val="20"/>
          <w:szCs w:val="20"/>
          <w:color w:val="auto"/>
        </w:rPr>
      </w:pPr>
      <w:r>
        <w:rPr>
          <w:rFonts w:ascii="Arial" w:cs="Arial" w:eastAsia="Arial" w:hAnsi="Arial"/>
          <w:sz w:val="18"/>
          <w:szCs w:val="18"/>
          <w:color w:val="auto"/>
        </w:rPr>
        <w:t>OpCo is obligated to Westlake under various long-term and short-term noncancelable operating leases, primarily related to rail car leases and land. Operating lease rentals paid to Westlake for such leases were $2,624, $3,037 and $3,038 for the years ended December 31, 2022, 2021 and 2020, respectively, and are reflected in other charges from Westlake that are included in cost of sales.</w:t>
      </w:r>
    </w:p>
    <w:p>
      <w:pPr>
        <w:spacing w:after="0" w:line="138" w:lineRule="exact"/>
        <w:rPr>
          <w:sz w:val="20"/>
          <w:szCs w:val="20"/>
          <w:color w:val="auto"/>
        </w:rPr>
      </w:pPr>
    </w:p>
    <w:p>
      <w:pPr>
        <w:ind w:right="80" w:firstLine="395"/>
        <w:spacing w:after="0" w:line="261" w:lineRule="auto"/>
        <w:rPr>
          <w:sz w:val="20"/>
          <w:szCs w:val="20"/>
          <w:color w:val="auto"/>
        </w:rPr>
      </w:pPr>
      <w:r>
        <w:rPr>
          <w:rFonts w:ascii="Arial" w:cs="Arial" w:eastAsia="Arial" w:hAnsi="Arial"/>
          <w:sz w:val="18"/>
          <w:szCs w:val="18"/>
          <w:color w:val="auto"/>
        </w:rPr>
        <w:t>OpCo has two site lease agreements with Westlake, each of which has a term of 50 years. Pursuant to the site lease agreements, OpCo pays Westlake one dollar per site per year.</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Major Customer and Concentration of Credit Risk</w:t>
      </w:r>
    </w:p>
    <w:p>
      <w:pPr>
        <w:spacing w:after="0" w:line="83" w:lineRule="exact"/>
        <w:rPr>
          <w:sz w:val="20"/>
          <w:szCs w:val="20"/>
          <w:color w:val="auto"/>
        </w:rPr>
      </w:pPr>
    </w:p>
    <w:p>
      <w:pPr>
        <w:ind w:right="600" w:firstLine="395"/>
        <w:spacing w:after="0" w:line="261" w:lineRule="auto"/>
        <w:rPr>
          <w:sz w:val="20"/>
          <w:szCs w:val="20"/>
          <w:color w:val="auto"/>
        </w:rPr>
      </w:pPr>
      <w:r>
        <w:rPr>
          <w:rFonts w:ascii="Arial" w:cs="Arial" w:eastAsia="Arial" w:hAnsi="Arial"/>
          <w:sz w:val="18"/>
          <w:szCs w:val="18"/>
          <w:color w:val="auto"/>
        </w:rPr>
        <w:t>During the years ended December 31, 2022, 2021 and 2020, Westlake accounted for approximately 84.3%, 84.5% and 91.9%, respectively, of the Partnership's net sales.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w:t>
      </w:r>
    </w:p>
    <w:p>
      <w:pPr>
        <w:spacing w:after="0" w:line="96" w:lineRule="exact"/>
        <w:rPr>
          <w:sz w:val="20"/>
          <w:szCs w:val="20"/>
          <w:color w:val="auto"/>
        </w:rPr>
      </w:pPr>
    </w:p>
    <w:p>
      <w:pPr>
        <w:ind w:right="160" w:firstLine="395"/>
        <w:spacing w:after="0" w:line="261" w:lineRule="auto"/>
        <w:rPr>
          <w:sz w:val="20"/>
          <w:szCs w:val="20"/>
          <w:color w:val="auto"/>
        </w:rPr>
      </w:pPr>
      <w:r>
        <w:rPr>
          <w:rFonts w:ascii="Arial" w:cs="Arial" w:eastAsia="Arial" w:hAnsi="Arial"/>
          <w:sz w:val="18"/>
          <w:szCs w:val="18"/>
          <w:color w:val="auto"/>
        </w:rPr>
        <w:t>During the years ended December 31, 2022, 2021 and 2020, the Partnership reimbursed $243, $186 and $279, respectively, to Westlake for certain state tax payments.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96"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Note 10 above for an additional related party transaction.</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Unit-based Compensation</w:t>
      </w:r>
    </w:p>
    <w:p>
      <w:pPr>
        <w:spacing w:after="0" w:line="89" w:lineRule="exact"/>
        <w:rPr>
          <w:sz w:val="20"/>
          <w:szCs w:val="20"/>
          <w:color w:val="auto"/>
        </w:rPr>
      </w:pPr>
    </w:p>
    <w:p>
      <w:pPr>
        <w:ind w:firstLine="395"/>
        <w:spacing w:after="0" w:line="279" w:lineRule="auto"/>
        <w:rPr>
          <w:sz w:val="20"/>
          <w:szCs w:val="20"/>
          <w:color w:val="auto"/>
        </w:rPr>
      </w:pPr>
      <w:r>
        <w:rPr>
          <w:rFonts w:ascii="Arial" w:cs="Arial" w:eastAsia="Arial" w:hAnsi="Arial"/>
          <w:sz w:val="16"/>
          <w:szCs w:val="16"/>
          <w:color w:val="auto"/>
        </w:rPr>
        <w:t>The Westlake Chemical Partners LP Long-Term Incentive Plan (the "Plan") was adopted on July 15, 2014 and provides for grants of unit options, restricted units, phantom units, unit awards, distribution equivalent rights ("DERs") and other unit-based awards. The purpose of the Plan is to attract and retain the services of individuals who are essential for the growth and profitability of the Partnership and to encourage such individuals to devote their best efforts to advancing the business of the Partnership and its affiliates. Awards under the Plan are determined by the board of directors of the Partnership's general partner or a committee thereof (the "Committee"). Under the Plan, DERs may be granted, which represent a contingent right to receive an amount in cash, units, restricted units and/or phantom units, as determined by the Committee at its sole discretion, equal in value to the cash distributions made by the Partnership with respect to a common unit during the period such award is outstanding. The terms and conditions of each award are determined by the Committee. The maximum number of common units of the Partnership that may be delivered with respect to awards under the Plan is 1,270,000. The phantom units along with a corresponding number of DERs were granted to certain non-employee directors of the general partner of the Partnership during the years ended December 31, 2022, 2021 and 2020. These phantom units vest on the first anniversary of the grant date. There were no forfeitures under the Plan during 2022, 2021 and 2020. During the year 2020, the vesting of 4,638 phantom units was accelerated in connection with the retirement of one of the Partnership's non-employee directors. The total fair value of phantom units that vested during the year ended December 31, 2022 was $284.</w:t>
      </w: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2" w:name="page73"/>
    <w:bookmarkEnd w:id="72"/>
    <w:p>
      <w:pPr>
        <w:spacing w:after="0"/>
        <w:rPr>
          <w:sz w:val="20"/>
          <w:szCs w:val="20"/>
          <w:color w:val="auto"/>
        </w:rPr>
      </w:pPr>
      <w:r>
        <w:rPr>
          <w:rFonts w:ascii="Arial" w:cs="Arial" w:eastAsia="Arial" w:hAnsi="Arial"/>
          <w:sz w:val="14"/>
          <w:szCs w:val="14"/>
          <w:u w:val="single" w:color="auto"/>
          <w:color w:val="0000FF"/>
        </w:rPr>
        <w:t>Table of Contents</w:t>
      </w:r>
    </w:p>
    <w:p>
      <w:pPr>
        <w:spacing w:after="0" w:line="1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PARTNERS LP</w:t>
      </w:r>
    </w:p>
    <w:p>
      <w:pPr>
        <w:spacing w:after="0" w:line="75"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33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Non-vested phantom unit awards as of December 31, 2022 and 2021 and changes during the respective periods were as follows: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6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00" w:type="dxa"/>
            <w:vAlign w:val="bottom"/>
          </w:tcPr>
          <w:p>
            <w:pPr>
              <w:jc w:val="right"/>
              <w:ind w:right="336"/>
              <w:spacing w:after="0"/>
              <w:rPr>
                <w:sz w:val="20"/>
                <w:szCs w:val="20"/>
                <w:color w:val="auto"/>
              </w:rPr>
            </w:pPr>
            <w:r>
              <w:rPr>
                <w:rFonts w:ascii="Arial" w:cs="Arial" w:eastAsia="Arial" w:hAnsi="Arial"/>
                <w:sz w:val="14"/>
                <w:szCs w:val="14"/>
                <w:b w:val="1"/>
                <w:bCs w:val="1"/>
                <w:color w:val="auto"/>
              </w:rPr>
              <w:t>Weighted</w:t>
            </w:r>
          </w:p>
        </w:tc>
      </w:tr>
      <w:tr>
        <w:trPr>
          <w:trHeight w:val="188"/>
        </w:trPr>
        <w:tc>
          <w:tcPr>
            <w:tcW w:w="826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Units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6"/>
              <w:spacing w:after="0"/>
              <w:rPr>
                <w:sz w:val="20"/>
                <w:szCs w:val="20"/>
                <w:color w:val="auto"/>
              </w:rPr>
            </w:pPr>
            <w:r>
              <w:rPr>
                <w:rFonts w:ascii="Arial" w:cs="Arial" w:eastAsia="Arial" w:hAnsi="Arial"/>
                <w:sz w:val="14"/>
                <w:szCs w:val="14"/>
                <w:b w:val="1"/>
                <w:bCs w:val="1"/>
                <w:color w:val="auto"/>
                <w:w w:val="90"/>
              </w:rPr>
              <w:t>Average Fair Value</w:t>
            </w:r>
          </w:p>
        </w:tc>
      </w:tr>
      <w:tr>
        <w:trPr>
          <w:trHeight w:val="222"/>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Non-vested balance at December 31, 2020</w:t>
            </w:r>
          </w:p>
        </w:tc>
        <w:tc>
          <w:tcPr>
            <w:tcW w:w="1440" w:type="dxa"/>
            <w:vAlign w:val="bottom"/>
            <w:shd w:val="clear" w:color="auto" w:fill="CCEEFF"/>
          </w:tcPr>
          <w:p>
            <w:pPr>
              <w:jc w:val="center"/>
              <w:ind w:left="756"/>
              <w:spacing w:after="0"/>
              <w:rPr>
                <w:sz w:val="20"/>
                <w:szCs w:val="20"/>
                <w:color w:val="auto"/>
              </w:rPr>
            </w:pPr>
            <w:r>
              <w:rPr>
                <w:rFonts w:ascii="Arial" w:cs="Arial" w:eastAsia="Arial" w:hAnsi="Arial"/>
                <w:sz w:val="18"/>
                <w:szCs w:val="18"/>
                <w:color w:val="auto"/>
                <w:w w:val="87"/>
              </w:rPr>
              <w:t>20,439</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22.33</w:t>
            </w:r>
          </w:p>
        </w:tc>
      </w:tr>
      <w:tr>
        <w:trPr>
          <w:trHeight w:val="223"/>
        </w:trPr>
        <w:tc>
          <w:tcPr>
            <w:tcW w:w="8260" w:type="dxa"/>
            <w:vAlign w:val="bottom"/>
          </w:tcPr>
          <w:p>
            <w:pPr>
              <w:ind w:left="20"/>
              <w:spacing w:after="0"/>
              <w:rPr>
                <w:sz w:val="20"/>
                <w:szCs w:val="20"/>
                <w:color w:val="auto"/>
              </w:rPr>
            </w:pPr>
            <w:r>
              <w:rPr>
                <w:rFonts w:ascii="Arial" w:cs="Arial" w:eastAsia="Arial" w:hAnsi="Arial"/>
                <w:sz w:val="18"/>
                <w:szCs w:val="18"/>
                <w:color w:val="auto"/>
              </w:rPr>
              <w:t>Granted</w:t>
            </w:r>
          </w:p>
        </w:tc>
        <w:tc>
          <w:tcPr>
            <w:tcW w:w="1440" w:type="dxa"/>
            <w:vAlign w:val="bottom"/>
          </w:tcPr>
          <w:p>
            <w:pPr>
              <w:jc w:val="center"/>
              <w:ind w:left="756"/>
              <w:spacing w:after="0"/>
              <w:rPr>
                <w:sz w:val="20"/>
                <w:szCs w:val="20"/>
                <w:color w:val="auto"/>
              </w:rPr>
            </w:pPr>
            <w:r>
              <w:rPr>
                <w:rFonts w:ascii="Arial" w:cs="Arial" w:eastAsia="Arial" w:hAnsi="Arial"/>
                <w:sz w:val="18"/>
                <w:szCs w:val="18"/>
                <w:color w:val="auto"/>
                <w:w w:val="87"/>
              </w:rPr>
              <w:t>11,178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26.97</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440" w:type="dxa"/>
            <w:vAlign w:val="bottom"/>
            <w:tcBorders>
              <w:bottom w:val="single" w:sz="8" w:color="auto"/>
            </w:tcBorders>
            <w:shd w:val="clear" w:color="auto" w:fill="CCEEFF"/>
          </w:tcPr>
          <w:p>
            <w:pPr>
              <w:jc w:val="center"/>
              <w:ind w:left="716"/>
              <w:spacing w:after="0"/>
              <w:rPr>
                <w:sz w:val="20"/>
                <w:szCs w:val="20"/>
                <w:color w:val="auto"/>
              </w:rPr>
            </w:pPr>
            <w:r>
              <w:rPr>
                <w:rFonts w:ascii="Arial" w:cs="Arial" w:eastAsia="Arial" w:hAnsi="Arial"/>
                <w:sz w:val="18"/>
                <w:szCs w:val="18"/>
                <w:color w:val="auto"/>
                <w:w w:val="89"/>
              </w:rPr>
              <w:t>(20,439)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26.54</w:t>
            </w:r>
          </w:p>
        </w:tc>
      </w:tr>
      <w:tr>
        <w:trPr>
          <w:trHeight w:val="217"/>
        </w:trPr>
        <w:tc>
          <w:tcPr>
            <w:tcW w:w="8260" w:type="dxa"/>
            <w:vAlign w:val="bottom"/>
          </w:tcPr>
          <w:p>
            <w:pPr>
              <w:ind w:left="20"/>
              <w:spacing w:after="0"/>
              <w:rPr>
                <w:sz w:val="20"/>
                <w:szCs w:val="20"/>
                <w:color w:val="auto"/>
              </w:rPr>
            </w:pPr>
            <w:r>
              <w:rPr>
                <w:rFonts w:ascii="Arial" w:cs="Arial" w:eastAsia="Arial" w:hAnsi="Arial"/>
                <w:sz w:val="18"/>
                <w:szCs w:val="18"/>
                <w:color w:val="auto"/>
              </w:rPr>
              <w:t>Non-vested balance at December 31, 2021</w:t>
            </w:r>
          </w:p>
        </w:tc>
        <w:tc>
          <w:tcPr>
            <w:tcW w:w="1440" w:type="dxa"/>
            <w:vAlign w:val="bottom"/>
          </w:tcPr>
          <w:p>
            <w:pPr>
              <w:jc w:val="center"/>
              <w:ind w:left="756"/>
              <w:spacing w:after="0"/>
              <w:rPr>
                <w:sz w:val="20"/>
                <w:szCs w:val="20"/>
                <w:color w:val="auto"/>
              </w:rPr>
            </w:pPr>
            <w:r>
              <w:rPr>
                <w:rFonts w:ascii="Arial" w:cs="Arial" w:eastAsia="Arial" w:hAnsi="Arial"/>
                <w:sz w:val="18"/>
                <w:szCs w:val="18"/>
                <w:color w:val="auto"/>
                <w:w w:val="87"/>
              </w:rPr>
              <w:t>11,178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22.90</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Granted</w:t>
            </w:r>
          </w:p>
        </w:tc>
        <w:tc>
          <w:tcPr>
            <w:tcW w:w="1440" w:type="dxa"/>
            <w:vAlign w:val="bottom"/>
            <w:shd w:val="clear" w:color="auto" w:fill="CCEEFF"/>
          </w:tcPr>
          <w:p>
            <w:pPr>
              <w:jc w:val="center"/>
              <w:ind w:left="756"/>
              <w:spacing w:after="0"/>
              <w:rPr>
                <w:sz w:val="20"/>
                <w:szCs w:val="20"/>
                <w:color w:val="auto"/>
              </w:rPr>
            </w:pPr>
            <w:r>
              <w:rPr>
                <w:rFonts w:ascii="Arial" w:cs="Arial" w:eastAsia="Arial" w:hAnsi="Arial"/>
                <w:sz w:val="18"/>
                <w:szCs w:val="18"/>
                <w:color w:val="auto"/>
                <w:w w:val="87"/>
              </w:rPr>
              <w:t>12,531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25.30</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Vested</w:t>
            </w:r>
          </w:p>
        </w:tc>
        <w:tc>
          <w:tcPr>
            <w:tcW w:w="1440" w:type="dxa"/>
            <w:vAlign w:val="bottom"/>
            <w:tcBorders>
              <w:bottom w:val="single" w:sz="8" w:color="auto"/>
            </w:tcBorders>
          </w:tcPr>
          <w:p>
            <w:pPr>
              <w:jc w:val="center"/>
              <w:ind w:left="716"/>
              <w:spacing w:after="0"/>
              <w:rPr>
                <w:sz w:val="20"/>
                <w:szCs w:val="20"/>
                <w:color w:val="auto"/>
              </w:rPr>
            </w:pPr>
            <w:r>
              <w:rPr>
                <w:rFonts w:ascii="Arial" w:cs="Arial" w:eastAsia="Arial" w:hAnsi="Arial"/>
                <w:sz w:val="18"/>
                <w:szCs w:val="18"/>
                <w:color w:val="auto"/>
                <w:w w:val="89"/>
              </w:rPr>
              <w:t>(11,178)</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25.42</w:t>
            </w:r>
          </w:p>
        </w:tc>
      </w:tr>
      <w:tr>
        <w:trPr>
          <w:trHeight w:val="242"/>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balance at December 31, 2022</w:t>
            </w:r>
          </w:p>
        </w:tc>
        <w:tc>
          <w:tcPr>
            <w:tcW w:w="1440" w:type="dxa"/>
            <w:vAlign w:val="bottom"/>
            <w:tcBorders>
              <w:bottom w:val="single" w:sz="8" w:color="auto"/>
            </w:tcBorders>
            <w:shd w:val="clear" w:color="auto" w:fill="CCEEFF"/>
          </w:tcPr>
          <w:p>
            <w:pPr>
              <w:jc w:val="center"/>
              <w:ind w:left="756"/>
              <w:spacing w:after="0"/>
              <w:rPr>
                <w:sz w:val="20"/>
                <w:szCs w:val="20"/>
                <w:color w:val="auto"/>
              </w:rPr>
            </w:pPr>
            <w:r>
              <w:rPr>
                <w:rFonts w:ascii="Arial" w:cs="Arial" w:eastAsia="Arial" w:hAnsi="Arial"/>
                <w:sz w:val="18"/>
                <w:szCs w:val="18"/>
                <w:color w:val="auto"/>
                <w:w w:val="87"/>
              </w:rPr>
              <w:t>12,531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r>
    </w:tbl>
    <w:p>
      <w:pPr>
        <w:spacing w:after="0" w:line="238" w:lineRule="exact"/>
        <w:rPr>
          <w:sz w:val="20"/>
          <w:szCs w:val="20"/>
          <w:color w:val="auto"/>
        </w:rPr>
      </w:pPr>
    </w:p>
    <w:p>
      <w:pPr>
        <w:jc w:val="both"/>
        <w:ind w:right="80" w:firstLine="395"/>
        <w:spacing w:after="0" w:line="324" w:lineRule="auto"/>
        <w:rPr>
          <w:sz w:val="20"/>
          <w:szCs w:val="20"/>
          <w:color w:val="auto"/>
        </w:rPr>
      </w:pPr>
      <w:r>
        <w:rPr>
          <w:rFonts w:ascii="Arial" w:cs="Arial" w:eastAsia="Arial" w:hAnsi="Arial"/>
          <w:sz w:val="16"/>
          <w:szCs w:val="16"/>
          <w:color w:val="auto"/>
        </w:rPr>
        <w:t>Each phantom unit represents the right to receive, upon vesting, either a cash payment equal to the fair market value of one Partnership common unit or a Partnership common unit. Each DER has distribution rights only so long as the phantom units to which it relates to has not vested or been settled.</w:t>
      </w:r>
    </w:p>
    <w:p>
      <w:pPr>
        <w:spacing w:after="0" w:line="82" w:lineRule="exact"/>
        <w:rPr>
          <w:sz w:val="20"/>
          <w:szCs w:val="20"/>
          <w:color w:val="auto"/>
        </w:rPr>
      </w:pPr>
    </w:p>
    <w:p>
      <w:pPr>
        <w:ind w:right="40" w:firstLine="395"/>
        <w:spacing w:after="0" w:line="287" w:lineRule="auto"/>
        <w:rPr>
          <w:sz w:val="20"/>
          <w:szCs w:val="20"/>
          <w:color w:val="auto"/>
        </w:rPr>
      </w:pPr>
      <w:r>
        <w:rPr>
          <w:rFonts w:ascii="Arial" w:cs="Arial" w:eastAsia="Arial" w:hAnsi="Arial"/>
          <w:sz w:val="16"/>
          <w:szCs w:val="16"/>
          <w:color w:val="auto"/>
        </w:rPr>
        <w:t>The awards, which are classified as liability awards for financial accounting purposes, are re-measured at each reporting date until they vest. The total units available for grant at December 31, 2022 were 1,211,151. The total compensation cost recognized during the years ended December 31, 2022, 2021 and 2020 was $282, $436 and $375, respectively, and is included in selling, general and administrative expenses and the related liability is classified as accrued and other liabilities in the consolidated financial statements of the Partnership. The unrecognized compensation cost associated with all grants under the Plan at December 31, 2022 was $178 and the weighted average remaining term of the units at December 31, 2022 was 0.6 years.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Fair Value Measurements</w:t>
      </w:r>
    </w:p>
    <w:p>
      <w:pPr>
        <w:spacing w:after="0" w:line="102" w:lineRule="exact"/>
        <w:rPr>
          <w:sz w:val="20"/>
          <w:szCs w:val="20"/>
          <w:color w:val="auto"/>
        </w:rPr>
      </w:pPr>
    </w:p>
    <w:p>
      <w:pPr>
        <w:ind w:right="20" w:firstLine="395"/>
        <w:spacing w:after="0" w:line="252" w:lineRule="auto"/>
        <w:rPr>
          <w:sz w:val="20"/>
          <w:szCs w:val="20"/>
          <w:color w:val="auto"/>
        </w:rPr>
      </w:pPr>
      <w:r>
        <w:rPr>
          <w:rFonts w:ascii="Arial" w:cs="Arial" w:eastAsia="Arial" w:hAnsi="Arial"/>
          <w:sz w:val="18"/>
          <w:szCs w:val="18"/>
          <w:color w:val="auto"/>
        </w:rPr>
        <w:t>The Partnership reports certain assets and liabilities at fair value, which is defined as the price that would be received to sell an asset or paid to transfer a liability in an orderly transaction between market participants at the measurement date (exit price). Under the accounting guidance for fair value measurements, inputs used to measure fair value are classified in one of three levels:</w:t>
      </w:r>
    </w:p>
    <w:p>
      <w:pPr>
        <w:spacing w:after="0" w:line="7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1: Quoted market prices in active markets for identical assets or liabilities.</w:t>
      </w:r>
    </w:p>
    <w:p>
      <w:pPr>
        <w:spacing w:after="0" w:line="8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2: Observable market-based inputs or unobservable inputs that are corroborated by market data.</w:t>
      </w:r>
    </w:p>
    <w:p>
      <w:pPr>
        <w:spacing w:after="0" w:line="9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Level 3: Unobservable inputs that are not corroborated by market data.</w:t>
      </w:r>
    </w:p>
    <w:p>
      <w:pPr>
        <w:spacing w:after="0" w:line="161" w:lineRule="exact"/>
        <w:rPr>
          <w:sz w:val="20"/>
          <w:szCs w:val="20"/>
          <w:color w:val="auto"/>
        </w:rPr>
      </w:pPr>
    </w:p>
    <w:p>
      <w:pPr>
        <w:ind w:right="40" w:firstLine="395"/>
        <w:spacing w:after="0" w:line="281" w:lineRule="auto"/>
        <w:rPr>
          <w:sz w:val="20"/>
          <w:szCs w:val="20"/>
          <w:color w:val="auto"/>
        </w:rPr>
      </w:pPr>
      <w:r>
        <w:rPr>
          <w:rFonts w:ascii="Arial" w:cs="Arial" w:eastAsia="Arial" w:hAnsi="Arial"/>
          <w:sz w:val="16"/>
          <w:szCs w:val="16"/>
          <w:color w:val="auto"/>
        </w:rPr>
        <w:t>The Partnership has financial assets and liabilities subject to fair value measures. These financial assets and liabilities include cash and cash equivalents, accounts receivable, net, accounts payable and long-term debt payable to Westlake, all of which are recorded at carrying value. The amounts reported in the consolidated balance sheets for accounts receivable, net and accounts payable approximate their fair value due to the short maturities of these instruments. The carrying and fair values of the Partnership's long-term debt at December 31, 2022 and December 31, 2021 are summarized in the table below. The fair value of long-term debt is determined based on the present value of expected future cash flows using a discounted cash flow methodology. Because the Partnership's valuation methodology used for long-term debt requires the use of significant unobservable inputs, the inputs used to measure the fair value of the Partnership's long-term debt are classified as Level 3 within the fair value hierarchy. Inputs used to estimate the fair values of the Partnership's long-term debt include the selection of an appropriate discount rate.</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 2022</w:t>
            </w: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0" w:type="dxa"/>
            <w:vAlign w:val="bottom"/>
            <w:gridSpan w:val="3"/>
          </w:tcPr>
          <w:p>
            <w:pPr>
              <w:jc w:val="right"/>
              <w:spacing w:after="0"/>
              <w:rPr>
                <w:sz w:val="20"/>
                <w:szCs w:val="20"/>
                <w:color w:val="auto"/>
              </w:rPr>
            </w:pPr>
            <w:r>
              <w:rPr>
                <w:rFonts w:ascii="Arial" w:cs="Arial" w:eastAsia="Arial" w:hAnsi="Arial"/>
                <w:sz w:val="14"/>
                <w:szCs w:val="14"/>
                <w:b w:val="1"/>
                <w:bCs w:val="1"/>
                <w:color w:val="auto"/>
              </w:rPr>
              <w:t>December 31, 2021</w:t>
            </w:r>
          </w:p>
        </w:tc>
        <w:tc>
          <w:tcPr>
            <w:tcW w:w="900" w:type="dxa"/>
            <w:vAlign w:val="bottom"/>
          </w:tcPr>
          <w:p>
            <w:pPr>
              <w:spacing w:after="0"/>
              <w:rPr>
                <w:sz w:val="15"/>
                <w:szCs w:val="15"/>
                <w:color w:val="auto"/>
              </w:rPr>
            </w:pPr>
          </w:p>
        </w:tc>
      </w:tr>
      <w:tr>
        <w:trPr>
          <w:trHeight w:val="24"/>
        </w:trPr>
        <w:tc>
          <w:tcPr>
            <w:tcW w:w="5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5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125"/>
        </w:trPr>
        <w:tc>
          <w:tcPr>
            <w:tcW w:w="520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gridSpan w:val="2"/>
          </w:tcPr>
          <w:p>
            <w:pPr>
              <w:jc w:val="center"/>
              <w:ind w:right="360"/>
              <w:spacing w:after="0" w:line="125" w:lineRule="exact"/>
              <w:rPr>
                <w:sz w:val="20"/>
                <w:szCs w:val="20"/>
                <w:color w:val="auto"/>
              </w:rPr>
            </w:pPr>
            <w:r>
              <w:rPr>
                <w:rFonts w:ascii="Arial" w:cs="Arial" w:eastAsia="Arial" w:hAnsi="Arial"/>
                <w:sz w:val="14"/>
                <w:szCs w:val="14"/>
                <w:b w:val="1"/>
                <w:bCs w:val="1"/>
                <w:color w:val="auto"/>
                <w:w w:val="97"/>
              </w:rPr>
              <w:t>Carrying</w:t>
            </w:r>
          </w:p>
        </w:tc>
        <w:tc>
          <w:tcPr>
            <w:tcW w:w="5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center"/>
              <w:ind w:right="461"/>
              <w:spacing w:after="0" w:line="125" w:lineRule="exact"/>
              <w:rPr>
                <w:sz w:val="20"/>
                <w:szCs w:val="20"/>
                <w:color w:val="auto"/>
              </w:rPr>
            </w:pPr>
            <w:r>
              <w:rPr>
                <w:rFonts w:ascii="Arial" w:cs="Arial" w:eastAsia="Arial" w:hAnsi="Arial"/>
                <w:sz w:val="14"/>
                <w:szCs w:val="14"/>
                <w:b w:val="1"/>
                <w:bCs w:val="1"/>
                <w:color w:val="auto"/>
                <w:w w:val="93"/>
              </w:rPr>
              <w:t>Fair</w:t>
            </w:r>
          </w:p>
        </w:tc>
        <w:tc>
          <w:tcPr>
            <w:tcW w:w="10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jc w:val="center"/>
              <w:ind w:right="380"/>
              <w:spacing w:after="0" w:line="125" w:lineRule="exact"/>
              <w:rPr>
                <w:sz w:val="20"/>
                <w:szCs w:val="20"/>
                <w:color w:val="auto"/>
              </w:rPr>
            </w:pPr>
            <w:r>
              <w:rPr>
                <w:rFonts w:ascii="Arial" w:cs="Arial" w:eastAsia="Arial" w:hAnsi="Arial"/>
                <w:sz w:val="14"/>
                <w:szCs w:val="14"/>
                <w:b w:val="1"/>
                <w:bCs w:val="1"/>
                <w:color w:val="auto"/>
                <w:w w:val="97"/>
              </w:rPr>
              <w:t>Carrying</w:t>
            </w:r>
          </w:p>
        </w:tc>
        <w:tc>
          <w:tcPr>
            <w:tcW w:w="54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521"/>
              <w:spacing w:after="0" w:line="125" w:lineRule="exact"/>
              <w:rPr>
                <w:sz w:val="20"/>
                <w:szCs w:val="20"/>
                <w:color w:val="auto"/>
              </w:rPr>
            </w:pPr>
            <w:r>
              <w:rPr>
                <w:rFonts w:ascii="Arial" w:cs="Arial" w:eastAsia="Arial" w:hAnsi="Arial"/>
                <w:sz w:val="14"/>
                <w:szCs w:val="14"/>
                <w:b w:val="1"/>
                <w:bCs w:val="1"/>
                <w:color w:val="auto"/>
              </w:rPr>
              <w:t>Fair</w:t>
            </w:r>
          </w:p>
        </w:tc>
      </w:tr>
      <w:tr>
        <w:trPr>
          <w:trHeight w:val="191"/>
        </w:trPr>
        <w:tc>
          <w:tcPr>
            <w:tcW w:w="5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Value</w:t>
            </w:r>
          </w:p>
        </w:tc>
        <w:tc>
          <w:tcPr>
            <w:tcW w:w="540" w:type="dxa"/>
            <w:vAlign w:val="bottom"/>
          </w:tcPr>
          <w:p>
            <w:pPr>
              <w:spacing w:after="0"/>
              <w:rPr>
                <w:sz w:val="16"/>
                <w:szCs w:val="16"/>
                <w:color w:val="auto"/>
              </w:rPr>
            </w:pPr>
          </w:p>
        </w:tc>
        <w:tc>
          <w:tcPr>
            <w:tcW w:w="10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5"/>
              </w:rPr>
              <w:t>Value</w:t>
            </w:r>
          </w:p>
        </w:tc>
        <w:tc>
          <w:tcPr>
            <w:tcW w:w="260" w:type="dxa"/>
            <w:vAlign w:val="bottom"/>
          </w:tcPr>
          <w:p>
            <w:pPr>
              <w:spacing w:after="0"/>
              <w:rPr>
                <w:sz w:val="16"/>
                <w:szCs w:val="16"/>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540" w:type="dxa"/>
            <w:vAlign w:val="bottom"/>
          </w:tcPr>
          <w:p>
            <w:pPr>
              <w:spacing w:after="0"/>
              <w:rPr>
                <w:sz w:val="16"/>
                <w:szCs w:val="16"/>
                <w:color w:val="auto"/>
              </w:rPr>
            </w:pPr>
          </w:p>
        </w:tc>
        <w:tc>
          <w:tcPr>
            <w:tcW w:w="900" w:type="dxa"/>
            <w:vAlign w:val="bottom"/>
          </w:tcPr>
          <w:p>
            <w:pPr>
              <w:jc w:val="right"/>
              <w:ind w:right="481"/>
              <w:spacing w:after="0"/>
              <w:rPr>
                <w:sz w:val="20"/>
                <w:szCs w:val="20"/>
                <w:color w:val="auto"/>
              </w:rPr>
            </w:pPr>
            <w:r>
              <w:rPr>
                <w:rFonts w:ascii="Arial" w:cs="Arial" w:eastAsia="Arial" w:hAnsi="Arial"/>
                <w:sz w:val="14"/>
                <w:szCs w:val="14"/>
                <w:b w:val="1"/>
                <w:bCs w:val="1"/>
                <w:color w:val="auto"/>
                <w:w w:val="85"/>
              </w:rPr>
              <w:t>Value</w:t>
            </w:r>
          </w:p>
        </w:tc>
      </w:tr>
      <w:tr>
        <w:trPr>
          <w:trHeight w:val="224"/>
        </w:trPr>
        <w:tc>
          <w:tcPr>
            <w:tcW w:w="5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OpCo Revolver</w:t>
            </w:r>
          </w:p>
        </w:tc>
        <w:tc>
          <w:tcPr>
            <w:tcW w:w="280" w:type="dxa"/>
            <w:vAlign w:val="bottom"/>
            <w:tcBorders>
              <w:top w:val="single" w:sz="8" w:color="auto"/>
            </w:tcBorders>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22,619</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32"/>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23,213</w:t>
            </w:r>
          </w:p>
        </w:tc>
        <w:tc>
          <w:tcPr>
            <w:tcW w:w="10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8"/>
                <w:szCs w:val="18"/>
                <w:color w:val="auto"/>
              </w:rPr>
              <w:t>22,619</w:t>
            </w:r>
          </w:p>
        </w:tc>
        <w:tc>
          <w:tcPr>
            <w:tcW w:w="100" w:type="dxa"/>
            <w:vAlign w:val="bottom"/>
            <w:tcBorders>
              <w:top w:val="single" w:sz="8" w:color="CCEEFF"/>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8"/>
                <w:szCs w:val="18"/>
                <w:color w:val="auto"/>
              </w:rPr>
              <w:t>23,276</w:t>
            </w:r>
          </w:p>
        </w:tc>
      </w:tr>
      <w:tr>
        <w:trPr>
          <w:trHeight w:val="223"/>
        </w:trPr>
        <w:tc>
          <w:tcPr>
            <w:tcW w:w="5200" w:type="dxa"/>
            <w:vAlign w:val="bottom"/>
          </w:tcPr>
          <w:p>
            <w:pPr>
              <w:ind w:left="20"/>
              <w:spacing w:after="0"/>
              <w:rPr>
                <w:sz w:val="20"/>
                <w:szCs w:val="20"/>
                <w:color w:val="auto"/>
              </w:rPr>
            </w:pPr>
            <w:r>
              <w:rPr>
                <w:rFonts w:ascii="Arial" w:cs="Arial" w:eastAsia="Arial" w:hAnsi="Arial"/>
                <w:sz w:val="18"/>
                <w:szCs w:val="18"/>
                <w:color w:val="auto"/>
              </w:rPr>
              <w:t>MLP Revolver</w:t>
            </w:r>
          </w:p>
        </w:tc>
        <w:tc>
          <w:tcPr>
            <w:tcW w:w="2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377,055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ind w:right="1"/>
              <w:spacing w:after="0"/>
              <w:rPr>
                <w:sz w:val="20"/>
                <w:szCs w:val="20"/>
                <w:color w:val="auto"/>
              </w:rPr>
            </w:pPr>
            <w:r>
              <w:rPr>
                <w:rFonts w:ascii="Arial" w:cs="Arial" w:eastAsia="Arial" w:hAnsi="Arial"/>
                <w:sz w:val="18"/>
                <w:szCs w:val="18"/>
                <w:color w:val="auto"/>
              </w:rPr>
              <w:t>382,666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tcPr>
          <w:p>
            <w:pPr>
              <w:jc w:val="right"/>
              <w:ind w:right="3"/>
              <w:spacing w:after="0"/>
              <w:rPr>
                <w:sz w:val="20"/>
                <w:szCs w:val="20"/>
                <w:color w:val="auto"/>
              </w:rPr>
            </w:pPr>
            <w:r>
              <w:rPr>
                <w:rFonts w:ascii="Arial" w:cs="Arial" w:eastAsia="Arial" w:hAnsi="Arial"/>
                <w:sz w:val="18"/>
                <w:szCs w:val="18"/>
                <w:color w:val="auto"/>
              </w:rPr>
              <w:t>377,055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00" w:type="dxa"/>
            <w:vAlign w:val="bottom"/>
          </w:tcPr>
          <w:p>
            <w:pPr>
              <w:jc w:val="right"/>
              <w:ind w:right="1"/>
              <w:spacing w:after="0"/>
              <w:rPr>
                <w:sz w:val="20"/>
                <w:szCs w:val="20"/>
                <w:color w:val="auto"/>
              </w:rPr>
            </w:pPr>
            <w:r>
              <w:rPr>
                <w:rFonts w:ascii="Arial" w:cs="Arial" w:eastAsia="Arial" w:hAnsi="Arial"/>
                <w:sz w:val="18"/>
                <w:szCs w:val="18"/>
                <w:color w:val="auto"/>
              </w:rPr>
              <w:t>383,574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3" w:name="page74"/>
    <w:bookmarkEnd w:id="73"/>
    <w:p>
      <w:pPr>
        <w:spacing w:after="0"/>
        <w:rPr>
          <w:sz w:val="20"/>
          <w:szCs w:val="20"/>
          <w:color w:val="auto"/>
        </w:rPr>
      </w:pPr>
      <w:r>
        <w:rPr>
          <w:rFonts w:ascii="Arial" w:cs="Arial" w:eastAsia="Arial" w:hAnsi="Arial"/>
          <w:sz w:val="14"/>
          <w:szCs w:val="14"/>
          <w:u w:val="single" w:color="auto"/>
          <w:color w:val="0000FF"/>
        </w:rPr>
        <w:t>Table of Contents</w:t>
      </w:r>
    </w:p>
    <w:p>
      <w:pPr>
        <w:spacing w:after="0" w:line="1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PARTNERS LP</w:t>
      </w:r>
    </w:p>
    <w:p>
      <w:pPr>
        <w:spacing w:after="0" w:line="75"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Income Taxes</w:t>
      </w:r>
    </w:p>
    <w:p>
      <w:pPr>
        <w:spacing w:after="0" w:line="89" w:lineRule="exact"/>
        <w:rPr>
          <w:sz w:val="20"/>
          <w:szCs w:val="20"/>
          <w:color w:val="auto"/>
        </w:rPr>
      </w:pPr>
    </w:p>
    <w:p>
      <w:pPr>
        <w:ind w:right="320" w:firstLine="395"/>
        <w:spacing w:after="0" w:line="261" w:lineRule="auto"/>
        <w:rPr>
          <w:sz w:val="20"/>
          <w:szCs w:val="20"/>
          <w:color w:val="auto"/>
        </w:rPr>
      </w:pPr>
      <w:r>
        <w:rPr>
          <w:rFonts w:ascii="Arial" w:cs="Arial" w:eastAsia="Arial" w:hAnsi="Arial"/>
          <w:sz w:val="18"/>
          <w:szCs w:val="18"/>
          <w:color w:val="auto"/>
        </w:rPr>
        <w:t>The Partnership is a limited partnership and is treated as a partnership for U.S. federal income tax purposes and, therefore, is not liable for entity-level federal income taxes. The Partnership is, however, subject to state and local income taxes.</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components of income tax of the Partnership are as follows:</w:t>
      </w: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40" w:type="dxa"/>
            <w:vAlign w:val="bottom"/>
            <w:gridSpan w:val="4"/>
          </w:tcPr>
          <w:p>
            <w:pPr>
              <w:jc w:val="center"/>
              <w:spacing w:after="0"/>
              <w:rPr>
                <w:sz w:val="20"/>
                <w:szCs w:val="20"/>
                <w:color w:val="auto"/>
              </w:rPr>
            </w:pPr>
            <w:r>
              <w:rPr>
                <w:rFonts w:ascii="Arial" w:cs="Arial" w:eastAsia="Arial" w:hAnsi="Arial"/>
                <w:sz w:val="14"/>
                <w:szCs w:val="14"/>
                <w:b w:val="1"/>
                <w:bCs w:val="1"/>
                <w:color w:val="auto"/>
                <w:w w:val="90"/>
              </w:rPr>
              <w:t>Year Ended December 31,</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4"/>
        </w:trPr>
        <w:tc>
          <w:tcPr>
            <w:tcW w:w="67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2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2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2020</w:t>
            </w:r>
          </w:p>
        </w:tc>
      </w:tr>
      <w:tr>
        <w:trPr>
          <w:trHeight w:val="211"/>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Current</w:t>
            </w:r>
          </w:p>
        </w:tc>
        <w:tc>
          <w:tcPr>
            <w:tcW w:w="9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color w:val="auto"/>
              </w:rPr>
              <w:t>State and local</w:t>
            </w:r>
          </w:p>
        </w:tc>
        <w:tc>
          <w:tcPr>
            <w:tcW w:w="920" w:type="dxa"/>
            <w:vAlign w:val="bottom"/>
          </w:tcPr>
          <w:p>
            <w:pPr>
              <w:jc w:val="right"/>
              <w:ind w:right="718"/>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891</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ind w:left="780"/>
              <w:spacing w:after="0"/>
              <w:rPr>
                <w:sz w:val="20"/>
                <w:szCs w:val="20"/>
                <w:color w:val="auto"/>
              </w:rPr>
            </w:pPr>
            <w:r>
              <w:rPr>
                <w:rFonts w:ascii="Arial" w:cs="Arial" w:eastAsia="Arial" w:hAnsi="Arial"/>
                <w:sz w:val="18"/>
                <w:szCs w:val="18"/>
                <w:color w:val="auto"/>
                <w:w w:val="99"/>
              </w:rPr>
              <w:t>561</w:t>
            </w:r>
          </w:p>
        </w:tc>
        <w:tc>
          <w:tcPr>
            <w:tcW w:w="100" w:type="dxa"/>
            <w:vAlign w:val="bottom"/>
          </w:tcPr>
          <w:p>
            <w:pPr>
              <w:spacing w:after="0"/>
              <w:rPr>
                <w:sz w:val="19"/>
                <w:szCs w:val="19"/>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center"/>
              <w:ind w:left="617"/>
              <w:spacing w:after="0"/>
              <w:rPr>
                <w:sz w:val="20"/>
                <w:szCs w:val="20"/>
                <w:color w:val="auto"/>
              </w:rPr>
            </w:pPr>
            <w:r>
              <w:rPr>
                <w:rFonts w:ascii="Arial" w:cs="Arial" w:eastAsia="Arial" w:hAnsi="Arial"/>
                <w:sz w:val="18"/>
                <w:szCs w:val="18"/>
                <w:color w:val="auto"/>
                <w:w w:val="93"/>
              </w:rPr>
              <w:t>671</w:t>
            </w:r>
          </w:p>
        </w:tc>
      </w:tr>
      <w:tr>
        <w:trPr>
          <w:trHeight w:val="224"/>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Deferred</w:t>
            </w:r>
          </w:p>
        </w:tc>
        <w:tc>
          <w:tcPr>
            <w:tcW w:w="9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223"/>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State and local</w:t>
            </w:r>
          </w:p>
        </w:tc>
        <w:tc>
          <w:tcPr>
            <w:tcW w:w="9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w w:val="93"/>
              </w:rPr>
              <w:t>(12)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597"/>
              <w:spacing w:after="0"/>
              <w:rPr>
                <w:sz w:val="20"/>
                <w:szCs w:val="20"/>
                <w:color w:val="auto"/>
              </w:rPr>
            </w:pPr>
            <w:r>
              <w:rPr>
                <w:rFonts w:ascii="Arial" w:cs="Arial" w:eastAsia="Arial" w:hAnsi="Arial"/>
                <w:sz w:val="18"/>
                <w:szCs w:val="18"/>
                <w:color w:val="auto"/>
                <w:w w:val="90"/>
              </w:rPr>
              <w:t>(107)</w:t>
            </w:r>
          </w:p>
        </w:tc>
      </w:tr>
      <w:tr>
        <w:trPr>
          <w:trHeight w:val="237"/>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provision</w:t>
            </w:r>
          </w:p>
        </w:tc>
        <w:tc>
          <w:tcPr>
            <w:tcW w:w="920" w:type="dxa"/>
            <w:vAlign w:val="bottom"/>
            <w:shd w:val="clear" w:color="auto" w:fill="CCEEFF"/>
          </w:tcPr>
          <w:p>
            <w:pPr>
              <w:jc w:val="right"/>
              <w:ind w:right="718"/>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1,017</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ind w:left="780"/>
              <w:spacing w:after="0"/>
              <w:rPr>
                <w:sz w:val="20"/>
                <w:szCs w:val="20"/>
                <w:color w:val="auto"/>
              </w:rPr>
            </w:pPr>
            <w:r>
              <w:rPr>
                <w:rFonts w:ascii="Arial" w:cs="Arial" w:eastAsia="Arial" w:hAnsi="Arial"/>
                <w:sz w:val="18"/>
                <w:szCs w:val="18"/>
                <w:color w:val="auto"/>
                <w:w w:val="99"/>
              </w:rPr>
              <w:t>549</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center"/>
              <w:ind w:left="617"/>
              <w:spacing w:after="0"/>
              <w:rPr>
                <w:sz w:val="20"/>
                <w:szCs w:val="20"/>
                <w:color w:val="auto"/>
              </w:rPr>
            </w:pPr>
            <w:r>
              <w:rPr>
                <w:rFonts w:ascii="Arial" w:cs="Arial" w:eastAsia="Arial" w:hAnsi="Arial"/>
                <w:sz w:val="18"/>
                <w:szCs w:val="18"/>
                <w:color w:val="auto"/>
                <w:w w:val="93"/>
              </w:rPr>
              <w:t>564</w:t>
            </w:r>
          </w:p>
        </w:tc>
      </w:tr>
      <w:tr>
        <w:trPr>
          <w:trHeight w:val="20"/>
        </w:trPr>
        <w:tc>
          <w:tcPr>
            <w:tcW w:w="67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reconciliation of income tax expense at the U.S. statutory rate to the income tax expense is as follows:</w:t>
      </w:r>
    </w:p>
    <w:p>
      <w:pPr>
        <w:spacing w:after="0" w:line="32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67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40" w:type="dxa"/>
            <w:vAlign w:val="bottom"/>
            <w:gridSpan w:val="4"/>
          </w:tcPr>
          <w:p>
            <w:pPr>
              <w:ind w:left="40"/>
              <w:spacing w:after="0"/>
              <w:rPr>
                <w:sz w:val="20"/>
                <w:szCs w:val="20"/>
                <w:color w:val="auto"/>
              </w:rPr>
            </w:pPr>
            <w:r>
              <w:rPr>
                <w:rFonts w:ascii="Arial" w:cs="Arial" w:eastAsia="Arial" w:hAnsi="Arial"/>
                <w:sz w:val="14"/>
                <w:szCs w:val="14"/>
                <w:b w:val="1"/>
                <w:bCs w:val="1"/>
                <w:color w:val="auto"/>
                <w:w w:val="91"/>
              </w:rPr>
              <w:t>Year Ended December 31,</w:t>
            </w: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4"/>
        </w:trPr>
        <w:tc>
          <w:tcPr>
            <w:tcW w:w="67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672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2020</w:t>
            </w:r>
          </w:p>
        </w:tc>
      </w:tr>
      <w:tr>
        <w:trPr>
          <w:trHeight w:val="224"/>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federal income tax, at statutory rate</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70,528</w:t>
            </w:r>
          </w:p>
        </w:tc>
        <w:tc>
          <w:tcPr>
            <w:tcW w:w="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84,406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71,755</w:t>
            </w:r>
          </w:p>
        </w:tc>
      </w:tr>
      <w:tr>
        <w:trPr>
          <w:trHeight w:val="223"/>
        </w:trPr>
        <w:tc>
          <w:tcPr>
            <w:tcW w:w="6720" w:type="dxa"/>
            <w:vAlign w:val="bottom"/>
          </w:tcPr>
          <w:p>
            <w:pPr>
              <w:ind w:left="20"/>
              <w:spacing w:after="0"/>
              <w:rPr>
                <w:sz w:val="20"/>
                <w:szCs w:val="20"/>
                <w:color w:val="auto"/>
              </w:rPr>
            </w:pPr>
            <w:r>
              <w:rPr>
                <w:rFonts w:ascii="Arial" w:cs="Arial" w:eastAsia="Arial" w:hAnsi="Arial"/>
                <w:sz w:val="18"/>
                <w:szCs w:val="18"/>
                <w:color w:val="auto"/>
              </w:rPr>
              <w:t>State income tax provision, net of federal income tax effect</w:t>
            </w: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1,017</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564</w:t>
            </w:r>
          </w:p>
        </w:tc>
      </w:tr>
      <w:tr>
        <w:trPr>
          <w:trHeight w:val="224"/>
        </w:trPr>
        <w:tc>
          <w:tcPr>
            <w:tcW w:w="6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Partnership income not subject to entity-level federal income tax</w:t>
            </w:r>
          </w:p>
        </w:tc>
        <w:tc>
          <w:tcPr>
            <w:tcW w:w="3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(70,528)</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(84,406)</w:t>
            </w:r>
          </w:p>
        </w:tc>
        <w:tc>
          <w:tcPr>
            <w:tcW w:w="10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(71,755)</w:t>
            </w:r>
          </w:p>
        </w:tc>
      </w:tr>
      <w:tr>
        <w:trPr>
          <w:trHeight w:val="217"/>
        </w:trPr>
        <w:tc>
          <w:tcPr>
            <w:tcW w:w="6720" w:type="dxa"/>
            <w:vAlign w:val="bottom"/>
          </w:tcPr>
          <w:p>
            <w:pPr>
              <w:ind w:left="20"/>
              <w:spacing w:after="0"/>
              <w:rPr>
                <w:sz w:val="20"/>
                <w:szCs w:val="20"/>
                <w:color w:val="auto"/>
              </w:rPr>
            </w:pPr>
            <w:r>
              <w:rPr>
                <w:rFonts w:ascii="Arial" w:cs="Arial" w:eastAsia="Arial" w:hAnsi="Arial"/>
                <w:sz w:val="18"/>
                <w:szCs w:val="18"/>
                <w:color w:val="auto"/>
              </w:rPr>
              <w:t>Total provision</w:t>
            </w:r>
          </w:p>
        </w:tc>
        <w:tc>
          <w:tcPr>
            <w:tcW w:w="360" w:type="dxa"/>
            <w:vAlign w:val="bottom"/>
          </w:tcPr>
          <w:p>
            <w:pPr>
              <w:jc w:val="right"/>
              <w:ind w:right="152"/>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1,017</w:t>
            </w: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549</w:t>
            </w:r>
          </w:p>
        </w:tc>
        <w:tc>
          <w:tcPr>
            <w:tcW w:w="100" w:type="dxa"/>
            <w:vAlign w:val="bottom"/>
          </w:tcPr>
          <w:p>
            <w:pPr>
              <w:spacing w:after="0"/>
              <w:rPr>
                <w:sz w:val="18"/>
                <w:szCs w:val="18"/>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564</w:t>
            </w:r>
          </w:p>
        </w:tc>
      </w:tr>
      <w:tr>
        <w:trPr>
          <w:trHeight w:val="20"/>
        </w:trPr>
        <w:tc>
          <w:tcPr>
            <w:tcW w:w="67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tax effects of the principal temporary differences between financial reporting and income tax reporting are as follows: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14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Pr>
          <w:p>
            <w:pPr>
              <w:spacing w:after="0"/>
              <w:rPr>
                <w:sz w:val="15"/>
                <w:szCs w:val="15"/>
                <w:color w:val="auto"/>
              </w:rPr>
            </w:pPr>
          </w:p>
        </w:tc>
      </w:tr>
      <w:tr>
        <w:trPr>
          <w:trHeight w:val="24"/>
        </w:trPr>
        <w:tc>
          <w:tcPr>
            <w:tcW w:w="82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84"/>
        </w:trPr>
        <w:tc>
          <w:tcPr>
            <w:tcW w:w="8260" w:type="dxa"/>
            <w:vAlign w:val="bottom"/>
            <w:tcBorders>
              <w:bottom w:val="single" w:sz="8" w:color="CCEEFF"/>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Property, plant and equipment</w:t>
            </w:r>
          </w:p>
        </w:tc>
        <w:tc>
          <w:tcPr>
            <w:tcW w:w="880" w:type="dxa"/>
            <w:vAlign w:val="bottom"/>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(1,438)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w:t>
            </w: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Turnaround costs</w:t>
            </w:r>
          </w:p>
        </w:tc>
        <w:tc>
          <w:tcPr>
            <w:tcW w:w="8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r>
      <w:tr>
        <w:trPr>
          <w:trHeight w:val="242"/>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tax liabilities</w:t>
            </w: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(1,656)</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196"/>
        </w:trPr>
        <w:tc>
          <w:tcPr>
            <w:tcW w:w="8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24"/>
        </w:trPr>
        <w:tc>
          <w:tcPr>
            <w:tcW w:w="82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sheet classifications</w:t>
            </w:r>
          </w:p>
        </w:tc>
        <w:tc>
          <w:tcPr>
            <w:tcW w:w="8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3"/>
        </w:trPr>
        <w:tc>
          <w:tcPr>
            <w:tcW w:w="82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Noncurrent deferred tax liability</w:t>
            </w:r>
          </w:p>
        </w:tc>
        <w:tc>
          <w:tcPr>
            <w:tcW w:w="880" w:type="dxa"/>
            <w:vAlign w:val="bottom"/>
            <w:tcBorders>
              <w:bottom w:val="single" w:sz="8" w:color="auto"/>
            </w:tcBorders>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(1,656)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jc w:val="right"/>
              <w:ind w:right="27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(1,530)</w:t>
            </w:r>
          </w:p>
        </w:tc>
      </w:tr>
      <w:tr>
        <w:trPr>
          <w:trHeight w:val="242"/>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deferred tax liabilities</w:t>
            </w:r>
          </w:p>
        </w:tc>
        <w:tc>
          <w:tcPr>
            <w:tcW w:w="880" w:type="dxa"/>
            <w:vAlign w:val="bottom"/>
            <w:tcBorders>
              <w:bottom w:val="single" w:sz="8" w:color="auto"/>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(1,656)</w:t>
            </w:r>
          </w:p>
        </w:tc>
        <w:tc>
          <w:tcPr>
            <w:tcW w:w="100" w:type="dxa"/>
            <w:vAlign w:val="bottom"/>
            <w:tcBorders>
              <w:bottom w:val="single" w:sz="8" w:color="CCEEFF"/>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ind w:right="27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(1,530)</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311" w:lineRule="exact"/>
        <w:rPr>
          <w:sz w:val="20"/>
          <w:szCs w:val="20"/>
          <w:color w:val="auto"/>
        </w:rPr>
      </w:pPr>
    </w:p>
    <w:p>
      <w:pPr>
        <w:ind w:right="8980" w:firstLine="5"/>
        <w:spacing w:after="0" w:line="390" w:lineRule="auto"/>
        <w:tabs>
          <w:tab w:leader="none" w:pos="263"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Supplemental Information </w:t>
      </w:r>
      <w:r>
        <w:rPr>
          <w:rFonts w:ascii="Arial" w:cs="Arial" w:eastAsia="Arial" w:hAnsi="Arial"/>
          <w:sz w:val="16"/>
          <w:szCs w:val="16"/>
          <w:b w:val="1"/>
          <w:bCs w:val="1"/>
          <w:i w:val="1"/>
          <w:iCs w:val="1"/>
          <w:color w:val="auto"/>
        </w:rPr>
        <w:t>Accrued and Other Liabilities</w:t>
      </w:r>
    </w:p>
    <w:p>
      <w:pPr>
        <w:ind w:right="180" w:firstLine="395"/>
        <w:spacing w:after="0" w:line="250" w:lineRule="auto"/>
        <w:rPr>
          <w:sz w:val="20"/>
          <w:szCs w:val="20"/>
          <w:color w:val="auto"/>
        </w:rPr>
      </w:pPr>
      <w:r>
        <w:rPr>
          <w:rFonts w:ascii="Arial" w:cs="Arial" w:eastAsia="Arial" w:hAnsi="Arial"/>
          <w:sz w:val="18"/>
          <w:szCs w:val="18"/>
          <w:color w:val="auto"/>
        </w:rPr>
        <w:t>Accrued and other liabilities were $17,537 and $60,895 at December 31, 2022 and 2021, respectively. Accruals related to maintenance expenses and intercompany interest expenses, which are components of accrued and other liabilities, were $3,752 and $4,733 at December 31, 2022, respectively, and were $5,597 and $2,176 at December 31, 2021, respectively. No other component of accrued and other liabilities was more than five percent of total current liabilities.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 Information</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Non-cash Investing Activity</w:t>
      </w:r>
    </w:p>
    <w:p>
      <w:pPr>
        <w:spacing w:after="0" w:line="83" w:lineRule="exact"/>
        <w:rPr>
          <w:sz w:val="20"/>
          <w:szCs w:val="20"/>
          <w:color w:val="auto"/>
        </w:rPr>
      </w:pPr>
    </w:p>
    <w:p>
      <w:pPr>
        <w:ind w:right="180" w:firstLine="395"/>
        <w:spacing w:after="0" w:line="261" w:lineRule="auto"/>
        <w:rPr>
          <w:sz w:val="20"/>
          <w:szCs w:val="20"/>
          <w:color w:val="auto"/>
        </w:rPr>
      </w:pPr>
      <w:r>
        <w:rPr>
          <w:rFonts w:ascii="Arial" w:cs="Arial" w:eastAsia="Arial" w:hAnsi="Arial"/>
          <w:sz w:val="18"/>
          <w:szCs w:val="18"/>
          <w:color w:val="auto"/>
        </w:rPr>
        <w:t>Capital expenditure related liabilities, included in accounts payable—third parties and accrued and other liabilities, were $6,372, $14,415, and $6,854 at December 31, 2022, 2021, and 2020, respectively.</w:t>
      </w: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4" w:name="page75"/>
    <w:bookmarkEnd w:id="74"/>
    <w:p>
      <w:pPr>
        <w:spacing w:after="0"/>
        <w:rPr>
          <w:sz w:val="20"/>
          <w:szCs w:val="20"/>
          <w:color w:val="auto"/>
        </w:rPr>
      </w:pPr>
      <w:r>
        <w:rPr>
          <w:rFonts w:ascii="Arial" w:cs="Arial" w:eastAsia="Arial" w:hAnsi="Arial"/>
          <w:sz w:val="14"/>
          <w:szCs w:val="14"/>
          <w:u w:val="single" w:color="auto"/>
          <w:color w:val="0000FF"/>
        </w:rPr>
        <w:t>Table of Contents</w:t>
      </w:r>
    </w:p>
    <w:p>
      <w:pPr>
        <w:spacing w:after="0" w:line="17"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WESTLAKE CHEMICAL PARTNERS LP</w:t>
      </w:r>
    </w:p>
    <w:p>
      <w:pPr>
        <w:spacing w:after="0" w:line="75"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of dollars, except unit amounts and per unit data)</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Income Taxes</w:t>
      </w:r>
    </w:p>
    <w:p>
      <w:pPr>
        <w:spacing w:after="0" w:line="83" w:lineRule="exact"/>
        <w:rPr>
          <w:sz w:val="20"/>
          <w:szCs w:val="20"/>
          <w:color w:val="auto"/>
        </w:rPr>
      </w:pPr>
    </w:p>
    <w:p>
      <w:pPr>
        <w:ind w:firstLine="395"/>
        <w:spacing w:after="0" w:line="250" w:lineRule="auto"/>
        <w:rPr>
          <w:sz w:val="20"/>
          <w:szCs w:val="20"/>
          <w:color w:val="auto"/>
        </w:rPr>
      </w:pPr>
      <w:r>
        <w:rPr>
          <w:rFonts w:ascii="Arial" w:cs="Arial" w:eastAsia="Arial" w:hAnsi="Arial"/>
          <w:sz w:val="18"/>
          <w:szCs w:val="18"/>
          <w:color w:val="auto"/>
        </w:rPr>
        <w:t>Interest paid by the Partnership, net of interest capitalized, was $10,850, $8,976 and $13,887 for the years ended December 31, 2022, 2021 and 2020, respectively. Income tax paid by the Partnership was $683, $676 and $709 for the years ended December 31, 2022, 2021 and 2020, respectively, of which $440, $490 and $430 was paid directly to the tax authorities for the years ended December 31, 2022, 2021 and 2020, and $243, $186 and $279 was paid to Westlake as reimbursements for the years ended December 31, 2022, 2021 and 2020.</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102" w:lineRule="exact"/>
        <w:rPr>
          <w:sz w:val="20"/>
          <w:szCs w:val="20"/>
          <w:color w:val="auto"/>
        </w:rPr>
      </w:pPr>
    </w:p>
    <w:p>
      <w:pPr>
        <w:ind w:right="40" w:firstLine="395"/>
        <w:spacing w:after="0" w:line="281" w:lineRule="auto"/>
        <w:rPr>
          <w:sz w:val="20"/>
          <w:szCs w:val="20"/>
          <w:color w:val="auto"/>
        </w:rPr>
      </w:pPr>
      <w:r>
        <w:rPr>
          <w:rFonts w:ascii="Arial" w:cs="Arial" w:eastAsia="Arial" w:hAnsi="Arial"/>
          <w:sz w:val="16"/>
          <w:szCs w:val="16"/>
          <w:color w:val="auto"/>
        </w:rPr>
        <w:t>The Partnership is subject to environmental laws and regulations that can impose civil and criminal sanctions and that may require the Partnership to mitigate the effects of contamination caused by the release or disposal of hazardous substances into the environment. These laws include the federal Clean Air Act, the federal Water Pollution Control Act, the Resource Conservation and Recovery Act ("RCRA"), the Comprehensive Environmental Response, Compensation, and Liability Act ("CERCLA"), the Toxic Substances Control Act and various other federal, state and local laws and regulations. Under CERCLA, an owner or operator of property may be held strictly liable for remediating contamination without regard to whether that person caused the contamination, and without regard to whether the practices that resulted in the contamination were legal at the time they occurred. Because the Partnership's production sites have a history of industrial use, it is impossible to predict precisely what effect these legal requirements will have on the Partnership. Westlake will indemnify the Partnership for liabilities that occurred or existed prior to August 4, 2014.</w:t>
      </w:r>
    </w:p>
    <w:p>
      <w:pPr>
        <w:spacing w:after="0" w:line="119" w:lineRule="exact"/>
        <w:rPr>
          <w:sz w:val="20"/>
          <w:szCs w:val="20"/>
          <w:color w:val="auto"/>
        </w:rPr>
      </w:pPr>
    </w:p>
    <w:p>
      <w:pPr>
        <w:ind w:right="40" w:firstLine="395"/>
        <w:spacing w:after="0" w:line="252" w:lineRule="auto"/>
        <w:rPr>
          <w:sz w:val="20"/>
          <w:szCs w:val="20"/>
          <w:color w:val="auto"/>
        </w:rPr>
      </w:pPr>
      <w:r>
        <w:rPr>
          <w:rFonts w:ascii="Arial" w:cs="Arial" w:eastAsia="Arial" w:hAnsi="Arial"/>
          <w:sz w:val="18"/>
          <w:szCs w:val="18"/>
          <w:color w:val="auto"/>
        </w:rPr>
        <w:t>On September 27, 2021, shortly after the turnaround on Petro 2 commenced, there was a flash fire at the quench tower of the Petro 2 facility. Several contractors working on the quench tower were injured. There are lawsuits pending in connection with the flash fire. The Partnership expects insurance to cover most of the costs associated with these lawsuits.</w:t>
      </w:r>
    </w:p>
    <w:p>
      <w:pPr>
        <w:spacing w:after="0" w:line="138" w:lineRule="exact"/>
        <w:rPr>
          <w:sz w:val="20"/>
          <w:szCs w:val="20"/>
          <w:color w:val="auto"/>
        </w:rPr>
      </w:pPr>
    </w:p>
    <w:p>
      <w:pPr>
        <w:ind w:right="300" w:firstLine="395"/>
        <w:spacing w:after="0" w:line="324" w:lineRule="auto"/>
        <w:rPr>
          <w:sz w:val="20"/>
          <w:szCs w:val="20"/>
          <w:color w:val="auto"/>
        </w:rPr>
      </w:pPr>
      <w:r>
        <w:rPr>
          <w:rFonts w:ascii="Arial" w:cs="Arial" w:eastAsia="Arial" w:hAnsi="Arial"/>
          <w:sz w:val="16"/>
          <w:szCs w:val="16"/>
          <w:color w:val="auto"/>
        </w:rPr>
        <w:t>The Partnership is also involved in other legal proceedings incidental to the conduct of its business. The Partnership does not believe that any of these legal proceedings will have a material adverse effect on its financial condition, results of operations or cash flows.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Commitments</w:t>
      </w:r>
    </w:p>
    <w:p>
      <w:pPr>
        <w:spacing w:after="0" w:line="161" w:lineRule="exact"/>
        <w:rPr>
          <w:sz w:val="20"/>
          <w:szCs w:val="20"/>
          <w:color w:val="auto"/>
        </w:rPr>
      </w:pPr>
    </w:p>
    <w:p>
      <w:pPr>
        <w:ind w:right="360" w:firstLine="395"/>
        <w:spacing w:after="0" w:line="261" w:lineRule="auto"/>
        <w:rPr>
          <w:sz w:val="20"/>
          <w:szCs w:val="20"/>
          <w:color w:val="auto"/>
        </w:rPr>
      </w:pPr>
      <w:r>
        <w:rPr>
          <w:rFonts w:ascii="Arial" w:cs="Arial" w:eastAsia="Arial" w:hAnsi="Arial"/>
          <w:sz w:val="18"/>
          <w:szCs w:val="18"/>
          <w:color w:val="auto"/>
        </w:rPr>
        <w:t>The Partnership has various purchase commitments for its capital projects and for materials, supplies and services incident to the ordinary conduct of business.</w:t>
      </w: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75" w:name="page76"/>
    <w:bookmarkEnd w:id="7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89" w:lineRule="exact"/>
        <w:rPr>
          <w:sz w:val="20"/>
          <w:szCs w:val="20"/>
          <w:color w:val="auto"/>
        </w:rPr>
      </w:pPr>
    </w:p>
    <w:p>
      <w:pPr>
        <w:ind w:firstLine="395"/>
        <w:spacing w:after="0" w:line="282" w:lineRule="auto"/>
        <w:rPr>
          <w:sz w:val="20"/>
          <w:szCs w:val="20"/>
          <w:color w:val="auto"/>
        </w:rPr>
      </w:pPr>
      <w:r>
        <w:rPr>
          <w:rFonts w:ascii="Arial" w:cs="Arial" w:eastAsia="Arial" w:hAnsi="Arial"/>
          <w:sz w:val="16"/>
          <w:szCs w:val="16"/>
          <w:color w:val="auto"/>
        </w:rPr>
        <w:t>We carried out an evaluation, under the supervision and with the participation of our management, including our President and Chief Executive Officer and our Executive Vice President and Chief Financial Officer, of the effectiveness of our disclosure controls and procedures pursuant to Rules 13a-15 or 15d-15 under the Exchange Act, as of the end of the period covered by this Annual Report on Form 10-K. Based upon that evaluation, our President and Chief Executive Officer and our Executive Vice President and Chief Financial Officer concluded that our disclosure controls and procedures were effective as of December 31, 2022 to provide reasonable assurance that information required to be disclosed by us in the reports that we file or submit under the Exchange Act is recorded, processed, summarized and reported within the time periods specified in the SEC's rules and forms, and is accumulated and communicated to management as appropriate to allow timely decisions regarding required disclosure.</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02" w:lineRule="exact"/>
        <w:rPr>
          <w:sz w:val="20"/>
          <w:szCs w:val="20"/>
          <w:color w:val="auto"/>
        </w:rPr>
      </w:pPr>
    </w:p>
    <w:p>
      <w:pPr>
        <w:ind w:right="60" w:firstLine="395"/>
        <w:spacing w:after="0" w:line="250" w:lineRule="auto"/>
        <w:rPr>
          <w:sz w:val="20"/>
          <w:szCs w:val="20"/>
          <w:color w:val="auto"/>
        </w:rPr>
      </w:pPr>
      <w:r>
        <w:rPr>
          <w:rFonts w:ascii="Arial" w:cs="Arial" w:eastAsia="Arial" w:hAnsi="Arial"/>
          <w:sz w:val="18"/>
          <w:szCs w:val="18"/>
          <w:color w:val="auto"/>
        </w:rPr>
        <w:t>Management's report on internal control over financial reporting appears on page 45 of this Annual Report on Form 10-K. In addition, PricewaterhouseCoopers LLP, the independent registered public accounting firm that audited the financial statements included in this Annual Report on Form 10-K, has also audited the effectiveness of internal control over financial reporting as of December 31, 2022, as stated in their report that appears on page 46 of this Annual Report on Form 10-K.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02" w:lineRule="exact"/>
        <w:rPr>
          <w:sz w:val="20"/>
          <w:szCs w:val="20"/>
          <w:color w:val="auto"/>
        </w:rPr>
      </w:pPr>
    </w:p>
    <w:p>
      <w:pPr>
        <w:ind w:right="700" w:firstLine="395"/>
        <w:spacing w:after="0" w:line="261" w:lineRule="auto"/>
        <w:rPr>
          <w:sz w:val="20"/>
          <w:szCs w:val="20"/>
          <w:color w:val="auto"/>
        </w:rPr>
      </w:pPr>
      <w:r>
        <w:rPr>
          <w:rFonts w:ascii="Arial" w:cs="Arial" w:eastAsia="Arial" w:hAnsi="Arial"/>
          <w:sz w:val="18"/>
          <w:szCs w:val="18"/>
          <w:color w:val="auto"/>
        </w:rPr>
        <w:t>There have been no changes in our internal control over financial reporting that occurred during the quarter ended December 31, 2022, that have materially affected, or are reasonably likely to materially affect, our internal control over financial reporting.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None.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9C. Disclosure Regarding Foreign Jurisdictions that Prevent Inspections</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6" w:name="page77"/>
    <w:bookmarkEnd w:id="7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III</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89" w:lineRule="exact"/>
        <w:rPr>
          <w:sz w:val="20"/>
          <w:szCs w:val="20"/>
          <w:color w:val="auto"/>
        </w:rPr>
      </w:pPr>
    </w:p>
    <w:p>
      <w:pPr>
        <w:ind w:right="60" w:firstLine="395"/>
        <w:spacing w:after="0" w:line="248" w:lineRule="auto"/>
        <w:rPr>
          <w:sz w:val="20"/>
          <w:szCs w:val="20"/>
          <w:color w:val="auto"/>
        </w:rPr>
      </w:pPr>
      <w:r>
        <w:rPr>
          <w:rFonts w:ascii="Arial" w:cs="Arial" w:eastAsia="Arial" w:hAnsi="Arial"/>
          <w:sz w:val="18"/>
          <w:szCs w:val="18"/>
          <w:color w:val="auto"/>
        </w:rPr>
        <w:t>We are managed and operated by the board of directors and executive officers of our general partner, Westlake Chemical Partners GP LLC, a wholly-owned subsidiary of Westlake. As a result of owning our general partner, Westlake has the right to appoint all members of the board of directors, including at least three directors meeting the independence standards established by the NYSE and the Exchange Act. Our unitholders are not entitled to elect our general partner or its directors or otherwise directly participate in our management or operations. Our general partner owes certain contractual duties to our unitholders as well as a fiduciary duty to its owner, Westlake.</w:t>
      </w:r>
    </w:p>
    <w:p>
      <w:pPr>
        <w:spacing w:after="0" w:line="141" w:lineRule="exact"/>
        <w:rPr>
          <w:sz w:val="20"/>
          <w:szCs w:val="20"/>
          <w:color w:val="auto"/>
        </w:rPr>
      </w:pPr>
    </w:p>
    <w:p>
      <w:pPr>
        <w:ind w:right="20" w:firstLine="395"/>
        <w:spacing w:after="0" w:line="291" w:lineRule="auto"/>
        <w:rPr>
          <w:sz w:val="20"/>
          <w:szCs w:val="20"/>
          <w:color w:val="auto"/>
        </w:rPr>
      </w:pPr>
      <w:r>
        <w:rPr>
          <w:rFonts w:ascii="Arial" w:cs="Arial" w:eastAsia="Arial" w:hAnsi="Arial"/>
          <w:sz w:val="16"/>
          <w:szCs w:val="16"/>
          <w:color w:val="auto"/>
        </w:rPr>
        <w:t>Our general partner has seven directors, three of whom are independent as defined under the standards established by the NYSE and the Exchange Act. The NYSE does not require a listed, publicly-traded partnership, such as ours, to have a majority of independent directors on the board of directors or to establish a compensation committee or a nominating committee. However, our general partner is required to have an audit committee of at least three members, and all its members are required to meet the independence and experience standards established by the NYSE and the Exchange Act.</w:t>
      </w:r>
    </w:p>
    <w:p>
      <w:pPr>
        <w:spacing w:after="0" w:line="108" w:lineRule="exact"/>
        <w:rPr>
          <w:sz w:val="20"/>
          <w:szCs w:val="20"/>
          <w:color w:val="auto"/>
        </w:rPr>
      </w:pPr>
    </w:p>
    <w:p>
      <w:pPr>
        <w:ind w:firstLine="395"/>
        <w:spacing w:after="0" w:line="291" w:lineRule="auto"/>
        <w:rPr>
          <w:sz w:val="20"/>
          <w:szCs w:val="20"/>
          <w:color w:val="auto"/>
        </w:rPr>
      </w:pPr>
      <w:r>
        <w:rPr>
          <w:rFonts w:ascii="Arial" w:cs="Arial" w:eastAsia="Arial" w:hAnsi="Arial"/>
          <w:sz w:val="16"/>
          <w:szCs w:val="16"/>
          <w:color w:val="auto"/>
        </w:rPr>
        <w:t>All of the executive officers of our general partner listed below allocate their time between managing our business and affairs and the business and affairs of Westlake. The amount of time that our executive officers devote to our business and the business of Westlake varies in any given period based on a variety of factors. We expect our general partner's executive officers to devote as much time as is necessary for the proper conduct of our business and affairs. However, their fiduciary duties to Westlake and other obligations may prevent them from devoting sufficient time to our business and affairs.</w:t>
      </w:r>
    </w:p>
    <w:p>
      <w:pPr>
        <w:spacing w:after="0" w:line="108" w:lineRule="exact"/>
        <w:rPr>
          <w:sz w:val="20"/>
          <w:szCs w:val="20"/>
          <w:color w:val="auto"/>
        </w:rPr>
      </w:pPr>
    </w:p>
    <w:p>
      <w:pPr>
        <w:ind w:firstLine="395"/>
        <w:spacing w:after="0" w:line="287" w:lineRule="auto"/>
        <w:rPr>
          <w:sz w:val="20"/>
          <w:szCs w:val="20"/>
          <w:color w:val="auto"/>
        </w:rPr>
      </w:pPr>
      <w:r>
        <w:rPr>
          <w:rFonts w:ascii="Arial" w:cs="Arial" w:eastAsia="Arial" w:hAnsi="Arial"/>
          <w:sz w:val="16"/>
          <w:szCs w:val="16"/>
          <w:color w:val="auto"/>
        </w:rPr>
        <w:t>We reimburse our general partner and its affiliates, including Westlake, for all expenses they incur and payments they make on our behalf. The Partnership Agreement does not set a limit on the amount of expenses for which our general partner and its affiliates may be reimbursed. For the year ended December 31, 2022, we paid approximately $223.6 million for such expenses. These expenses include those we and OpCo incur under the Services and Secondment Agreement and the Omnibus Agreement, including salary, bonus, incentive compensation and other amounts paid to persons who perform services for us or on our behalf and expenses allocated to our general partner by Westlake.</w:t>
      </w:r>
    </w:p>
    <w:p>
      <w:pPr>
        <w:spacing w:after="0" w:line="111" w:lineRule="exact"/>
        <w:rPr>
          <w:sz w:val="20"/>
          <w:szCs w:val="20"/>
          <w:color w:val="auto"/>
        </w:rPr>
      </w:pPr>
    </w:p>
    <w:p>
      <w:pPr>
        <w:ind w:right="580" w:firstLine="395"/>
        <w:spacing w:after="0" w:line="252" w:lineRule="auto"/>
        <w:rPr>
          <w:sz w:val="20"/>
          <w:szCs w:val="20"/>
          <w:color w:val="auto"/>
        </w:rPr>
      </w:pPr>
      <w:r>
        <w:rPr>
          <w:rFonts w:ascii="Arial" w:cs="Arial" w:eastAsia="Arial" w:hAnsi="Arial"/>
          <w:sz w:val="18"/>
          <w:szCs w:val="18"/>
          <w:color w:val="auto"/>
        </w:rPr>
        <w:t>In evaluating director candidates for our general partner, Westlake will assess whether a candidate possesses the integrity, judgment, knowledge, experience, skill and expertise that are likely to enhance the board's ability to manage and direct our affairs and business, including, when applicable, to enhance the ability of committees of the board to fulfill their duties.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 of Our General Partner</w:t>
      </w:r>
    </w:p>
    <w:p>
      <w:pPr>
        <w:spacing w:after="0" w:line="102" w:lineRule="exact"/>
        <w:rPr>
          <w:sz w:val="20"/>
          <w:szCs w:val="20"/>
          <w:color w:val="auto"/>
        </w:rPr>
      </w:pPr>
    </w:p>
    <w:p>
      <w:pPr>
        <w:ind w:right="60" w:firstLine="395"/>
        <w:spacing w:after="0" w:line="281" w:lineRule="auto"/>
        <w:rPr>
          <w:sz w:val="20"/>
          <w:szCs w:val="20"/>
          <w:color w:val="auto"/>
        </w:rPr>
      </w:pPr>
      <w:r>
        <w:rPr>
          <w:rFonts w:ascii="Arial" w:cs="Arial" w:eastAsia="Arial" w:hAnsi="Arial"/>
          <w:sz w:val="16"/>
          <w:szCs w:val="16"/>
          <w:color w:val="auto"/>
        </w:rPr>
        <w:t>The following table shows information for the executive officers and directors of our general partner as of February 28, 2023. Directors hold office until their successors have been elected or qualified or until the earlier of their death, resignation, removal or disqualification. Executive officers serve at the discretion of the board. The President, Chief Executive Officer and Director and the Chairman of the Board of Directors are brothers. Otherwise, there are no familial relationships among any of our general partner's directors or executive officers. Some of the directors and most of the executive officers of our general partner also serve as executive officers of Westlake. The directors and executive officers of our general partner have a fiduciary duty to manage our general partner in a manner beneficial to Westlake. Please read "Item 1A. Risk Factors—Risks Relating to Our Partnership Structure." Each director and executive officer of our general partner will be fully indemnified by us for actions associated with being a director or executive officer to the fullest extent permitted under Delaware law pursuant to the Partnership Agreement.</w:t>
      </w: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77" w:name="page78"/>
    <w:bookmarkEnd w:id="7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4"/>
                <w:szCs w:val="14"/>
                <w:color w:val="auto"/>
              </w:rPr>
            </w:pPr>
          </w:p>
        </w:tc>
        <w:tc>
          <w:tcPr>
            <w:tcW w:w="1700" w:type="dxa"/>
            <w:vAlign w:val="bottom"/>
            <w:gridSpan w:val="2"/>
          </w:tcPr>
          <w:p>
            <w:pPr>
              <w:ind w:left="100"/>
              <w:spacing w:after="0"/>
              <w:rPr>
                <w:sz w:val="20"/>
                <w:szCs w:val="20"/>
                <w:color w:val="auto"/>
              </w:rPr>
            </w:pPr>
            <w:r>
              <w:rPr>
                <w:rFonts w:ascii="Arial" w:cs="Arial" w:eastAsia="Arial" w:hAnsi="Arial"/>
                <w:sz w:val="14"/>
                <w:szCs w:val="14"/>
                <w:b w:val="1"/>
                <w:bCs w:val="1"/>
                <w:color w:val="auto"/>
              </w:rPr>
              <w:t>Age (as of February 28,</w:t>
            </w:r>
          </w:p>
        </w:tc>
        <w:tc>
          <w:tcPr>
            <w:tcW w:w="5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Position With Our General Partner</w:t>
            </w:r>
          </w:p>
        </w:tc>
        <w:tc>
          <w:tcPr>
            <w:tcW w:w="0" w:type="dxa"/>
            <w:vAlign w:val="bottom"/>
          </w:tcPr>
          <w:p>
            <w:pPr>
              <w:spacing w:after="0"/>
              <w:rPr>
                <w:sz w:val="1"/>
                <w:szCs w:val="1"/>
                <w:color w:val="auto"/>
              </w:rPr>
            </w:pPr>
          </w:p>
        </w:tc>
      </w:tr>
      <w:tr>
        <w:trPr>
          <w:trHeight w:val="191"/>
        </w:trPr>
        <w:tc>
          <w:tcPr>
            <w:tcW w:w="3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2023)</w:t>
            </w:r>
          </w:p>
        </w:tc>
        <w:tc>
          <w:tcPr>
            <w:tcW w:w="100" w:type="dxa"/>
            <w:vAlign w:val="bottom"/>
            <w:tcBorders>
              <w:bottom w:val="single" w:sz="8" w:color="CCEEFF"/>
            </w:tcBorders>
          </w:tcPr>
          <w:p>
            <w:pPr>
              <w:spacing w:after="0"/>
              <w:rPr>
                <w:sz w:val="16"/>
                <w:szCs w:val="16"/>
                <w:color w:val="auto"/>
              </w:rPr>
            </w:pPr>
          </w:p>
        </w:tc>
        <w:tc>
          <w:tcPr>
            <w:tcW w:w="56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Albert Y. Chao</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73</w:t>
            </w:r>
          </w:p>
        </w:tc>
        <w:tc>
          <w:tcPr>
            <w:tcW w:w="100" w:type="dxa"/>
            <w:vAlign w:val="bottom"/>
            <w:shd w:val="clear" w:color="auto" w:fill="CCEEFF"/>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President, Chief Executive Officer and Director</w:t>
            </w:r>
          </w:p>
        </w:tc>
        <w:tc>
          <w:tcPr>
            <w:tcW w:w="0" w:type="dxa"/>
            <w:vAlign w:val="bottom"/>
          </w:tcPr>
          <w:p>
            <w:pPr>
              <w:spacing w:after="0"/>
              <w:rPr>
                <w:sz w:val="1"/>
                <w:szCs w:val="1"/>
                <w:color w:val="auto"/>
              </w:rPr>
            </w:pPr>
          </w:p>
        </w:tc>
      </w:tr>
      <w:tr>
        <w:trPr>
          <w:trHeight w:val="207"/>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James Y. Chao</w:t>
            </w:r>
          </w:p>
        </w:tc>
        <w:tc>
          <w:tcPr>
            <w:tcW w:w="1600" w:type="dxa"/>
            <w:vAlign w:val="bottom"/>
          </w:tcPr>
          <w:p>
            <w:pPr>
              <w:jc w:val="center"/>
              <w:spacing w:after="0"/>
              <w:rPr>
                <w:sz w:val="20"/>
                <w:szCs w:val="20"/>
                <w:color w:val="auto"/>
              </w:rPr>
            </w:pPr>
            <w:r>
              <w:rPr>
                <w:rFonts w:ascii="Arial" w:cs="Arial" w:eastAsia="Arial" w:hAnsi="Arial"/>
                <w:sz w:val="16"/>
                <w:szCs w:val="16"/>
                <w:color w:val="auto"/>
                <w:w w:val="89"/>
              </w:rPr>
              <w:t>75</w:t>
            </w:r>
          </w:p>
        </w:tc>
        <w:tc>
          <w:tcPr>
            <w:tcW w:w="10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6"/>
                <w:szCs w:val="16"/>
                <w:color w:val="auto"/>
              </w:rPr>
              <w:t>Chairman of the Board of Directors</w:t>
            </w:r>
          </w:p>
        </w:tc>
        <w:tc>
          <w:tcPr>
            <w:tcW w:w="0" w:type="dxa"/>
            <w:vAlign w:val="bottom"/>
          </w:tcPr>
          <w:p>
            <w:pPr>
              <w:spacing w:after="0"/>
              <w:rPr>
                <w:sz w:val="1"/>
                <w:szCs w:val="1"/>
                <w:color w:val="auto"/>
              </w:rPr>
            </w:pPr>
          </w:p>
        </w:tc>
      </w:tr>
      <w:tr>
        <w:trPr>
          <w:trHeight w:val="214"/>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 Steven Bender</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66</w:t>
            </w:r>
          </w:p>
        </w:tc>
        <w:tc>
          <w:tcPr>
            <w:tcW w:w="100" w:type="dxa"/>
            <w:vAlign w:val="bottom"/>
            <w:shd w:val="clear" w:color="auto" w:fill="CCEEFF"/>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Executive Vice President, Chief Financial Officer and Director</w:t>
            </w:r>
          </w:p>
        </w:tc>
        <w:tc>
          <w:tcPr>
            <w:tcW w:w="0" w:type="dxa"/>
            <w:vAlign w:val="bottom"/>
          </w:tcPr>
          <w:p>
            <w:pPr>
              <w:spacing w:after="0"/>
              <w:rPr>
                <w:sz w:val="1"/>
                <w:szCs w:val="1"/>
                <w:color w:val="auto"/>
              </w:rPr>
            </w:pPr>
          </w:p>
        </w:tc>
      </w:tr>
      <w:tr>
        <w:trPr>
          <w:trHeight w:val="161"/>
        </w:trPr>
        <w:tc>
          <w:tcPr>
            <w:tcW w:w="3860" w:type="dxa"/>
            <w:vAlign w:val="bottom"/>
            <w:gridSpan w:val="2"/>
            <w:vMerge w:val="restart"/>
          </w:tcPr>
          <w:p>
            <w:pPr>
              <w:ind w:left="20"/>
              <w:spacing w:after="0"/>
              <w:rPr>
                <w:sz w:val="20"/>
                <w:szCs w:val="20"/>
                <w:color w:val="auto"/>
              </w:rPr>
            </w:pPr>
            <w:r>
              <w:rPr>
                <w:rFonts w:ascii="Arial" w:cs="Arial" w:eastAsia="Arial" w:hAnsi="Arial"/>
                <w:sz w:val="16"/>
                <w:szCs w:val="16"/>
                <w:color w:val="auto"/>
              </w:rPr>
              <w:t>L. Benjamin Ederington</w:t>
            </w:r>
          </w:p>
        </w:tc>
        <w:tc>
          <w:tcPr>
            <w:tcW w:w="1600" w:type="dxa"/>
            <w:vAlign w:val="bottom"/>
            <w:vMerge w:val="restart"/>
          </w:tcPr>
          <w:p>
            <w:pPr>
              <w:jc w:val="center"/>
              <w:spacing w:after="0"/>
              <w:rPr>
                <w:sz w:val="20"/>
                <w:szCs w:val="20"/>
                <w:color w:val="auto"/>
              </w:rPr>
            </w:pPr>
            <w:r>
              <w:rPr>
                <w:rFonts w:ascii="Arial" w:cs="Arial" w:eastAsia="Arial" w:hAnsi="Arial"/>
                <w:sz w:val="16"/>
                <w:szCs w:val="16"/>
                <w:color w:val="auto"/>
                <w:w w:val="89"/>
              </w:rPr>
              <w:t>52</w:t>
            </w:r>
          </w:p>
        </w:tc>
        <w:tc>
          <w:tcPr>
            <w:tcW w:w="100" w:type="dxa"/>
            <w:vAlign w:val="bottom"/>
          </w:tcPr>
          <w:p>
            <w:pPr>
              <w:spacing w:after="0"/>
              <w:rPr>
                <w:sz w:val="14"/>
                <w:szCs w:val="14"/>
                <w:color w:val="auto"/>
              </w:rPr>
            </w:pPr>
          </w:p>
        </w:tc>
        <w:tc>
          <w:tcPr>
            <w:tcW w:w="5680" w:type="dxa"/>
            <w:vAlign w:val="bottom"/>
          </w:tcPr>
          <w:p>
            <w:pPr>
              <w:ind w:left="20"/>
              <w:spacing w:after="0" w:line="161" w:lineRule="exact"/>
              <w:rPr>
                <w:sz w:val="20"/>
                <w:szCs w:val="20"/>
                <w:color w:val="auto"/>
              </w:rPr>
            </w:pPr>
            <w:r>
              <w:rPr>
                <w:rFonts w:ascii="Arial" w:cs="Arial" w:eastAsia="Arial" w:hAnsi="Arial"/>
                <w:sz w:val="16"/>
                <w:szCs w:val="16"/>
                <w:color w:val="auto"/>
                <w:w w:val="95"/>
              </w:rPr>
              <w:t>Executive Vice President, General Counsel, Chief Administrative Officer, Corporate</w:t>
            </w:r>
          </w:p>
        </w:tc>
        <w:tc>
          <w:tcPr>
            <w:tcW w:w="0" w:type="dxa"/>
            <w:vAlign w:val="bottom"/>
          </w:tcPr>
          <w:p>
            <w:pPr>
              <w:spacing w:after="0"/>
              <w:rPr>
                <w:sz w:val="1"/>
                <w:szCs w:val="1"/>
                <w:color w:val="auto"/>
              </w:rPr>
            </w:pPr>
          </w:p>
        </w:tc>
      </w:tr>
      <w:tr>
        <w:trPr>
          <w:trHeight w:val="204"/>
        </w:trPr>
        <w:tc>
          <w:tcPr>
            <w:tcW w:w="3860" w:type="dxa"/>
            <w:vAlign w:val="bottom"/>
            <w:gridSpan w:val="2"/>
            <w:vMerge w:val="continue"/>
          </w:tcPr>
          <w:p>
            <w:pPr>
              <w:spacing w:after="0"/>
              <w:rPr>
                <w:sz w:val="17"/>
                <w:szCs w:val="17"/>
                <w:color w:val="auto"/>
              </w:rPr>
            </w:pPr>
          </w:p>
        </w:tc>
        <w:tc>
          <w:tcPr>
            <w:tcW w:w="16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5680" w:type="dxa"/>
            <w:vAlign w:val="bottom"/>
          </w:tcPr>
          <w:p>
            <w:pPr>
              <w:ind w:left="20"/>
              <w:spacing w:after="0"/>
              <w:rPr>
                <w:sz w:val="20"/>
                <w:szCs w:val="20"/>
                <w:color w:val="auto"/>
              </w:rPr>
            </w:pPr>
            <w:r>
              <w:rPr>
                <w:rFonts w:ascii="Arial" w:cs="Arial" w:eastAsia="Arial" w:hAnsi="Arial"/>
                <w:sz w:val="16"/>
                <w:szCs w:val="16"/>
                <w:color w:val="auto"/>
              </w:rPr>
              <w:t>Secretary and Director</w:t>
            </w:r>
          </w:p>
        </w:tc>
        <w:tc>
          <w:tcPr>
            <w:tcW w:w="0" w:type="dxa"/>
            <w:vAlign w:val="bottom"/>
          </w:tcPr>
          <w:p>
            <w:pPr>
              <w:spacing w:after="0"/>
              <w:rPr>
                <w:sz w:val="1"/>
                <w:szCs w:val="1"/>
                <w:color w:val="auto"/>
              </w:rPr>
            </w:pPr>
          </w:p>
        </w:tc>
      </w:tr>
      <w:tr>
        <w:trPr>
          <w:trHeight w:val="214"/>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 Stephen Finley</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72</w:t>
            </w:r>
          </w:p>
        </w:tc>
        <w:tc>
          <w:tcPr>
            <w:tcW w:w="100" w:type="dxa"/>
            <w:vAlign w:val="bottom"/>
            <w:shd w:val="clear" w:color="auto" w:fill="CCEEFF"/>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07"/>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Andrew F. Kenner</w:t>
            </w:r>
          </w:p>
        </w:tc>
        <w:tc>
          <w:tcPr>
            <w:tcW w:w="1600" w:type="dxa"/>
            <w:vAlign w:val="bottom"/>
          </w:tcPr>
          <w:p>
            <w:pPr>
              <w:jc w:val="center"/>
              <w:spacing w:after="0"/>
              <w:rPr>
                <w:sz w:val="20"/>
                <w:szCs w:val="20"/>
                <w:color w:val="auto"/>
              </w:rPr>
            </w:pPr>
            <w:r>
              <w:rPr>
                <w:rFonts w:ascii="Arial" w:cs="Arial" w:eastAsia="Arial" w:hAnsi="Arial"/>
                <w:sz w:val="16"/>
                <w:szCs w:val="16"/>
                <w:color w:val="auto"/>
                <w:w w:val="89"/>
              </w:rPr>
              <w:t>58</w:t>
            </w:r>
          </w:p>
        </w:tc>
        <w:tc>
          <w:tcPr>
            <w:tcW w:w="10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6"/>
                <w:szCs w:val="16"/>
                <w:color w:val="auto"/>
              </w:rPr>
              <w:t>Senior Vice President, Olefin Materials &amp; Corporate Procurement</w:t>
            </w:r>
          </w:p>
        </w:tc>
        <w:tc>
          <w:tcPr>
            <w:tcW w:w="0" w:type="dxa"/>
            <w:vAlign w:val="bottom"/>
          </w:tcPr>
          <w:p>
            <w:pPr>
              <w:spacing w:after="0"/>
              <w:rPr>
                <w:sz w:val="1"/>
                <w:szCs w:val="1"/>
                <w:color w:val="auto"/>
              </w:rPr>
            </w:pPr>
          </w:p>
        </w:tc>
      </w:tr>
      <w:tr>
        <w:trPr>
          <w:trHeight w:val="214"/>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Angela A. Minas</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58</w:t>
            </w:r>
          </w:p>
        </w:tc>
        <w:tc>
          <w:tcPr>
            <w:tcW w:w="100" w:type="dxa"/>
            <w:vAlign w:val="bottom"/>
            <w:shd w:val="clear" w:color="auto" w:fill="CCEEFF"/>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07"/>
        </w:trPr>
        <w:tc>
          <w:tcPr>
            <w:tcW w:w="3860" w:type="dxa"/>
            <w:vAlign w:val="bottom"/>
            <w:gridSpan w:val="2"/>
          </w:tcPr>
          <w:p>
            <w:pPr>
              <w:ind w:left="20"/>
              <w:spacing w:after="0"/>
              <w:rPr>
                <w:sz w:val="20"/>
                <w:szCs w:val="20"/>
                <w:color w:val="auto"/>
              </w:rPr>
            </w:pPr>
            <w:r>
              <w:rPr>
                <w:rFonts w:ascii="Arial" w:cs="Arial" w:eastAsia="Arial" w:hAnsi="Arial"/>
                <w:sz w:val="16"/>
                <w:szCs w:val="16"/>
                <w:color w:val="auto"/>
              </w:rPr>
              <w:t>Randy G. Woelfel</w:t>
            </w:r>
          </w:p>
        </w:tc>
        <w:tc>
          <w:tcPr>
            <w:tcW w:w="1600" w:type="dxa"/>
            <w:vAlign w:val="bottom"/>
          </w:tcPr>
          <w:p>
            <w:pPr>
              <w:jc w:val="center"/>
              <w:spacing w:after="0"/>
              <w:rPr>
                <w:sz w:val="20"/>
                <w:szCs w:val="20"/>
                <w:color w:val="auto"/>
              </w:rPr>
            </w:pPr>
            <w:r>
              <w:rPr>
                <w:rFonts w:ascii="Arial" w:cs="Arial" w:eastAsia="Arial" w:hAnsi="Arial"/>
                <w:sz w:val="16"/>
                <w:szCs w:val="16"/>
                <w:color w:val="auto"/>
                <w:w w:val="89"/>
              </w:rPr>
              <w:t>67</w:t>
            </w:r>
          </w:p>
        </w:tc>
        <w:tc>
          <w:tcPr>
            <w:tcW w:w="100" w:type="dxa"/>
            <w:vAlign w:val="bottom"/>
          </w:tcPr>
          <w:p>
            <w:pPr>
              <w:spacing w:after="0"/>
              <w:rPr>
                <w:sz w:val="18"/>
                <w:szCs w:val="18"/>
                <w:color w:val="auto"/>
              </w:rPr>
            </w:pPr>
          </w:p>
        </w:tc>
        <w:tc>
          <w:tcPr>
            <w:tcW w:w="5680" w:type="dxa"/>
            <w:vAlign w:val="bottom"/>
          </w:tcPr>
          <w:p>
            <w:pPr>
              <w:ind w:left="20"/>
              <w:spacing w:after="0"/>
              <w:rPr>
                <w:sz w:val="20"/>
                <w:szCs w:val="20"/>
                <w:color w:val="auto"/>
              </w:rPr>
            </w:pPr>
            <w:r>
              <w:rPr>
                <w:rFonts w:ascii="Arial" w:cs="Arial" w:eastAsia="Arial" w:hAnsi="Arial"/>
                <w:sz w:val="16"/>
                <w:szCs w:val="16"/>
                <w:color w:val="auto"/>
              </w:rPr>
              <w:t>Director</w:t>
            </w:r>
          </w:p>
        </w:tc>
        <w:tc>
          <w:tcPr>
            <w:tcW w:w="0" w:type="dxa"/>
            <w:vAlign w:val="bottom"/>
          </w:tcPr>
          <w:p>
            <w:pPr>
              <w:spacing w:after="0"/>
              <w:rPr>
                <w:sz w:val="1"/>
                <w:szCs w:val="1"/>
                <w:color w:val="auto"/>
              </w:rPr>
            </w:pPr>
          </w:p>
        </w:tc>
      </w:tr>
      <w:tr>
        <w:trPr>
          <w:trHeight w:val="214"/>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Johnathan S. Zoeller</w:t>
            </w:r>
          </w:p>
        </w:tc>
        <w:tc>
          <w:tcPr>
            <w:tcW w:w="16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47</w:t>
            </w:r>
          </w:p>
        </w:tc>
        <w:tc>
          <w:tcPr>
            <w:tcW w:w="100" w:type="dxa"/>
            <w:vAlign w:val="bottom"/>
            <w:shd w:val="clear" w:color="auto" w:fill="CCEEFF"/>
          </w:tcPr>
          <w:p>
            <w:pPr>
              <w:spacing w:after="0"/>
              <w:rPr>
                <w:sz w:val="18"/>
                <w:szCs w:val="18"/>
                <w:color w:val="auto"/>
              </w:rPr>
            </w:pPr>
          </w:p>
        </w:tc>
        <w:tc>
          <w:tcPr>
            <w:tcW w:w="5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Vice President and Chief Accounting Officer</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right="40" w:firstLine="395"/>
        <w:spacing w:after="0" w:line="304" w:lineRule="auto"/>
        <w:rPr>
          <w:sz w:val="20"/>
          <w:szCs w:val="20"/>
          <w:color w:val="auto"/>
        </w:rPr>
      </w:pPr>
      <w:r>
        <w:rPr>
          <w:rFonts w:ascii="Arial" w:cs="Arial" w:eastAsia="Arial" w:hAnsi="Arial"/>
          <w:sz w:val="15"/>
          <w:szCs w:val="15"/>
          <w:b w:val="1"/>
          <w:bCs w:val="1"/>
          <w:i w:val="1"/>
          <w:iCs w:val="1"/>
          <w:color w:val="auto"/>
        </w:rPr>
        <w:t>Albert Y. Chao</w:t>
      </w:r>
      <w:r>
        <w:rPr>
          <w:rFonts w:ascii="Arial" w:cs="Arial" w:eastAsia="Arial" w:hAnsi="Arial"/>
          <w:sz w:val="15"/>
          <w:szCs w:val="15"/>
          <w:color w:val="auto"/>
        </w:rPr>
        <w:t>. Mr. Chao has been our general partner's President and Chief Executive Officer and a director since our general partner's formation in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March 2014. Additionally, Mr. Chao has been Westlake's President since May 1996 and a director since June 2003. Mr. Chao became Westlake's Chief Executive Officer in July 2004. Mr. Chao has over 40 years of global experience in the chemical industry. In 1985, Mr. Chao assisted his father, T.T. Chao, and his brother, James Chao, in founding Westlake, where he served as Executive Vice President until he succeeded James Chao as President. He has held positions in the Controller's Group of Mobil Oil Corporation, in the Technical Department of Hercules Incorporated, in the Plastics Group of Gulf Oil Corporation and has served as Assistant to the Chairman of China General Plastics Group and Deputy Managing Director of a plastics fabrication business in Singapore. Mr. Chao is a trustee emeritus of Rice University. Mr. Chao received a bachelor's degree from Brandeis University and an M.B.A. from Columbia University.</w:t>
      </w:r>
    </w:p>
    <w:p>
      <w:pPr>
        <w:spacing w:after="0" w:line="102" w:lineRule="exact"/>
        <w:rPr>
          <w:sz w:val="20"/>
          <w:szCs w:val="20"/>
          <w:color w:val="auto"/>
        </w:rPr>
      </w:pPr>
    </w:p>
    <w:p>
      <w:pPr>
        <w:ind w:right="120" w:firstLine="395"/>
        <w:spacing w:after="0" w:line="282" w:lineRule="auto"/>
        <w:rPr>
          <w:sz w:val="20"/>
          <w:szCs w:val="20"/>
          <w:color w:val="auto"/>
        </w:rPr>
      </w:pPr>
      <w:r>
        <w:rPr>
          <w:rFonts w:ascii="Arial" w:cs="Arial" w:eastAsia="Arial" w:hAnsi="Arial"/>
          <w:sz w:val="16"/>
          <w:szCs w:val="16"/>
          <w:b w:val="1"/>
          <w:bCs w:val="1"/>
          <w:i w:val="1"/>
          <w:iCs w:val="1"/>
          <w:color w:val="auto"/>
        </w:rPr>
        <w:t>James Y. Chao</w:t>
      </w:r>
      <w:r>
        <w:rPr>
          <w:rFonts w:ascii="Arial" w:cs="Arial" w:eastAsia="Arial" w:hAnsi="Arial"/>
          <w:sz w:val="16"/>
          <w:szCs w:val="16"/>
          <w:color w:val="auto"/>
        </w:rPr>
        <w:t>. Mr. Chao has been a director since our general partner's formation in March 2014 and Chairman of the Board since July 2014. Mr. Chao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has also been Westlake's Chairman of the Board since July 2004 and became a director in June 2003. From May 1996 to July 2004, he served as Westlake's Vice Chairman. Mr. Chao has over 45 years of global experience in the chemical industry. From June 2003 until November 2010, Mr. Chao was the executive chairman of Titan Chemicals Corp. Bhd. He has served as a Special Assistant to the Chairman of China General Plastics Group and worked in various financial, managerial and technical positions at Mattel Incorporated, Developmental Bank of Singapore, Singapore Gulf Plastics Pte. Ltd. and Gulf Oil Corporation. Mr. Chao, along with his brother, Albert Chao, assisted their father, T.T. Chao, in founding Westlake. Mr. Chao received his B.S. degree from the Massachusetts Institute of Technology and an M.B.A. from Columbia University.</w:t>
      </w:r>
    </w:p>
    <w:p>
      <w:pPr>
        <w:spacing w:after="0" w:line="118" w:lineRule="exact"/>
        <w:rPr>
          <w:sz w:val="20"/>
          <w:szCs w:val="20"/>
          <w:color w:val="auto"/>
        </w:rPr>
      </w:pPr>
    </w:p>
    <w:p>
      <w:pPr>
        <w:ind w:right="80" w:firstLine="395"/>
        <w:spacing w:after="0" w:line="279" w:lineRule="auto"/>
        <w:rPr>
          <w:sz w:val="20"/>
          <w:szCs w:val="20"/>
          <w:color w:val="auto"/>
        </w:rPr>
      </w:pPr>
      <w:r>
        <w:rPr>
          <w:rFonts w:ascii="Arial" w:cs="Arial" w:eastAsia="Arial" w:hAnsi="Arial"/>
          <w:sz w:val="16"/>
          <w:szCs w:val="16"/>
          <w:b w:val="1"/>
          <w:bCs w:val="1"/>
          <w:i w:val="1"/>
          <w:iCs w:val="1"/>
          <w:color w:val="auto"/>
        </w:rPr>
        <w:t>M. Steven Bender</w:t>
      </w:r>
      <w:r>
        <w:rPr>
          <w:rFonts w:ascii="Arial" w:cs="Arial" w:eastAsia="Arial" w:hAnsi="Arial"/>
          <w:sz w:val="16"/>
          <w:szCs w:val="16"/>
          <w:color w:val="auto"/>
        </w:rPr>
        <w:t>. Mr. Bender has been our general partner's Executive Vice President and Chief Financial Officer since February 2021 and a director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since our general partner's formation in March 2014. Mr. Bender served as our general partner's Senior Vice President and Chief Financial Officer from March 2014 to February 2021 and as Treasurer from April 2015 to February 2019. Mr. Bender has also been Westlake's Executive Vice President and Chief Financial Officer since July 2017. From February 2008 to July 2017, Mr. Bender served as Westlake's Senior Vice President and Chief Financial Officer. In addition, Mr. Bender served as Westlake's Treasurer from July 2011 to April 2017, a position he also held from February 2008 until December 2010. From February 2007 to February 2008, Mr. Bender served as Westlake's Vice President, Chief Financial Officer and Treasurer and, from June 2005 to February 2007, he was its Vice President and Treasurer. Prior to joining Westlake, from June 2002 until June 2005, Mr. Bender served as Vice President and Treasurer of KBR, Inc. and from 1996 to 2002 he held the position of Assistant Treasurer for Halliburton Company. Prior to that, he held various financial positions within that company. Additionally, he was employed by Texas Eastern Corporation for over a decade in a variety of increasingly responsible audit, finance and treasury positions. Mr. Bender received a Bachelor of Business Administration from Texas A&amp;M University and an M.B.A. from Southern Methodist University. Mr. Bender is also a Certified Public Accountant.</w:t>
      </w: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8" w:name="page79"/>
    <w:bookmarkEnd w:id="7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right="60" w:firstLine="395"/>
        <w:spacing w:after="0" w:line="279" w:lineRule="auto"/>
        <w:rPr>
          <w:sz w:val="20"/>
          <w:szCs w:val="20"/>
          <w:color w:val="auto"/>
        </w:rPr>
      </w:pPr>
      <w:r>
        <w:rPr>
          <w:rFonts w:ascii="Arial" w:cs="Arial" w:eastAsia="Arial" w:hAnsi="Arial"/>
          <w:sz w:val="16"/>
          <w:szCs w:val="16"/>
          <w:b w:val="1"/>
          <w:bCs w:val="1"/>
          <w:i w:val="1"/>
          <w:iCs w:val="1"/>
          <w:color w:val="auto"/>
        </w:rPr>
        <w:t>L. Benjamin Ederington</w:t>
      </w:r>
      <w:r>
        <w:rPr>
          <w:rFonts w:ascii="Arial" w:cs="Arial" w:eastAsia="Arial" w:hAnsi="Arial"/>
          <w:sz w:val="16"/>
          <w:szCs w:val="16"/>
          <w:color w:val="auto"/>
        </w:rPr>
        <w:t>. Mr. Ederington has been our general partner's Executive Vice President, General Counsel, Chief Administrative Officer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Corporate Secretary since March 2022 and a director since our general partner's formation in March 2014. Mr. Ederington served as our general partner's Senior Vice President, General Counsel, Chief Administrative Officer and Corporate Secretary from February 2021 to March 2022 and as Vice President, General Counsel and Secretary from March 2014 to February 2021. Mr. Ederington has also been Westlake's Executive Vice President, General Counsel, Chief Administrative Officer and Corporate Secretary since March 2022. From July 2017 to March 2022, Mr. Ederington served as Westlake's Senior Vice President, General Counsel, Chief Administrative Officer and Corporate Secretary; from December 2015 to July 2017, he was Westlake's Vice President, General Counsel, Chief Administrative Officer and Corporate Secretary and, from October 2013 to December 2015, he was its Vice President, General Counsel and Corporate Secretary. Prior to joining Westlake, he held a variety of senior legal positions at LyondellBasell Industries, N.V. and its predecessor companies, LyondellBasell Industries AF SCA and Lyondell Chemical Company, including most recently as Associate General Counsel, Commercial &amp; Strategic Transactions. He began his legal career more than 25 years ago at the law firm of Steptoe &amp; Johnson, LLP. Mr. Ederington holds a B.A. from Yale University and received his J.D. from Harvard University.</w:t>
      </w:r>
    </w:p>
    <w:p>
      <w:pPr>
        <w:spacing w:after="0" w:line="121" w:lineRule="exact"/>
        <w:rPr>
          <w:sz w:val="20"/>
          <w:szCs w:val="20"/>
          <w:color w:val="auto"/>
        </w:rPr>
      </w:pPr>
    </w:p>
    <w:p>
      <w:pPr>
        <w:ind w:right="100" w:firstLine="395"/>
        <w:spacing w:after="0" w:line="281" w:lineRule="auto"/>
        <w:rPr>
          <w:sz w:val="20"/>
          <w:szCs w:val="20"/>
          <w:color w:val="auto"/>
        </w:rPr>
      </w:pPr>
      <w:r>
        <w:rPr>
          <w:rFonts w:ascii="Arial" w:cs="Arial" w:eastAsia="Arial" w:hAnsi="Arial"/>
          <w:sz w:val="16"/>
          <w:szCs w:val="16"/>
          <w:b w:val="1"/>
          <w:bCs w:val="1"/>
          <w:i w:val="1"/>
          <w:iCs w:val="1"/>
          <w:color w:val="auto"/>
        </w:rPr>
        <w:t xml:space="preserve">G. Stephen Finley. </w:t>
      </w:r>
      <w:r>
        <w:rPr>
          <w:rFonts w:ascii="Arial" w:cs="Arial" w:eastAsia="Arial" w:hAnsi="Arial"/>
          <w:sz w:val="16"/>
          <w:szCs w:val="16"/>
          <w:color w:val="auto"/>
        </w:rPr>
        <w:t>Mr. Finley has been a director of our general partner since March 2020 and serves on the audit and conflicts committees. Mr. Finley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was the Senior Vice President, Finance &amp; Administration and Chief Financial Officer of Baker Hughes Incorporated from April 1999 until his retirement in April 2006. Prior to that, from February 1982 to April 1999, Mr. Finley held various financial and administrative management positions with Baker Hughes. From June 2007 to May 2022, Mr. Finley served on the Board of Directors of Newpark Resources, Inc. and, from November 2006 to April 2018, he served on the Board of Directors of Archrock GP, LLC (previously known as Exterran GP, LLC), the general partner of Archrock Partners, L.P. He also served on the Board of Directors of Columbia Pipeline Partners LP from March 2015 to February 2017, Microseismic, Inc. from April 2012 to December 2014, Total Safety U.S., Inc. from December 2006 until November 2011, and Ocean Rig ASA from June 2006 to June 2008. Mr. Finley received a Bachelor of Science degree in Accounting from Indiana State University.</w:t>
      </w:r>
    </w:p>
    <w:p>
      <w:pPr>
        <w:spacing w:after="0" w:line="119" w:lineRule="exact"/>
        <w:rPr>
          <w:sz w:val="20"/>
          <w:szCs w:val="20"/>
          <w:color w:val="auto"/>
        </w:rPr>
      </w:pPr>
    </w:p>
    <w:p>
      <w:pPr>
        <w:ind w:right="120" w:firstLine="395"/>
        <w:spacing w:after="0" w:line="282" w:lineRule="auto"/>
        <w:rPr>
          <w:sz w:val="20"/>
          <w:szCs w:val="20"/>
          <w:color w:val="auto"/>
        </w:rPr>
      </w:pPr>
      <w:r>
        <w:rPr>
          <w:rFonts w:ascii="Arial" w:cs="Arial" w:eastAsia="Arial" w:hAnsi="Arial"/>
          <w:sz w:val="16"/>
          <w:szCs w:val="16"/>
          <w:b w:val="1"/>
          <w:bCs w:val="1"/>
          <w:i w:val="1"/>
          <w:iCs w:val="1"/>
          <w:color w:val="auto"/>
        </w:rPr>
        <w:t xml:space="preserve">Andrew F. Kenner. </w:t>
      </w:r>
      <w:r>
        <w:rPr>
          <w:rFonts w:ascii="Arial" w:cs="Arial" w:eastAsia="Arial" w:hAnsi="Arial"/>
          <w:sz w:val="16"/>
          <w:szCs w:val="16"/>
          <w:color w:val="auto"/>
        </w:rPr>
        <w:t>Mr. Kenner has been our general partner's Senior Vice President, Olefin Materials &amp; Corporate Procurement since March 2022. Mr.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Kenner has also been Westlake's Senior Vice President, Olefin Materials &amp; Corporate Procurement since March 2022. From January 2021 to March 2022, Mr. Kenner served as Westlake's Senior Vice President, Operations; from July 2017 to December 2020, he was its Senior Vice President, Chemical Manufacturing and, from July 2008 to July 2017, he was its Vice President, Manufacturing. Mr. Kenner joined Westlake after a 19-year career at Valero Energy Corporation where he served as Vice President and General Manager of Valero's Delaware City Refinery and its Houston Refinery, as well as other leadership positions in Valero's refining system. Mr. Kenner received a B.S. in Aerospace Engineering from Texas A&amp;M University and a M.S. in Chemical Engineering from the University of Texas at Austin.</w:t>
      </w:r>
    </w:p>
    <w:p>
      <w:pPr>
        <w:spacing w:after="0" w:line="118" w:lineRule="exact"/>
        <w:rPr>
          <w:sz w:val="20"/>
          <w:szCs w:val="20"/>
          <w:color w:val="auto"/>
        </w:rPr>
      </w:pPr>
    </w:p>
    <w:p>
      <w:pPr>
        <w:ind w:firstLine="395"/>
        <w:spacing w:after="0" w:line="279" w:lineRule="auto"/>
        <w:rPr>
          <w:sz w:val="20"/>
          <w:szCs w:val="20"/>
          <w:color w:val="auto"/>
        </w:rPr>
      </w:pPr>
      <w:r>
        <w:rPr>
          <w:rFonts w:ascii="Arial" w:cs="Arial" w:eastAsia="Arial" w:hAnsi="Arial"/>
          <w:sz w:val="16"/>
          <w:szCs w:val="16"/>
          <w:b w:val="1"/>
          <w:bCs w:val="1"/>
          <w:i w:val="1"/>
          <w:iCs w:val="1"/>
          <w:color w:val="auto"/>
        </w:rPr>
        <w:t xml:space="preserve">Angela A. Minas. </w:t>
      </w:r>
      <w:r>
        <w:rPr>
          <w:rFonts w:ascii="Arial" w:cs="Arial" w:eastAsia="Arial" w:hAnsi="Arial"/>
          <w:sz w:val="16"/>
          <w:szCs w:val="16"/>
          <w:color w:val="auto"/>
        </w:rPr>
        <w:t>Ms. Minas has been a director of our general partner since October 2016 and serves on the audit and conflicts committees. Since July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2021, Ms. Minas has served on the board of directors and as chair of the audit committee of Vallourec S.A. and, since January 2022, she has served on the board of directors and as chair of the audit committee of the general partner of Crestwood Equity Partners LP. From September 2014 to March 2020, she served on the board of directors and as the chair of the audit committee of the general partner of CNX Midstream Partners LP. From March 2018 to December 2019, she served on the board of directors of Weatherford International plc, and, from December 2013 to March 2018, she served on the board of directors of the general partner of Ciner Resources LP. Ms. Minas served as Vice President and Chief Financial Officer for DCP Midstream Partners from September 2008 to May 2012. She served as Chief Financial Officer, Chief Accounting Officer and Treasurer of Constellation Energy Partners from September 2006 to March 2008. Prior to her experience in the MLP sector, Ms. Minas served as Senior Vice President, Global Consulting and Vice President, US Consulting for Science Applications International Corp. She was a Partner with Arthur Andersen LLP from 1997 through 2002. Ms. Minas is a graduate of Rice University, where she earned a Bachelor of Arts in Managerial Studies and a Master of Business Administration with a concentration in Finance and Accounting. Ms. Minas currently serves as a member of the Board of Advisors of the Rice University Graduate Business School and is an NACD (National Association of Corporate Directors) Leadership Fellow.</w:t>
      </w:r>
    </w:p>
    <w:p>
      <w:pPr>
        <w:spacing w:after="0" w:line="200" w:lineRule="exact"/>
        <w:rPr>
          <w:sz w:val="20"/>
          <w:szCs w:val="20"/>
          <w:color w:val="auto"/>
        </w:rPr>
      </w:pP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9" w:name="page80"/>
    <w:bookmarkEnd w:id="7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ind w:right="200" w:firstLine="395"/>
        <w:spacing w:after="0" w:line="298" w:lineRule="auto"/>
        <w:rPr>
          <w:sz w:val="20"/>
          <w:szCs w:val="20"/>
          <w:color w:val="auto"/>
        </w:rPr>
      </w:pPr>
      <w:r>
        <w:rPr>
          <w:rFonts w:ascii="Arial" w:cs="Arial" w:eastAsia="Arial" w:hAnsi="Arial"/>
          <w:sz w:val="15"/>
          <w:szCs w:val="15"/>
          <w:b w:val="1"/>
          <w:bCs w:val="1"/>
          <w:i w:val="1"/>
          <w:iCs w:val="1"/>
          <w:color w:val="auto"/>
        </w:rPr>
        <w:t>Randy G. Woelfel</w:t>
      </w:r>
      <w:r>
        <w:rPr>
          <w:rFonts w:ascii="Arial" w:cs="Arial" w:eastAsia="Arial" w:hAnsi="Arial"/>
          <w:sz w:val="15"/>
          <w:szCs w:val="15"/>
          <w:color w:val="auto"/>
        </w:rPr>
        <w:t>. Mr. Woelfel has been a director of our general partner since November 2019 and serves on the audit and conflicts committees. Since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March 2013, Mr. Woelfel has served as a director of Black &amp; Veatch Holding Company, where he is currently a member of the Audit and Compensation and Development committees. Mr. Woelfel was Chief Executive Officer and a director of NOVA Chemicals Corporation from November 2009 until May 2014.</w:t>
      </w:r>
    </w:p>
    <w:p>
      <w:pPr>
        <w:spacing w:after="0" w:line="1" w:lineRule="exact"/>
        <w:rPr>
          <w:sz w:val="20"/>
          <w:szCs w:val="20"/>
          <w:color w:val="auto"/>
        </w:rPr>
      </w:pPr>
    </w:p>
    <w:p>
      <w:pPr>
        <w:ind w:right="60"/>
        <w:spacing w:after="0" w:line="244" w:lineRule="auto"/>
        <w:rPr>
          <w:sz w:val="20"/>
          <w:szCs w:val="20"/>
          <w:color w:val="auto"/>
        </w:rPr>
      </w:pPr>
      <w:r>
        <w:rPr>
          <w:rFonts w:ascii="Arial" w:cs="Arial" w:eastAsia="Arial" w:hAnsi="Arial"/>
          <w:sz w:val="18"/>
          <w:szCs w:val="18"/>
          <w:color w:val="auto"/>
        </w:rPr>
        <w:t>Prior to joining NOVA, Mr. Woelfel was Managing Director of Energy for the Houston Technology Center and President of Cereplast, Inc. He began his career with Shell Oil Company in 1977. While at Shell Oil and affiliated companies, he served in a variety of senior positions, including President of Basell International, President of Basell North America and as a board member of numerous Basell International petrochemical ventures. Since 2014, Mr. Woelfel has provided services as a business consultant through Woelfel Associates Inc., a company that provides strategic advice to boards of directors and businesses. Mr. Woelfel received a Bachelor of Science degree in Chemical Engineering from Rice University and a Master's degree in Management from the Massachusetts Institute of Technology.</w:t>
      </w:r>
    </w:p>
    <w:p>
      <w:pPr>
        <w:spacing w:after="0" w:line="147" w:lineRule="exact"/>
        <w:rPr>
          <w:sz w:val="20"/>
          <w:szCs w:val="20"/>
          <w:color w:val="auto"/>
        </w:rPr>
      </w:pPr>
    </w:p>
    <w:p>
      <w:pPr>
        <w:ind w:firstLine="395"/>
        <w:spacing w:after="0" w:line="247" w:lineRule="auto"/>
        <w:rPr>
          <w:sz w:val="20"/>
          <w:szCs w:val="20"/>
          <w:color w:val="auto"/>
        </w:rPr>
      </w:pPr>
      <w:r>
        <w:rPr>
          <w:rFonts w:ascii="Arial" w:cs="Arial" w:eastAsia="Arial" w:hAnsi="Arial"/>
          <w:sz w:val="18"/>
          <w:szCs w:val="18"/>
          <w:b w:val="1"/>
          <w:bCs w:val="1"/>
          <w:i w:val="1"/>
          <w:iCs w:val="1"/>
          <w:color w:val="auto"/>
        </w:rPr>
        <w:t xml:space="preserve">Johnathan S. Zoeller. </w:t>
      </w:r>
      <w:r>
        <w:rPr>
          <w:rFonts w:ascii="Arial" w:cs="Arial" w:eastAsia="Arial" w:hAnsi="Arial"/>
          <w:sz w:val="18"/>
          <w:szCs w:val="18"/>
          <w:color w:val="auto"/>
        </w:rPr>
        <w:t>Mr. Zoeller has been our general partner's Vice President and Chief Accounting Officer since March 2020. Mr. Zoeller has also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been Westlake's Vice President and Chief Accounting Officer since March 2020. From August 2018 to March 2020, he served as Westlake's Vice President and Corporate Controller</w:t>
      </w:r>
      <w:r>
        <w:rPr>
          <w:rFonts w:ascii="Arial" w:cs="Arial" w:eastAsia="Arial" w:hAnsi="Arial"/>
          <w:sz w:val="18"/>
          <w:szCs w:val="18"/>
          <w:b w:val="1"/>
          <w:bCs w:val="1"/>
          <w:color w:val="auto"/>
        </w:rPr>
        <w:t>.</w:t>
      </w:r>
      <w:r>
        <w:rPr>
          <w:rFonts w:ascii="Arial" w:cs="Arial" w:eastAsia="Arial" w:hAnsi="Arial"/>
          <w:sz w:val="18"/>
          <w:szCs w:val="18"/>
          <w:color w:val="auto"/>
        </w:rPr>
        <w:t xml:space="preserve"> Mr. Zoeller joined Westlake with over 19 years of public accounting experience, the majority of which was spent at KPMG LLP, where he was responsible for clients in the chemicals, oilfield services and oil/gas exploration and production industries. Mr. Zoeller held a variety of senior accounting positions at KPMG, including most recently as Partner, Audit from October 2011 to August 2018. He began his career with Arthur Andersen LLP in 1998. Mr. Zoeller holds a Bachelor of Accounting degree and a Master of Accounting degree from the University of Mississippi. He is a Certified Public Accountant.</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89" w:lineRule="exact"/>
        <w:rPr>
          <w:sz w:val="20"/>
          <w:szCs w:val="20"/>
          <w:color w:val="auto"/>
        </w:rPr>
      </w:pPr>
    </w:p>
    <w:p>
      <w:pPr>
        <w:ind w:firstLine="395"/>
        <w:spacing w:after="0" w:line="252" w:lineRule="auto"/>
        <w:rPr>
          <w:sz w:val="20"/>
          <w:szCs w:val="20"/>
          <w:color w:val="auto"/>
        </w:rPr>
      </w:pPr>
      <w:r>
        <w:rPr>
          <w:rFonts w:ascii="Arial" w:cs="Arial" w:eastAsia="Arial" w:hAnsi="Arial"/>
          <w:sz w:val="18"/>
          <w:szCs w:val="18"/>
          <w:color w:val="auto"/>
        </w:rPr>
        <w:t>In accordance with the rules of the NYSE, the board of directors of our general partner currently has three independent directors. The board of directors of our general partner has determined that each of Messrs. Finley and Woelfel and Ms. Minas is independent as defined under the independence standards established by the NYSE and the Exchange Act.</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 of our General Partner</w:t>
      </w:r>
    </w:p>
    <w:p>
      <w:pPr>
        <w:spacing w:after="0" w:line="102" w:lineRule="exact"/>
        <w:rPr>
          <w:sz w:val="20"/>
          <w:szCs w:val="20"/>
          <w:color w:val="auto"/>
        </w:rPr>
      </w:pPr>
    </w:p>
    <w:p>
      <w:pPr>
        <w:ind w:right="340" w:firstLine="395"/>
        <w:spacing w:after="0" w:line="261" w:lineRule="auto"/>
        <w:rPr>
          <w:sz w:val="20"/>
          <w:szCs w:val="20"/>
          <w:color w:val="auto"/>
        </w:rPr>
      </w:pPr>
      <w:r>
        <w:rPr>
          <w:rFonts w:ascii="Arial" w:cs="Arial" w:eastAsia="Arial" w:hAnsi="Arial"/>
          <w:sz w:val="18"/>
          <w:szCs w:val="18"/>
          <w:color w:val="auto"/>
        </w:rPr>
        <w:t>The board of directors of our general partner has one standing committee: the audit committee. The board of directors of our general partner may also form a conflicts committee from time to time.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96" w:lineRule="exact"/>
        <w:rPr>
          <w:sz w:val="20"/>
          <w:szCs w:val="20"/>
          <w:color w:val="auto"/>
        </w:rPr>
      </w:pPr>
    </w:p>
    <w:p>
      <w:pPr>
        <w:ind w:right="60" w:firstLine="395"/>
        <w:spacing w:after="0" w:line="287" w:lineRule="auto"/>
        <w:rPr>
          <w:sz w:val="20"/>
          <w:szCs w:val="20"/>
          <w:color w:val="auto"/>
        </w:rPr>
      </w:pPr>
      <w:r>
        <w:rPr>
          <w:rFonts w:ascii="Arial" w:cs="Arial" w:eastAsia="Arial" w:hAnsi="Arial"/>
          <w:sz w:val="16"/>
          <w:szCs w:val="16"/>
          <w:color w:val="auto"/>
        </w:rPr>
        <w:t xml:space="preserve">The audit committee of our general partner's board of directors has been established in accordance with Section 3(a)(58)(A) of the Exchange Act, and consists of Messrs. Finley and Woelfel and Ms. Minas, all of whom are independent. Mr. Finley is the current chairman of the audit committee. The board of directors of our general partner has determined that each of Messrs. Finley and Woelfel and Ms. Minas is an "audit committee financial expert" within the meaning of the SEC rules and "financially literate" within the meaning of the NYSE regulations. The audit committee operates pursuant to a written charter, an electronic copy of which is available on our website at </w:t>
      </w:r>
      <w:r>
        <w:rPr>
          <w:rFonts w:ascii="Arial" w:cs="Arial" w:eastAsia="Arial" w:hAnsi="Arial"/>
          <w:sz w:val="16"/>
          <w:szCs w:val="16"/>
          <w:i w:val="1"/>
          <w:iCs w:val="1"/>
          <w:color w:val="auto"/>
        </w:rPr>
        <w:t>www.wlkpartners.com</w:t>
      </w:r>
      <w:r>
        <w:rPr>
          <w:rFonts w:ascii="Arial" w:cs="Arial" w:eastAsia="Arial" w:hAnsi="Arial"/>
          <w:sz w:val="16"/>
          <w:szCs w:val="16"/>
          <w:color w:val="auto"/>
        </w:rPr>
        <w:t>.</w:t>
      </w:r>
    </w:p>
    <w:p>
      <w:pPr>
        <w:spacing w:after="0" w:line="111" w:lineRule="exact"/>
        <w:rPr>
          <w:sz w:val="20"/>
          <w:szCs w:val="20"/>
          <w:color w:val="auto"/>
        </w:rPr>
      </w:pPr>
    </w:p>
    <w:p>
      <w:pPr>
        <w:ind w:right="180" w:firstLine="395"/>
        <w:spacing w:after="0" w:line="306" w:lineRule="auto"/>
        <w:rPr>
          <w:sz w:val="20"/>
          <w:szCs w:val="20"/>
          <w:color w:val="auto"/>
        </w:rPr>
      </w:pPr>
      <w:r>
        <w:rPr>
          <w:rFonts w:ascii="Arial" w:cs="Arial" w:eastAsia="Arial" w:hAnsi="Arial"/>
          <w:sz w:val="15"/>
          <w:szCs w:val="15"/>
          <w:color w:val="auto"/>
        </w:rPr>
        <w:t>The audit committee assists the board of directors of our general partner in its oversight of the integrity of our consolidated and combined financial statements and our compliance with legal and regulatory requirements and partnership policies and controls. The audit committee has the sole authority to (1) retain and terminate our independent registered public accounting firm, (2) approve all auditing services and related fees and the terms thereof performed by our independent registered public accounting firm, and (3) pre-approve any non-audit services and tax services to be rendered by our independent registered public accounting firm. The audit committee is also responsible for confirming the independence and objectivity of our independent registered public accounting firm. Our independent registered public accounting firm is given unrestricted access to the audit committee and our management, as necessary.</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0" w:name="page81"/>
    <w:bookmarkEnd w:id="8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Conflicts Committee</w:t>
      </w:r>
    </w:p>
    <w:p>
      <w:pPr>
        <w:spacing w:after="0" w:line="83" w:lineRule="exact"/>
        <w:rPr>
          <w:sz w:val="20"/>
          <w:szCs w:val="20"/>
          <w:color w:val="auto"/>
        </w:rPr>
      </w:pPr>
    </w:p>
    <w:p>
      <w:pPr>
        <w:ind w:right="20" w:firstLine="395"/>
        <w:spacing w:after="0" w:line="280" w:lineRule="auto"/>
        <w:rPr>
          <w:sz w:val="20"/>
          <w:szCs w:val="20"/>
          <w:color w:val="auto"/>
        </w:rPr>
      </w:pPr>
      <w:r>
        <w:rPr>
          <w:rFonts w:ascii="Arial" w:cs="Arial" w:eastAsia="Arial" w:hAnsi="Arial"/>
          <w:sz w:val="16"/>
          <w:szCs w:val="16"/>
          <w:color w:val="auto"/>
        </w:rPr>
        <w:t>As set forth in the limited liability company agreement of our general partner, our general partner's board of directors may, from time to time, form a conflicts committee to which the board of directors of our general partner will appoint independent directors and which may be asked to review specific matters that the board believes may involve conflicts of interest between us, our limited partners and Westlake. The conflicts committee will determine the resolution of the conflict of interest in any manner referred to it in good faith. The members of the conflicts committee may not be officers or employees of our general partner or directors, officers or employees of its affiliates, including Westlake, and must meet the independence standards established by the NYSE and the Exchange Act to serve on an audit committee of a board of directors, along with other requirements in the Partnership Agreement. Messrs. Finley and Woelfel and Ms. Minas serve on the conflicts committee. Ms. Minas is the current chair of the conflicts committee. Any matters approved by the conflicts committee in good faith will be conclusively deemed to be fair and reasonable to us, approved by all of our partners and not a breach by our general partner of any duties it may owe us or our unitholders.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Meetings of the Board</w:t>
      </w:r>
    </w:p>
    <w:p>
      <w:pPr>
        <w:spacing w:after="0" w:line="102" w:lineRule="exact"/>
        <w:rPr>
          <w:sz w:val="20"/>
          <w:szCs w:val="20"/>
          <w:color w:val="auto"/>
        </w:rPr>
      </w:pPr>
    </w:p>
    <w:p>
      <w:pPr>
        <w:jc w:val="both"/>
        <w:ind w:right="160" w:firstLine="395"/>
        <w:spacing w:after="0" w:line="252" w:lineRule="auto"/>
        <w:rPr>
          <w:sz w:val="20"/>
          <w:szCs w:val="20"/>
          <w:color w:val="auto"/>
        </w:rPr>
      </w:pPr>
      <w:r>
        <w:rPr>
          <w:rFonts w:ascii="Arial" w:cs="Arial" w:eastAsia="Arial" w:hAnsi="Arial"/>
          <w:sz w:val="18"/>
          <w:szCs w:val="18"/>
          <w:color w:val="auto"/>
        </w:rPr>
        <w:t>During the last fiscal year, our general partner's board of directors held nine meetings, our general partner's audit committee held eight meetings and our general partner's conflicts committee held five meetings. None of the directors attended fewer than 75% of the aggregate number of meetings of the board of directors and committees of the board on which the director served.</w:t>
      </w:r>
    </w:p>
    <w:p>
      <w:pPr>
        <w:spacing w:after="0" w:line="138" w:lineRule="exact"/>
        <w:rPr>
          <w:sz w:val="20"/>
          <w:szCs w:val="20"/>
          <w:color w:val="auto"/>
        </w:rPr>
      </w:pPr>
    </w:p>
    <w:p>
      <w:pPr>
        <w:ind w:right="300" w:firstLine="395"/>
        <w:spacing w:after="0" w:line="250" w:lineRule="auto"/>
        <w:rPr>
          <w:sz w:val="20"/>
          <w:szCs w:val="20"/>
          <w:color w:val="auto"/>
        </w:rPr>
      </w:pPr>
      <w:r>
        <w:rPr>
          <w:rFonts w:ascii="Arial" w:cs="Arial" w:eastAsia="Arial" w:hAnsi="Arial"/>
          <w:sz w:val="18"/>
          <w:szCs w:val="18"/>
          <w:color w:val="auto"/>
        </w:rPr>
        <w:t>The board of directors holds regular executive sessions in which the independent directors meet without any non-independent directors or members of management. The purpose of these executive sessions is to promote open and candid discussion among the independent directors. The rules of the NYSE require that one of the independent directors must preside over each executive session, and the role of presiding director is rotated among each of the independent directors.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 with the Board of Directors</w:t>
      </w:r>
    </w:p>
    <w:p>
      <w:pPr>
        <w:spacing w:after="0" w:line="102" w:lineRule="exact"/>
        <w:rPr>
          <w:sz w:val="20"/>
          <w:szCs w:val="20"/>
          <w:color w:val="auto"/>
        </w:rPr>
      </w:pPr>
    </w:p>
    <w:p>
      <w:pPr>
        <w:ind w:right="240" w:firstLine="395"/>
        <w:spacing w:after="0" w:line="291" w:lineRule="auto"/>
        <w:rPr>
          <w:sz w:val="20"/>
          <w:szCs w:val="20"/>
          <w:color w:val="auto"/>
        </w:rPr>
      </w:pPr>
      <w:r>
        <w:rPr>
          <w:rFonts w:ascii="Arial" w:cs="Arial" w:eastAsia="Arial" w:hAnsi="Arial"/>
          <w:sz w:val="16"/>
          <w:szCs w:val="16"/>
          <w:color w:val="auto"/>
        </w:rPr>
        <w:t>A holder of our units or other interested party who wishes to communicate with the non-management directors may do so by contacting our corporate secretary at the address or phone number appearing on the front page of this report. Communications will be relayed to the intended recipient of the board of directors except in instances where it is deemed unnecessary or inappropriate to do so pursuant to the procedures established by the audit committee. Any communications withheld under those guidelines will nonetheless be recorded and available for any director who wishes to review them.</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Governance Guideline and Code of Ethics</w:t>
      </w:r>
    </w:p>
    <w:p>
      <w:pPr>
        <w:spacing w:after="0" w:line="89" w:lineRule="exact"/>
        <w:rPr>
          <w:sz w:val="20"/>
          <w:szCs w:val="20"/>
          <w:color w:val="auto"/>
        </w:rPr>
      </w:pPr>
    </w:p>
    <w:p>
      <w:pPr>
        <w:ind w:right="80" w:firstLine="395"/>
        <w:spacing w:after="0" w:line="282" w:lineRule="auto"/>
        <w:rPr>
          <w:sz w:val="20"/>
          <w:szCs w:val="20"/>
          <w:color w:val="auto"/>
        </w:rPr>
      </w:pPr>
      <w:r>
        <w:rPr>
          <w:rFonts w:ascii="Arial" w:cs="Arial" w:eastAsia="Arial" w:hAnsi="Arial"/>
          <w:sz w:val="16"/>
          <w:szCs w:val="16"/>
          <w:color w:val="auto"/>
        </w:rPr>
        <w:t xml:space="preserve">We have a Code of Ethics for the Principal Executive Officer, Principal Financial Officer and Principal Accounting Officer (the "Code of Ethics") that applies to each of the Principal Executive, Financial and Accounting Officers of our general partner, as required by Section 406 of the Sarbanes-Oxley Act of 2002. Furthermore, we have Principles of Corporate Governance and a charter for our audit committee. Each of the foregoing is available on our website at </w:t>
      </w:r>
      <w:r>
        <w:rPr>
          <w:rFonts w:ascii="Arial" w:cs="Arial" w:eastAsia="Arial" w:hAnsi="Arial"/>
          <w:sz w:val="16"/>
          <w:szCs w:val="16"/>
          <w:i w:val="1"/>
          <w:iCs w:val="1"/>
          <w:color w:val="auto"/>
        </w:rPr>
        <w:t xml:space="preserve">www.wlkpartners.com </w:t>
      </w:r>
      <w:r>
        <w:rPr>
          <w:rFonts w:ascii="Arial" w:cs="Arial" w:eastAsia="Arial" w:hAnsi="Arial"/>
          <w:sz w:val="16"/>
          <w:szCs w:val="16"/>
          <w:color w:val="auto"/>
        </w:rPr>
        <w:t>in the "Corporate Governance" section of our Investor Relations tab. We provide copies, free of charge, of any of the foregoing upon</w:t>
      </w:r>
      <w:r>
        <w:rPr>
          <w:rFonts w:ascii="Arial" w:cs="Arial" w:eastAsia="Arial" w:hAnsi="Arial"/>
          <w:sz w:val="16"/>
          <w:szCs w:val="16"/>
          <w:i w:val="1"/>
          <w:iCs w:val="1"/>
          <w:color w:val="auto"/>
        </w:rPr>
        <w:t xml:space="preserve"> </w:t>
      </w:r>
      <w:r>
        <w:rPr>
          <w:rFonts w:ascii="Arial" w:cs="Arial" w:eastAsia="Arial" w:hAnsi="Arial"/>
          <w:sz w:val="16"/>
          <w:szCs w:val="16"/>
          <w:color w:val="auto"/>
        </w:rPr>
        <w:t>receipt of a written request. We disclose amendments and director and executive officer waivers with regard to the Code of Ethics, if any, on our website or by filing a Current Report on Form 8-K to the extent required. Furthermore, the certifications of our general partner's Chief Executive Officer and Chief Financial Officer, as required by Section 302 of the Sarbanes-Oxley Act, have been included as exhibits to this report.</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NYSE Corporate Governance Listing Standards</w:t>
      </w:r>
    </w:p>
    <w:p>
      <w:pPr>
        <w:spacing w:after="0" w:line="102" w:lineRule="exact"/>
        <w:rPr>
          <w:sz w:val="20"/>
          <w:szCs w:val="20"/>
          <w:color w:val="auto"/>
        </w:rPr>
      </w:pPr>
    </w:p>
    <w:p>
      <w:pPr>
        <w:ind w:firstLine="395"/>
        <w:spacing w:after="0" w:line="291" w:lineRule="auto"/>
        <w:rPr>
          <w:sz w:val="20"/>
          <w:szCs w:val="20"/>
          <w:color w:val="auto"/>
        </w:rPr>
      </w:pPr>
      <w:r>
        <w:rPr>
          <w:rFonts w:ascii="Arial" w:cs="Arial" w:eastAsia="Arial" w:hAnsi="Arial"/>
          <w:sz w:val="16"/>
          <w:szCs w:val="16"/>
          <w:color w:val="auto"/>
        </w:rPr>
        <w:t>The NYSE requires the chief executive officer of each listed company to certify annually that he is not aware of any violation by the company of the NYSE corporate governance listing standards as of the date of the certification, qualifying the certification to the extent necessary. The Chief Executive Officer of our general partner provided such certification to the NYSE in 2022 without qualification. You can also find information about us at the offices of the NYSE, 20 Broad Street, New York, New York 10005 or at the NYSE's Internet site (</w:t>
      </w:r>
      <w:r>
        <w:rPr>
          <w:rFonts w:ascii="Arial" w:cs="Arial" w:eastAsia="Arial" w:hAnsi="Arial"/>
          <w:sz w:val="16"/>
          <w:szCs w:val="16"/>
          <w:i w:val="1"/>
          <w:iCs w:val="1"/>
          <w:color w:val="auto"/>
        </w:rPr>
        <w:t>www.nyse.com</w:t>
      </w:r>
      <w:r>
        <w:rPr>
          <w:rFonts w:ascii="Arial" w:cs="Arial" w:eastAsia="Arial" w:hAnsi="Arial"/>
          <w:sz w:val="16"/>
          <w:szCs w:val="16"/>
          <w:color w:val="auto"/>
        </w:rPr>
        <w:t>).</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1" w:name="page82"/>
    <w:bookmarkEnd w:id="8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96" w:lineRule="exact"/>
        <w:rPr>
          <w:sz w:val="20"/>
          <w:szCs w:val="20"/>
          <w:color w:val="auto"/>
        </w:rPr>
      </w:pPr>
    </w:p>
    <w:p>
      <w:pPr>
        <w:ind w:firstLine="395"/>
        <w:spacing w:after="0" w:line="284" w:lineRule="auto"/>
        <w:rPr>
          <w:sz w:val="20"/>
          <w:szCs w:val="20"/>
          <w:color w:val="auto"/>
        </w:rPr>
      </w:pPr>
      <w:r>
        <w:rPr>
          <w:rFonts w:ascii="Arial" w:cs="Arial" w:eastAsia="Arial" w:hAnsi="Arial"/>
          <w:sz w:val="16"/>
          <w:szCs w:val="16"/>
          <w:color w:val="auto"/>
        </w:rPr>
        <w:t>Neither we nor our general partner directly employ any of the persons responsible for managing our business. All of our general partner's executive officers are employees of Westlake. In accordance with the terms of the Omnibus Agreement, we reimburse Westlake for compensation-related expenses attributable to the portion of our executive officers' time dedicated to providing services to us. During 2022, Mr. Albert Chao devoted approximately 10% of his total business time to our general partner, our consolidated subsidiaries (including OpCo) and us and Mr. Steve Bender devoted approximately 10% of his total business time to our general partner, our consolidated subsidiaries (including OpCo) and us. The allocation of the executive officers' time in future years and, in turn, future compensation allocations may differ from the time and compensation allocated for each executive officer in 2022.</w:t>
      </w:r>
    </w:p>
    <w:p>
      <w:pPr>
        <w:spacing w:after="0" w:line="115" w:lineRule="exact"/>
        <w:rPr>
          <w:sz w:val="20"/>
          <w:szCs w:val="20"/>
          <w:color w:val="auto"/>
        </w:rPr>
      </w:pPr>
    </w:p>
    <w:p>
      <w:pPr>
        <w:ind w:right="80" w:firstLine="395"/>
        <w:spacing w:after="0" w:line="250" w:lineRule="auto"/>
        <w:rPr>
          <w:sz w:val="20"/>
          <w:szCs w:val="20"/>
          <w:color w:val="auto"/>
        </w:rPr>
      </w:pPr>
      <w:r>
        <w:rPr>
          <w:rFonts w:ascii="Arial" w:cs="Arial" w:eastAsia="Arial" w:hAnsi="Arial"/>
          <w:sz w:val="18"/>
          <w:szCs w:val="18"/>
          <w:color w:val="auto"/>
        </w:rPr>
        <w:t>Westlake has determined that only the base salary of each of the Westlake executive officers shall be allocated to us based on the percentages of business time set forth above. This is because Westlake's other compensation components such as Westlake equity awards and annual and quarterly cash incentive plans are geared toward specific performance goals of Westlake's business, and not our business. Westlake has significant assets and holdings outside of us and our general partner.</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Named Executive Officers</w:t>
      </w:r>
    </w:p>
    <w:p>
      <w:pPr>
        <w:spacing w:after="0" w:line="96" w:lineRule="exact"/>
        <w:rPr>
          <w:sz w:val="20"/>
          <w:szCs w:val="20"/>
          <w:color w:val="auto"/>
        </w:rPr>
      </w:pPr>
    </w:p>
    <w:p>
      <w:pPr>
        <w:jc w:val="both"/>
        <w:ind w:right="240" w:firstLine="395"/>
        <w:spacing w:after="0" w:line="252" w:lineRule="auto"/>
        <w:rPr>
          <w:sz w:val="20"/>
          <w:szCs w:val="20"/>
          <w:color w:val="auto"/>
        </w:rPr>
      </w:pPr>
      <w:r>
        <w:rPr>
          <w:rFonts w:ascii="Arial" w:cs="Arial" w:eastAsia="Arial" w:hAnsi="Arial"/>
          <w:sz w:val="18"/>
          <w:szCs w:val="18"/>
          <w:color w:val="auto"/>
        </w:rPr>
        <w:t>For 2022, our named executive officers ("NEOs") consisted of our principal executive officer, Mr. Albert Chao, and our principal financial officer, Mr. Bender. The compensation allocated to us in 2022 for each of the other executive officers of our general partner did not exceed $100,000. Therefore, none of the other executive officers are considered NEOs for 2022.</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Decisions</w:t>
      </w:r>
    </w:p>
    <w:p>
      <w:pPr>
        <w:spacing w:after="0" w:line="83" w:lineRule="exact"/>
        <w:rPr>
          <w:sz w:val="20"/>
          <w:szCs w:val="20"/>
          <w:color w:val="auto"/>
        </w:rPr>
      </w:pPr>
    </w:p>
    <w:p>
      <w:pPr>
        <w:ind w:right="400" w:firstLine="395"/>
        <w:spacing w:after="0" w:line="299" w:lineRule="auto"/>
        <w:rPr>
          <w:sz w:val="20"/>
          <w:szCs w:val="20"/>
          <w:color w:val="auto"/>
        </w:rPr>
      </w:pPr>
      <w:r>
        <w:rPr>
          <w:rFonts w:ascii="Arial" w:cs="Arial" w:eastAsia="Arial" w:hAnsi="Arial"/>
          <w:sz w:val="16"/>
          <w:szCs w:val="16"/>
          <w:color w:val="auto"/>
        </w:rPr>
        <w:t>Westlake has ultimate decision-making authority with respect to the total compensation of our NEOs that are employed by Westlake. Any such compensation decisions will not be subject to any approvals by the board of directors of our general partner; provided, however, that any awards under the Westlake Chemical Partners LP Long-Term Incentive Plan (the "LTIP") must be approved by the board of directors of our general partner.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Westlake Compensation Committee Oversight</w:t>
      </w:r>
    </w:p>
    <w:p>
      <w:pPr>
        <w:spacing w:after="0" w:line="96" w:lineRule="exact"/>
        <w:rPr>
          <w:sz w:val="20"/>
          <w:szCs w:val="20"/>
          <w:color w:val="auto"/>
        </w:rPr>
      </w:pPr>
    </w:p>
    <w:p>
      <w:pPr>
        <w:ind w:right="20" w:firstLine="395"/>
        <w:spacing w:after="0" w:line="250" w:lineRule="auto"/>
        <w:rPr>
          <w:sz w:val="20"/>
          <w:szCs w:val="20"/>
          <w:color w:val="auto"/>
        </w:rPr>
      </w:pPr>
      <w:r>
        <w:rPr>
          <w:rFonts w:ascii="Arial" w:cs="Arial" w:eastAsia="Arial" w:hAnsi="Arial"/>
          <w:sz w:val="18"/>
          <w:szCs w:val="18"/>
          <w:color w:val="auto"/>
        </w:rPr>
        <w:t>The board of directors of Westlake has established a compensation committee (the "Westlake Compensation Committee") to review and provide oversight of the compensation programs of Westlake and the compensation of the principal executive officer of Westlake (the "Westlake PEO"), the other named executive officers of Westlake (together with the Westlake PEO, the "Westlake NEOs") and other employees designated as executive officers of Westlake (collectively, the "Westlake Executives").</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External Advisors</w:t>
      </w:r>
    </w:p>
    <w:p>
      <w:pPr>
        <w:spacing w:after="0" w:line="96" w:lineRule="exact"/>
        <w:rPr>
          <w:sz w:val="20"/>
          <w:szCs w:val="20"/>
          <w:color w:val="auto"/>
        </w:rPr>
      </w:pPr>
    </w:p>
    <w:p>
      <w:pPr>
        <w:ind w:right="60" w:firstLine="395"/>
        <w:spacing w:after="0" w:line="278" w:lineRule="auto"/>
        <w:rPr>
          <w:sz w:val="20"/>
          <w:szCs w:val="20"/>
          <w:color w:val="auto"/>
        </w:rPr>
      </w:pPr>
      <w:r>
        <w:rPr>
          <w:rFonts w:ascii="Arial" w:cs="Arial" w:eastAsia="Arial" w:hAnsi="Arial"/>
          <w:sz w:val="16"/>
          <w:szCs w:val="16"/>
          <w:color w:val="auto"/>
        </w:rPr>
        <w:t>To assist the Westlake Compensation Committee in respect of its oversight responsibilities, the Westlake Compensation Committee periodically utilizes the services of independent third-party compensation consultants to conduct compensation surveys and determine compensation trends, analyze and assess Westlake's compensation systems and programs (which includes the compensation of the Westlake Executives), review current legal, accounting and administrative matters associated with executive compensation and offer opinions as to the effectiveness and competitiveness of the program. For 2022, the Westlake Compensation Committee directly engaged the services of Willis Towers Watson as a compensation consultant to advise the Westlake Compensation Committee on executive compensation matters. Willis Towers Watson assists the Westlake Compensation Committee by providing comparative market data on compensation programs and practices of peer competitors, the broader-based chemical industry and general industry. Willis Towers Watson also assists Westlake with general compensation consultation regarding employees other than the Westlake NEOs. In 2022, Westlake paid Willis Towers Watson approximately $165,000 for executive compensation advisory services and approximately $3 million for other services (primarily related to integration support for Westlake's recent acquisitions and the administration of Westlake's legacy defined benefit retirement plans). The decision to engage Willis Towers Watson for the non-executive-compensation services was made by Westlake management and approved or ratified by the Westlake Compensation Committee. In February 2023, the Westlake Compensation Committee assessed whether the work of Willis Towers Watson for Westlake during 2022 raised any conflict of interest and concluded that no conflict of interest exists.</w:t>
      </w: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2" w:name="page83"/>
    <w:bookmarkEnd w:id="8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Deliberative Process</w:t>
      </w:r>
    </w:p>
    <w:p>
      <w:pPr>
        <w:spacing w:after="0" w:line="83" w:lineRule="exact"/>
        <w:rPr>
          <w:sz w:val="20"/>
          <w:szCs w:val="20"/>
          <w:color w:val="auto"/>
        </w:rPr>
      </w:pPr>
    </w:p>
    <w:p>
      <w:pPr>
        <w:ind w:right="280" w:firstLine="395"/>
        <w:spacing w:after="0" w:line="281" w:lineRule="auto"/>
        <w:rPr>
          <w:sz w:val="20"/>
          <w:szCs w:val="20"/>
          <w:color w:val="auto"/>
        </w:rPr>
      </w:pPr>
      <w:r>
        <w:rPr>
          <w:rFonts w:ascii="Arial" w:cs="Arial" w:eastAsia="Arial" w:hAnsi="Arial"/>
          <w:sz w:val="16"/>
          <w:szCs w:val="16"/>
          <w:color w:val="auto"/>
        </w:rPr>
        <w:t>In establishing targeted levels of executive compensation, the Westlake Compensation Committee has selected a set of peer group companies (the "Peer Group") from among companies of relative comparable size to Westlake, with executive positions of similar scope and responsibility, and from among companies with which Westlake may compete for executive talent. With the assistance of Willis Towers Watson, the Westlake Compensation Committee reviews the Peer Group on a regular basis. To validate current peers and identify potential new peer companies, Willis Towers Watson conducts a comprehensive review using criteria that the Westlake Compensation Committee deems to be appropriate, including recent developments with current peer companies (e.g., merger and acquisition activity and changes in financial performance), revenues (typically using a market competitive range of 0.5x to 2x of Westlake's revenue in determining size-relevant peers), industry classification, market capitalization and other financial data, peers of peers analysis, business and product portfolios, peers as identified by proxy advisory firms such as ISS and Glass Lewis, and business and labor market competitors.</w:t>
      </w:r>
    </w:p>
    <w:p>
      <w:pPr>
        <w:spacing w:after="0" w:line="119" w:lineRule="exact"/>
        <w:rPr>
          <w:sz w:val="20"/>
          <w:szCs w:val="20"/>
          <w:color w:val="auto"/>
        </w:rPr>
      </w:pPr>
    </w:p>
    <w:p>
      <w:pPr>
        <w:ind w:right="120" w:firstLine="395"/>
        <w:spacing w:after="0" w:line="284" w:lineRule="auto"/>
        <w:rPr>
          <w:sz w:val="20"/>
          <w:szCs w:val="20"/>
          <w:color w:val="auto"/>
        </w:rPr>
      </w:pPr>
      <w:r>
        <w:rPr>
          <w:rFonts w:ascii="Arial" w:cs="Arial" w:eastAsia="Arial" w:hAnsi="Arial"/>
          <w:sz w:val="16"/>
          <w:szCs w:val="16"/>
          <w:color w:val="auto"/>
        </w:rPr>
        <w:t>Traditionally, peer companies have been selected from the chemical industry, but as Westlake has continued to grow, it has become increasingly difficult for Willis Towers Watson to find a sufficient number of chemical companies of a comparable size to Westlake to recommend what it considers a statistically-appropriate set of peer companies. Furthermore, due to strategic acquisitions and organic growth, Westlake's building and infrastructure products have grown as a proportion of its overall revenues. As a result, in November 2021, Willis Towers Watson recommended, and the Westlake Compensation Committee agreed, to select peer companies from both the chemical and building products industries. The following companies make up the Peer Group as adopted by the Westlake Compensation Committee in 2022:</w:t>
      </w:r>
    </w:p>
    <w:p>
      <w:pPr>
        <w:spacing w:after="0" w:line="88" w:lineRule="exact"/>
        <w:rPr>
          <w:sz w:val="20"/>
          <w:szCs w:val="20"/>
          <w:color w:val="auto"/>
        </w:rPr>
      </w:pPr>
    </w:p>
    <w:tbl>
      <w:tblPr>
        <w:tblLayout w:type="fixed"/>
        <w:tblInd w:w="400" w:type="dxa"/>
        <w:tblCellMar>
          <w:top w:w="0" w:type="dxa"/>
          <w:left w:w="0" w:type="dxa"/>
          <w:bottom w:w="0" w:type="dxa"/>
          <w:right w:w="0" w:type="dxa"/>
        </w:tblCellMar>
      </w:tblPr>
      <w:tr>
        <w:trPr>
          <w:trHeight w:val="224"/>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Builders FirstSource, Inc.</w:t>
            </w:r>
          </w:p>
        </w:tc>
        <w:tc>
          <w:tcPr>
            <w:tcW w:w="668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Huntsman Corporation</w:t>
            </w:r>
          </w:p>
        </w:tc>
      </w:tr>
      <w:tr>
        <w:trPr>
          <w:trHeight w:val="223"/>
        </w:trPr>
        <w:tc>
          <w:tcPr>
            <w:tcW w:w="4260" w:type="dxa"/>
            <w:vAlign w:val="bottom"/>
          </w:tcPr>
          <w:p>
            <w:pPr>
              <w:ind w:left="20"/>
              <w:spacing w:after="0"/>
              <w:rPr>
                <w:sz w:val="20"/>
                <w:szCs w:val="20"/>
                <w:color w:val="auto"/>
              </w:rPr>
            </w:pPr>
            <w:r>
              <w:rPr>
                <w:rFonts w:ascii="Arial" w:cs="Arial" w:eastAsia="Arial" w:hAnsi="Arial"/>
                <w:sz w:val="18"/>
                <w:szCs w:val="18"/>
                <w:color w:val="auto"/>
              </w:rPr>
              <w:t>Celanese Corporation</w:t>
            </w:r>
          </w:p>
        </w:tc>
        <w:tc>
          <w:tcPr>
            <w:tcW w:w="6680" w:type="dxa"/>
            <w:vAlign w:val="bottom"/>
          </w:tcPr>
          <w:p>
            <w:pPr>
              <w:ind w:left="1520"/>
              <w:spacing w:after="0"/>
              <w:rPr>
                <w:sz w:val="20"/>
                <w:szCs w:val="20"/>
                <w:color w:val="auto"/>
              </w:rPr>
            </w:pPr>
            <w:r>
              <w:rPr>
                <w:rFonts w:ascii="Arial" w:cs="Arial" w:eastAsia="Arial" w:hAnsi="Arial"/>
                <w:sz w:val="18"/>
                <w:szCs w:val="18"/>
                <w:color w:val="auto"/>
              </w:rPr>
              <w:t>Masco Corporation</w:t>
            </w:r>
          </w:p>
        </w:tc>
      </w:tr>
      <w:tr>
        <w:trPr>
          <w:trHeight w:val="224"/>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Corteva Inc.</w:t>
            </w:r>
          </w:p>
        </w:tc>
        <w:tc>
          <w:tcPr>
            <w:tcW w:w="668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The Mosaic Company</w:t>
            </w:r>
          </w:p>
        </w:tc>
      </w:tr>
      <w:tr>
        <w:trPr>
          <w:trHeight w:val="223"/>
        </w:trPr>
        <w:tc>
          <w:tcPr>
            <w:tcW w:w="4260" w:type="dxa"/>
            <w:vAlign w:val="bottom"/>
          </w:tcPr>
          <w:p>
            <w:pPr>
              <w:ind w:left="20"/>
              <w:spacing w:after="0"/>
              <w:rPr>
                <w:sz w:val="20"/>
                <w:szCs w:val="20"/>
                <w:color w:val="auto"/>
              </w:rPr>
            </w:pPr>
            <w:r>
              <w:rPr>
                <w:rFonts w:ascii="Arial" w:cs="Arial" w:eastAsia="Arial" w:hAnsi="Arial"/>
                <w:sz w:val="18"/>
                <w:szCs w:val="18"/>
                <w:color w:val="auto"/>
              </w:rPr>
              <w:t>The Chemours Company</w:t>
            </w:r>
          </w:p>
        </w:tc>
        <w:tc>
          <w:tcPr>
            <w:tcW w:w="6680" w:type="dxa"/>
            <w:vAlign w:val="bottom"/>
          </w:tcPr>
          <w:p>
            <w:pPr>
              <w:ind w:left="1520"/>
              <w:spacing w:after="0"/>
              <w:rPr>
                <w:sz w:val="20"/>
                <w:szCs w:val="20"/>
                <w:color w:val="auto"/>
              </w:rPr>
            </w:pPr>
            <w:r>
              <w:rPr>
                <w:rFonts w:ascii="Arial" w:cs="Arial" w:eastAsia="Arial" w:hAnsi="Arial"/>
                <w:sz w:val="18"/>
                <w:szCs w:val="18"/>
                <w:color w:val="auto"/>
              </w:rPr>
              <w:t>Olin Corporation</w:t>
            </w:r>
          </w:p>
        </w:tc>
      </w:tr>
      <w:tr>
        <w:trPr>
          <w:trHeight w:val="224"/>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DuPont de Nemours, Inc.</w:t>
            </w:r>
          </w:p>
        </w:tc>
        <w:tc>
          <w:tcPr>
            <w:tcW w:w="668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Owens Corning</w:t>
            </w:r>
          </w:p>
        </w:tc>
      </w:tr>
      <w:tr>
        <w:trPr>
          <w:trHeight w:val="223"/>
        </w:trPr>
        <w:tc>
          <w:tcPr>
            <w:tcW w:w="4260" w:type="dxa"/>
            <w:vAlign w:val="bottom"/>
          </w:tcPr>
          <w:p>
            <w:pPr>
              <w:ind w:left="20"/>
              <w:spacing w:after="0"/>
              <w:rPr>
                <w:sz w:val="20"/>
                <w:szCs w:val="20"/>
                <w:color w:val="auto"/>
              </w:rPr>
            </w:pPr>
            <w:r>
              <w:rPr>
                <w:rFonts w:ascii="Arial" w:cs="Arial" w:eastAsia="Arial" w:hAnsi="Arial"/>
                <w:sz w:val="18"/>
                <w:szCs w:val="18"/>
                <w:color w:val="auto"/>
              </w:rPr>
              <w:t>Eastman Chemical Company</w:t>
            </w:r>
          </w:p>
        </w:tc>
        <w:tc>
          <w:tcPr>
            <w:tcW w:w="6680" w:type="dxa"/>
            <w:vAlign w:val="bottom"/>
          </w:tcPr>
          <w:p>
            <w:pPr>
              <w:ind w:left="1520"/>
              <w:spacing w:after="0"/>
              <w:rPr>
                <w:sz w:val="20"/>
                <w:szCs w:val="20"/>
                <w:color w:val="auto"/>
              </w:rPr>
            </w:pPr>
            <w:r>
              <w:rPr>
                <w:rFonts w:ascii="Arial" w:cs="Arial" w:eastAsia="Arial" w:hAnsi="Arial"/>
                <w:sz w:val="18"/>
                <w:szCs w:val="18"/>
                <w:color w:val="auto"/>
              </w:rPr>
              <w:t>PPG Industries, Inc.</w:t>
            </w:r>
          </w:p>
        </w:tc>
      </w:tr>
      <w:tr>
        <w:trPr>
          <w:trHeight w:val="224"/>
        </w:trPr>
        <w:tc>
          <w:tcPr>
            <w:tcW w:w="42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Fortune Brands Home &amp; Security, Inc.</w:t>
            </w:r>
          </w:p>
        </w:tc>
        <w:tc>
          <w:tcPr>
            <w:tcW w:w="6680" w:type="dxa"/>
            <w:vAlign w:val="bottom"/>
            <w:shd w:val="clear" w:color="auto" w:fill="CCEEFF"/>
          </w:tcPr>
          <w:p>
            <w:pPr>
              <w:ind w:left="1520"/>
              <w:spacing w:after="0"/>
              <w:rPr>
                <w:sz w:val="20"/>
                <w:szCs w:val="20"/>
                <w:color w:val="auto"/>
              </w:rPr>
            </w:pPr>
            <w:r>
              <w:rPr>
                <w:rFonts w:ascii="Arial" w:cs="Arial" w:eastAsia="Arial" w:hAnsi="Arial"/>
                <w:sz w:val="18"/>
                <w:szCs w:val="18"/>
                <w:color w:val="auto"/>
              </w:rPr>
              <w:t>RPM International Inc.</w:t>
            </w:r>
          </w:p>
        </w:tc>
      </w:tr>
    </w:tbl>
    <w:p>
      <w:pPr>
        <w:spacing w:after="0" w:line="238" w:lineRule="exact"/>
        <w:rPr>
          <w:sz w:val="20"/>
          <w:szCs w:val="20"/>
          <w:color w:val="auto"/>
        </w:rPr>
      </w:pPr>
    </w:p>
    <w:p>
      <w:pPr>
        <w:ind w:right="180" w:firstLine="395"/>
        <w:spacing w:after="0" w:line="250" w:lineRule="auto"/>
        <w:rPr>
          <w:sz w:val="20"/>
          <w:szCs w:val="20"/>
          <w:color w:val="auto"/>
        </w:rPr>
      </w:pPr>
      <w:r>
        <w:rPr>
          <w:rFonts w:ascii="Arial" w:cs="Arial" w:eastAsia="Arial" w:hAnsi="Arial"/>
          <w:sz w:val="18"/>
          <w:szCs w:val="18"/>
          <w:color w:val="auto"/>
        </w:rPr>
        <w:t>As recommended by Williams Towers Watson, the 2022 selected Peer Group reflects no changes from the previous year. The Westlake Compensation Committee will continue to make changes in the Peer Group as warranted to reflect changes in the size, business profile and publicly-listed status of the companies to help ensure that companies comparable in size and business profile to Westlake are included and continue to be appropriate for the compensation decision-making process.</w:t>
      </w:r>
    </w:p>
    <w:p>
      <w:pPr>
        <w:spacing w:after="0" w:line="138" w:lineRule="exact"/>
        <w:rPr>
          <w:sz w:val="20"/>
          <w:szCs w:val="20"/>
          <w:color w:val="auto"/>
        </w:rPr>
      </w:pPr>
    </w:p>
    <w:p>
      <w:pPr>
        <w:ind w:right="100" w:firstLine="395"/>
        <w:spacing w:after="0" w:line="280" w:lineRule="auto"/>
        <w:rPr>
          <w:sz w:val="20"/>
          <w:szCs w:val="20"/>
          <w:color w:val="auto"/>
        </w:rPr>
      </w:pPr>
      <w:r>
        <w:rPr>
          <w:rFonts w:ascii="Arial" w:cs="Arial" w:eastAsia="Arial" w:hAnsi="Arial"/>
          <w:sz w:val="16"/>
          <w:szCs w:val="16"/>
          <w:color w:val="auto"/>
        </w:rPr>
        <w:t>In addition to referring to the Peer Group, Willis Towers Watson utilizes survey data from its proprietary compensation databases, including, but not limited to, the Willis Towers Watson CDB Executive Survey and other relevant market information. These surveys compare the compensation of executives at numerous companies to similar positions as the Westlake NEOs (the "Market Survey"). The Market Survey is used in conjunction with the Peer Group data (collectively, the "Reference Points") to help validate the market findings and more specifically establish market compensation rates for positions with limited Peer Group data and/or for positions that are not industry-specific and for which Westlake would need to recruit on a broader basis (for instance, Chief Financial Officer). Finally, in establishing the target executive compensation, the Westlake Compensation Committee takes a total compensation view to include base pay, cash bonuses and long-term incentives, so that as long as the composite total compensation of a Westlake NEO is competitive with the Reference Points, individual components may fall below or above the median of the Reference Points. In conducting its surveys for the Reference Points, Willis Towers Watson reports directly to the Westlake Compensation Committee on each component and on a composite total compensation basis.</w:t>
      </w:r>
    </w:p>
    <w:p>
      <w:pPr>
        <w:spacing w:after="0" w:line="121" w:lineRule="exact"/>
        <w:rPr>
          <w:sz w:val="20"/>
          <w:szCs w:val="20"/>
          <w:color w:val="auto"/>
        </w:rPr>
      </w:pPr>
    </w:p>
    <w:p>
      <w:pPr>
        <w:ind w:right="120" w:firstLine="395"/>
        <w:spacing w:after="0" w:line="280" w:lineRule="auto"/>
        <w:rPr>
          <w:sz w:val="20"/>
          <w:szCs w:val="20"/>
          <w:color w:val="auto"/>
        </w:rPr>
      </w:pPr>
      <w:r>
        <w:rPr>
          <w:rFonts w:ascii="Arial" w:cs="Arial" w:eastAsia="Arial" w:hAnsi="Arial"/>
          <w:sz w:val="16"/>
          <w:szCs w:val="16"/>
          <w:color w:val="auto"/>
        </w:rPr>
        <w:t>The Westlake Compensation Committee meets annually in February to address the compensation of the Westlake NEOs and other Westlake Executives. During this meeting, the Westlake Compensation Committee reviews the achievement of Westlake's goals and objectives, including Westlake's Economic Value Added (defined as the net operating profit after taxes in relation to capital employed) and performance relative to its competitors within the chemical and building products industries, including those direct competitors within the Peer Group, the Reference Points and other relevant factors established by the Westlake Compensation Committee. During this deliberation, the Westlake PEO is excused from the meeting to allow the other members of the Westlake Compensation Committee to deliberate independently regarding the Westlake PEO's compensation. During this annual review meeting, the Westlake PEO also presents his recommendations to the Westlake Compensation Committee regarding the compensation to be provided to the other Westlake NEOs and other Westlake Executives. The Westlake PEO and the Westlake Compensation Committee, after considering data from the Reference Points and other relevant factors, set the compensation for these Westlake Executives.</w:t>
      </w:r>
    </w:p>
    <w:p>
      <w:pPr>
        <w:spacing w:after="0" w:line="200" w:lineRule="exact"/>
        <w:rPr>
          <w:sz w:val="20"/>
          <w:szCs w:val="20"/>
          <w:color w:val="auto"/>
        </w:rPr>
      </w:pPr>
    </w:p>
    <w:p>
      <w:pPr>
        <w:spacing w:after="0" w:line="302"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340"/>
          </w:cols>
          <w:pgMar w:left="320" w:top="121" w:right="239" w:bottom="1440" w:gutter="0" w:footer="0" w:header="0"/>
        </w:sectPr>
      </w:pPr>
    </w:p>
    <w:bookmarkStart w:id="83" w:name="page84"/>
    <w:bookmarkEnd w:id="8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Philosophy and Program Objectives of Westlake</w:t>
      </w:r>
    </w:p>
    <w:p>
      <w:pPr>
        <w:spacing w:after="0" w:line="8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Westlake has designed and maintains a comprehensive executive compensation program as a means of:</w:t>
      </w:r>
    </w:p>
    <w:p>
      <w:pPr>
        <w:spacing w:after="0" w:line="96" w:lineRule="exact"/>
        <w:rPr>
          <w:sz w:val="20"/>
          <w:szCs w:val="20"/>
          <w:color w:val="auto"/>
        </w:rPr>
      </w:pPr>
    </w:p>
    <w:p>
      <w:pPr>
        <w:ind w:left="640" w:hanging="319"/>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attracting, rewarding and retaining top executive talent in support of Westlake's vision, mission and objectives;</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maintaining market competitiveness with Westlake's peer group compensation programs and practices;</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encouraging and rewarding the achievement of specific individual, business segment and corporate goals and objectives;</w:t>
      </w:r>
    </w:p>
    <w:p>
      <w:pPr>
        <w:spacing w:after="0" w:line="95" w:lineRule="exact"/>
        <w:rPr>
          <w:rFonts w:ascii="Arial" w:cs="Arial" w:eastAsia="Arial" w:hAnsi="Arial"/>
          <w:sz w:val="18"/>
          <w:szCs w:val="18"/>
          <w:color w:val="auto"/>
        </w:rPr>
      </w:pPr>
    </w:p>
    <w:p>
      <w:pPr>
        <w:ind w:left="640" w:right="180" w:hanging="319"/>
        <w:spacing w:after="0" w:line="261" w:lineRule="auto"/>
        <w:tabs>
          <w:tab w:leader="none" w:pos="636" w:val="left"/>
        </w:tabs>
        <w:numPr>
          <w:ilvl w:val="0"/>
          <w:numId w:val="33"/>
        </w:numPr>
        <w:rPr>
          <w:rFonts w:ascii="Arial" w:cs="Arial" w:eastAsia="Arial" w:hAnsi="Arial"/>
          <w:sz w:val="18"/>
          <w:szCs w:val="18"/>
          <w:color w:val="auto"/>
        </w:rPr>
      </w:pPr>
      <w:r>
        <w:rPr>
          <w:rFonts w:ascii="Arial" w:cs="Arial" w:eastAsia="Arial" w:hAnsi="Arial"/>
          <w:sz w:val="18"/>
          <w:szCs w:val="18"/>
          <w:color w:val="auto"/>
        </w:rPr>
        <w:t>placing a significant portion of total compensation at risk through variable pay components, including upside potential where targeted objectives are exceeded, to promote management action to create added stockholder value;</w:t>
      </w:r>
    </w:p>
    <w:p>
      <w:pPr>
        <w:spacing w:after="0" w:line="62" w:lineRule="exact"/>
        <w:rPr>
          <w:rFonts w:ascii="Arial" w:cs="Arial" w:eastAsia="Arial" w:hAnsi="Arial"/>
          <w:sz w:val="18"/>
          <w:szCs w:val="18"/>
          <w:color w:val="auto"/>
        </w:rPr>
      </w:pPr>
    </w:p>
    <w:p>
      <w:pPr>
        <w:ind w:left="640" w:hanging="319"/>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aligning management interests with the interests of Westlake's stockholders; and</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balancing short-term objectives with long-term strategic initiatives.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Establishing Compensation Levels</w:t>
      </w:r>
    </w:p>
    <w:p>
      <w:pPr>
        <w:spacing w:after="0" w:line="96" w:lineRule="exact"/>
        <w:rPr>
          <w:sz w:val="20"/>
          <w:szCs w:val="20"/>
          <w:color w:val="auto"/>
        </w:rPr>
      </w:pPr>
    </w:p>
    <w:p>
      <w:pPr>
        <w:ind w:right="20" w:firstLine="395"/>
        <w:spacing w:after="0" w:line="281" w:lineRule="auto"/>
        <w:rPr>
          <w:sz w:val="20"/>
          <w:szCs w:val="20"/>
          <w:color w:val="auto"/>
        </w:rPr>
      </w:pPr>
      <w:r>
        <w:rPr>
          <w:rFonts w:ascii="Arial" w:cs="Arial" w:eastAsia="Arial" w:hAnsi="Arial"/>
          <w:sz w:val="16"/>
          <w:szCs w:val="16"/>
          <w:color w:val="auto"/>
        </w:rPr>
        <w:t>On an annual basis as the Westlake Compensation Committee meets to set the target compensation for the Westlake PEO, other Westlake NEOs and other Westlake Executives, the Westlake Compensation Committee considers the responsibility and scope of the individual job assignments as well as the Westlake Executive's job performance and achievements measured against a variety of goals and objectives. As a first step, the Westlake PEO provides his evaluation of each Westlake Executive based upon the achievement of goals and objectives unique to a business segment or a corporate assignment and an assessment of the Westlake Executive's individual contribution and effort and a variety of managerial success factors. Next, the Westlake Compensation Committee may make its own assessment of each Westlake Executive based upon the interaction Westlake Compensation Committee members have had with the Westlake Executive throughout the year. Lastly, once the Westlake Compensation Committee considers all of these factors in tandem with the Reference Points, the Westlake Compensation Committee establishes the compensation target for each element of the total compensation program.</w:t>
      </w:r>
    </w:p>
    <w:p>
      <w:pPr>
        <w:spacing w:after="0" w:line="113" w:lineRule="exact"/>
        <w:rPr>
          <w:sz w:val="20"/>
          <w:szCs w:val="20"/>
          <w:color w:val="auto"/>
        </w:rPr>
      </w:pPr>
    </w:p>
    <w:p>
      <w:pPr>
        <w:ind w:firstLine="395"/>
        <w:spacing w:after="0" w:line="279" w:lineRule="auto"/>
        <w:rPr>
          <w:sz w:val="20"/>
          <w:szCs w:val="20"/>
          <w:color w:val="auto"/>
        </w:rPr>
      </w:pPr>
      <w:r>
        <w:rPr>
          <w:rFonts w:ascii="Arial" w:cs="Arial" w:eastAsia="Arial" w:hAnsi="Arial"/>
          <w:sz w:val="16"/>
          <w:szCs w:val="16"/>
          <w:b w:val="1"/>
          <w:bCs w:val="1"/>
          <w:color w:val="auto"/>
        </w:rPr>
        <w:t>Base Pay—</w:t>
      </w:r>
      <w:r>
        <w:rPr>
          <w:rFonts w:ascii="Arial" w:cs="Arial" w:eastAsia="Arial" w:hAnsi="Arial"/>
          <w:sz w:val="16"/>
          <w:szCs w:val="16"/>
          <w:color w:val="auto"/>
        </w:rPr>
        <w:t>This element is the principal cash compensation component of Westlake's program and is designed to provide the Westlake Executive with a</w:t>
      </w:r>
      <w:r>
        <w:rPr>
          <w:rFonts w:ascii="Arial" w:cs="Arial" w:eastAsia="Arial" w:hAnsi="Arial"/>
          <w:sz w:val="16"/>
          <w:szCs w:val="16"/>
          <w:b w:val="1"/>
          <w:bCs w:val="1"/>
          <w:color w:val="auto"/>
        </w:rPr>
        <w:t xml:space="preserve"> </w:t>
      </w:r>
      <w:r>
        <w:rPr>
          <w:rFonts w:ascii="Arial" w:cs="Arial" w:eastAsia="Arial" w:hAnsi="Arial"/>
          <w:sz w:val="16"/>
          <w:szCs w:val="16"/>
          <w:color w:val="auto"/>
        </w:rPr>
        <w:t>market-competitive minimum level of compensation. In setting base pay rates for 2022, the Westlake Compensation Committee considered the Reference Points, the scope and range of responsibility, accountability and business impact of the position as well as current economic conditions to aid it in evaluating and matching the positions with the market and setting fair-market competitive base pay targets. In setting base pay rates for Westlake Executives, the Westlake Compensation Committee has determined that, based on advice of its independent consultant, Willis Towers Watson, the base pay of the Westlake Executives can generally be considered as competitive if targeted to be within 90% to 110% of the 50th percentile of the market depending on the performance of the individual Westlake Executive, the magnitude of adjustments deemed necessary by the Westlake Compensation Committee to ensure retention of the Westlake Executive and the performance of Westlake. The Westlake Compensation Committee also recognizes that market pricing is an inexact science and that base pay above or below that range may be required to meet market demand or to recognize individual performance or experience levels. The Westlake Compensation Committee does not set a specific fixed target percentage for any of the Westlake NEOs but generally works to set the base pay of each Westlake NEO to be within the range at its discretion based upon market and performance factors. Base pay is evaluated on an annual basis using then current market information, and the Westlake Compensation Committee may authorize an adjustment to:</w:t>
      </w:r>
    </w:p>
    <w:p>
      <w:pPr>
        <w:spacing w:after="0" w:line="45" w:lineRule="exact"/>
        <w:rPr>
          <w:sz w:val="20"/>
          <w:szCs w:val="20"/>
          <w:color w:val="auto"/>
        </w:rPr>
      </w:pPr>
    </w:p>
    <w:p>
      <w:pPr>
        <w:ind w:left="640" w:hanging="319"/>
        <w:spacing w:after="0"/>
        <w:tabs>
          <w:tab w:leader="none" w:pos="6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ensure that the Westlake Executive's current base pay is within the acceptable target level as determined by the Westlake Compensation Committee;</w:t>
      </w:r>
    </w:p>
    <w:p>
      <w:pPr>
        <w:spacing w:after="0" w:line="118" w:lineRule="exact"/>
        <w:rPr>
          <w:rFonts w:ascii="Arial" w:cs="Arial" w:eastAsia="Arial" w:hAnsi="Arial"/>
          <w:sz w:val="16"/>
          <w:szCs w:val="16"/>
          <w:color w:val="auto"/>
        </w:rPr>
      </w:pPr>
    </w:p>
    <w:p>
      <w:pPr>
        <w:ind w:left="640" w:hanging="319"/>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ensure internal equity;</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recognize individual performance and contributions; or</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recognize changes in responsibility or the scope of the Westlake Executive's position.</w:t>
      </w:r>
    </w:p>
    <w:p>
      <w:pPr>
        <w:spacing w:after="0" w:line="161" w:lineRule="exact"/>
        <w:rPr>
          <w:sz w:val="20"/>
          <w:szCs w:val="20"/>
          <w:color w:val="auto"/>
        </w:rPr>
      </w:pPr>
    </w:p>
    <w:p>
      <w:pPr>
        <w:ind w:right="40" w:firstLine="395"/>
        <w:spacing w:after="0" w:line="299" w:lineRule="auto"/>
        <w:rPr>
          <w:sz w:val="20"/>
          <w:szCs w:val="20"/>
          <w:color w:val="auto"/>
        </w:rPr>
      </w:pPr>
      <w:r>
        <w:rPr>
          <w:rFonts w:ascii="Arial" w:cs="Arial" w:eastAsia="Arial" w:hAnsi="Arial"/>
          <w:sz w:val="16"/>
          <w:szCs w:val="16"/>
          <w:color w:val="auto"/>
        </w:rPr>
        <w:t>For further information regarding compensation decisions made by the Westlake Compensation Committee during 2022, see the proxy statement that is expected to be filed by Westlake in connection with its 2023 annual meeting of stockholders. In February 2023, the Westlake Compensation Committee elected to increase the base salary for Mr. Albert Chao to $1,263,000 from $1,219,500 and for Mr. Bender to $730,000 from $700,000.</w:t>
      </w:r>
    </w:p>
    <w:p>
      <w:pPr>
        <w:spacing w:after="0" w:line="188" w:lineRule="exact"/>
        <w:rPr>
          <w:sz w:val="20"/>
          <w:szCs w:val="20"/>
          <w:color w:val="auto"/>
        </w:rPr>
      </w:pPr>
    </w:p>
    <w:p>
      <w:pPr>
        <w:ind w:right="180" w:firstLine="395"/>
        <w:spacing w:after="0" w:line="252" w:lineRule="auto"/>
        <w:rPr>
          <w:sz w:val="20"/>
          <w:szCs w:val="20"/>
          <w:color w:val="auto"/>
        </w:rPr>
      </w:pPr>
      <w:r>
        <w:rPr>
          <w:rFonts w:ascii="Arial" w:cs="Arial" w:eastAsia="Arial" w:hAnsi="Arial"/>
          <w:sz w:val="18"/>
          <w:szCs w:val="18"/>
          <w:b w:val="1"/>
          <w:bCs w:val="1"/>
          <w:color w:val="auto"/>
        </w:rPr>
        <w:t>Employment Agreements; Severance and Change-in-Control Arrangements</w:t>
      </w:r>
      <w:r>
        <w:rPr>
          <w:rFonts w:ascii="Arial" w:cs="Arial" w:eastAsia="Arial" w:hAnsi="Arial"/>
          <w:sz w:val="18"/>
          <w:szCs w:val="18"/>
          <w:color w:val="auto"/>
        </w:rPr>
        <w:t>—Westlake does not have employment agreements with any of the</w:t>
      </w:r>
      <w:r>
        <w:rPr>
          <w:rFonts w:ascii="Arial" w:cs="Arial" w:eastAsia="Arial" w:hAnsi="Arial"/>
          <w:sz w:val="18"/>
          <w:szCs w:val="18"/>
          <w:b w:val="1"/>
          <w:bCs w:val="1"/>
          <w:color w:val="auto"/>
        </w:rPr>
        <w:t xml:space="preserve"> </w:t>
      </w:r>
      <w:r>
        <w:rPr>
          <w:rFonts w:ascii="Arial" w:cs="Arial" w:eastAsia="Arial" w:hAnsi="Arial"/>
          <w:sz w:val="18"/>
          <w:szCs w:val="18"/>
          <w:color w:val="auto"/>
        </w:rPr>
        <w:t>Westlake NEOs; however, each Westlake Executive, including each of the Westlake NEOs, is typically provided an offer letter of employment containing the principal elements of the employment arrangement, including compensation. None of these offer letters currently contains a provision for payments upon a change in control.</w:t>
      </w: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84" w:name="page85"/>
    <w:bookmarkEnd w:id="8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right="80" w:firstLine="395"/>
        <w:spacing w:after="0" w:line="303" w:lineRule="auto"/>
        <w:rPr>
          <w:sz w:val="20"/>
          <w:szCs w:val="20"/>
          <w:color w:val="auto"/>
        </w:rPr>
      </w:pPr>
      <w:r>
        <w:rPr>
          <w:rFonts w:ascii="Arial" w:cs="Arial" w:eastAsia="Arial" w:hAnsi="Arial"/>
          <w:sz w:val="16"/>
          <w:szCs w:val="16"/>
          <w:b w:val="1"/>
          <w:bCs w:val="1"/>
          <w:color w:val="auto"/>
        </w:rPr>
        <w:t>Deferred Compensation Programs</w:t>
      </w:r>
      <w:r>
        <w:rPr>
          <w:rFonts w:ascii="Arial" w:cs="Arial" w:eastAsia="Arial" w:hAnsi="Arial"/>
          <w:sz w:val="16"/>
          <w:szCs w:val="16"/>
          <w:color w:val="auto"/>
        </w:rPr>
        <w:t>—Westlake has no deferred compensation programs for which its executives are eligible to participate except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standard provisions of Westlake's 401(k) plan and provisions of Section 125 of the Internal Revenue Code whereby salary is reduced for taxation since the 401(k) contributions are made by employees on a pre-tax basis, thereby reducing their salary and taxable income.</w:t>
      </w:r>
    </w:p>
    <w:p>
      <w:pPr>
        <w:spacing w:after="0" w:line="172" w:lineRule="exact"/>
        <w:rPr>
          <w:sz w:val="20"/>
          <w:szCs w:val="20"/>
          <w:color w:val="auto"/>
        </w:rPr>
      </w:pPr>
    </w:p>
    <w:p>
      <w:pPr>
        <w:jc w:val="center"/>
        <w:ind w:right="-319"/>
        <w:spacing w:after="0"/>
        <w:rPr>
          <w:sz w:val="20"/>
          <w:szCs w:val="20"/>
          <w:color w:val="auto"/>
        </w:rPr>
      </w:pPr>
      <w:r>
        <w:rPr>
          <w:rFonts w:ascii="Arial" w:cs="Arial" w:eastAsia="Arial" w:hAnsi="Arial"/>
          <w:sz w:val="18"/>
          <w:szCs w:val="18"/>
          <w:b w:val="1"/>
          <w:bCs w:val="1"/>
          <w:color w:val="auto"/>
        </w:rPr>
        <w:t>COMPENSATION COMMITTEE REPORT</w:t>
      </w:r>
    </w:p>
    <w:p>
      <w:pPr>
        <w:spacing w:after="0" w:line="260" w:lineRule="exact"/>
        <w:rPr>
          <w:sz w:val="20"/>
          <w:szCs w:val="20"/>
          <w:color w:val="auto"/>
        </w:rPr>
      </w:pPr>
    </w:p>
    <w:p>
      <w:pPr>
        <w:ind w:right="440" w:firstLine="395"/>
        <w:spacing w:after="0" w:line="324" w:lineRule="auto"/>
        <w:rPr>
          <w:sz w:val="20"/>
          <w:szCs w:val="20"/>
          <w:color w:val="auto"/>
        </w:rPr>
      </w:pPr>
      <w:r>
        <w:rPr>
          <w:rFonts w:ascii="Arial" w:cs="Arial" w:eastAsia="Arial" w:hAnsi="Arial"/>
          <w:sz w:val="16"/>
          <w:szCs w:val="16"/>
          <w:color w:val="auto"/>
        </w:rPr>
        <w:t>Neither we nor our general partner has a compensation committee. The board of directors has reviewed and discussed the Company's Compensation Discussion and Analysis with management and, based upon this review, has approved it for inclusion in this report.</w:t>
      </w:r>
    </w:p>
    <w:p>
      <w:pPr>
        <w:spacing w:after="0" w:line="82" w:lineRule="exact"/>
        <w:rPr>
          <w:sz w:val="20"/>
          <w:szCs w:val="20"/>
          <w:color w:val="auto"/>
        </w:rPr>
      </w:pPr>
    </w:p>
    <w:p>
      <w:pPr>
        <w:ind w:right="260" w:firstLine="395"/>
        <w:spacing w:after="0" w:line="252" w:lineRule="auto"/>
        <w:rPr>
          <w:sz w:val="20"/>
          <w:szCs w:val="20"/>
          <w:color w:val="auto"/>
        </w:rPr>
      </w:pPr>
      <w:r>
        <w:rPr>
          <w:rFonts w:ascii="Arial" w:cs="Arial" w:eastAsia="Arial" w:hAnsi="Arial"/>
          <w:sz w:val="18"/>
          <w:szCs w:val="18"/>
          <w:color w:val="auto"/>
        </w:rPr>
        <w:t>The information contained in this report shall not be deemed to be "soliciting material" or "filed" or incorporated by reference in future filings with the SEC, or subject to the liabilities of Section 18 of the Exchange Act, except to the extent that the Company specifically incorporates it by reference into a document filed under the Securities Act or the Exchange Act.</w:t>
      </w:r>
    </w:p>
    <w:p>
      <w:pPr>
        <w:spacing w:after="0" w:line="224"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THE BOARD OF DIRECTORS OF</w:t>
      </w:r>
    </w:p>
    <w:p>
      <w:pPr>
        <w:spacing w:after="0" w:line="21"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WESTLAKE CHEMICAL PARTNERS GP LLC</w:t>
      </w:r>
    </w:p>
    <w:p>
      <w:pPr>
        <w:spacing w:after="0" w:line="308" w:lineRule="exact"/>
        <w:rPr>
          <w:sz w:val="20"/>
          <w:szCs w:val="20"/>
          <w:color w:val="auto"/>
        </w:rPr>
      </w:pPr>
    </w:p>
    <w:p>
      <w:pPr>
        <w:ind w:left="3800"/>
        <w:spacing w:after="0"/>
        <w:rPr>
          <w:sz w:val="20"/>
          <w:szCs w:val="20"/>
          <w:color w:val="auto"/>
        </w:rPr>
      </w:pPr>
      <w:r>
        <w:rPr>
          <w:rFonts w:ascii="Arial" w:cs="Arial" w:eastAsia="Arial" w:hAnsi="Arial"/>
          <w:sz w:val="18"/>
          <w:szCs w:val="18"/>
          <w:i w:val="1"/>
          <w:iCs w:val="1"/>
          <w:color w:val="auto"/>
        </w:rPr>
        <w:t>Albert Y. Chao</w:t>
      </w:r>
    </w:p>
    <w:p>
      <w:pPr>
        <w:spacing w:after="0" w:line="96" w:lineRule="exact"/>
        <w:rPr>
          <w:sz w:val="20"/>
          <w:szCs w:val="20"/>
          <w:color w:val="auto"/>
        </w:rPr>
      </w:pPr>
    </w:p>
    <w:p>
      <w:pPr>
        <w:ind w:left="3800"/>
        <w:spacing w:after="0"/>
        <w:rPr>
          <w:sz w:val="20"/>
          <w:szCs w:val="20"/>
          <w:color w:val="auto"/>
        </w:rPr>
      </w:pPr>
      <w:r>
        <w:rPr>
          <w:rFonts w:ascii="Arial" w:cs="Arial" w:eastAsia="Arial" w:hAnsi="Arial"/>
          <w:sz w:val="18"/>
          <w:szCs w:val="18"/>
          <w:i w:val="1"/>
          <w:iCs w:val="1"/>
          <w:color w:val="auto"/>
        </w:rPr>
        <w:t>James Y. Chao</w:t>
      </w:r>
    </w:p>
    <w:p>
      <w:pPr>
        <w:spacing w:after="0" w:line="96" w:lineRule="exact"/>
        <w:rPr>
          <w:sz w:val="20"/>
          <w:szCs w:val="20"/>
          <w:color w:val="auto"/>
        </w:rPr>
      </w:pPr>
    </w:p>
    <w:p>
      <w:pPr>
        <w:ind w:left="3800"/>
        <w:spacing w:after="0"/>
        <w:rPr>
          <w:sz w:val="20"/>
          <w:szCs w:val="20"/>
          <w:color w:val="auto"/>
        </w:rPr>
      </w:pPr>
      <w:r>
        <w:rPr>
          <w:rFonts w:ascii="Arial" w:cs="Arial" w:eastAsia="Arial" w:hAnsi="Arial"/>
          <w:sz w:val="18"/>
          <w:szCs w:val="18"/>
          <w:i w:val="1"/>
          <w:iCs w:val="1"/>
          <w:color w:val="auto"/>
        </w:rPr>
        <w:t>M. Steven Bender</w:t>
      </w:r>
    </w:p>
    <w:p>
      <w:pPr>
        <w:spacing w:after="0" w:line="83" w:lineRule="exact"/>
        <w:rPr>
          <w:sz w:val="20"/>
          <w:szCs w:val="20"/>
          <w:color w:val="auto"/>
        </w:rPr>
      </w:pPr>
    </w:p>
    <w:p>
      <w:pPr>
        <w:ind w:left="3800"/>
        <w:spacing w:after="0"/>
        <w:rPr>
          <w:sz w:val="20"/>
          <w:szCs w:val="20"/>
          <w:color w:val="auto"/>
        </w:rPr>
      </w:pPr>
      <w:r>
        <w:rPr>
          <w:rFonts w:ascii="Arial" w:cs="Arial" w:eastAsia="Arial" w:hAnsi="Arial"/>
          <w:sz w:val="18"/>
          <w:szCs w:val="18"/>
          <w:i w:val="1"/>
          <w:iCs w:val="1"/>
          <w:color w:val="auto"/>
        </w:rPr>
        <w:t>L. Benjamin Ederington</w:t>
      </w:r>
    </w:p>
    <w:p>
      <w:pPr>
        <w:spacing w:after="0" w:line="96" w:lineRule="exact"/>
        <w:rPr>
          <w:sz w:val="20"/>
          <w:szCs w:val="20"/>
          <w:color w:val="auto"/>
        </w:rPr>
      </w:pPr>
    </w:p>
    <w:p>
      <w:pPr>
        <w:ind w:left="3800"/>
        <w:spacing w:after="0"/>
        <w:rPr>
          <w:sz w:val="20"/>
          <w:szCs w:val="20"/>
          <w:color w:val="auto"/>
        </w:rPr>
      </w:pPr>
      <w:r>
        <w:rPr>
          <w:rFonts w:ascii="Arial" w:cs="Arial" w:eastAsia="Arial" w:hAnsi="Arial"/>
          <w:sz w:val="18"/>
          <w:szCs w:val="18"/>
          <w:i w:val="1"/>
          <w:iCs w:val="1"/>
          <w:color w:val="auto"/>
        </w:rPr>
        <w:t>G. Stephen Finley</w:t>
      </w:r>
    </w:p>
    <w:p>
      <w:pPr>
        <w:spacing w:after="0" w:line="96" w:lineRule="exact"/>
        <w:rPr>
          <w:sz w:val="20"/>
          <w:szCs w:val="20"/>
          <w:color w:val="auto"/>
        </w:rPr>
      </w:pPr>
    </w:p>
    <w:p>
      <w:pPr>
        <w:ind w:left="3800"/>
        <w:spacing w:after="0"/>
        <w:rPr>
          <w:sz w:val="20"/>
          <w:szCs w:val="20"/>
          <w:color w:val="auto"/>
        </w:rPr>
      </w:pPr>
      <w:r>
        <w:rPr>
          <w:rFonts w:ascii="Arial" w:cs="Arial" w:eastAsia="Arial" w:hAnsi="Arial"/>
          <w:sz w:val="18"/>
          <w:szCs w:val="18"/>
          <w:i w:val="1"/>
          <w:iCs w:val="1"/>
          <w:color w:val="auto"/>
        </w:rPr>
        <w:t>Angela A. Minas</w:t>
      </w:r>
    </w:p>
    <w:p>
      <w:pPr>
        <w:spacing w:after="0" w:line="83" w:lineRule="exact"/>
        <w:rPr>
          <w:sz w:val="20"/>
          <w:szCs w:val="20"/>
          <w:color w:val="auto"/>
        </w:rPr>
      </w:pPr>
    </w:p>
    <w:p>
      <w:pPr>
        <w:ind w:left="3800"/>
        <w:spacing w:after="0"/>
        <w:rPr>
          <w:sz w:val="20"/>
          <w:szCs w:val="20"/>
          <w:color w:val="auto"/>
        </w:rPr>
      </w:pPr>
      <w:r>
        <w:rPr>
          <w:rFonts w:ascii="Arial" w:cs="Arial" w:eastAsia="Arial" w:hAnsi="Arial"/>
          <w:sz w:val="18"/>
          <w:szCs w:val="18"/>
          <w:i w:val="1"/>
          <w:iCs w:val="1"/>
          <w:color w:val="auto"/>
        </w:rPr>
        <w:t>Randy G. Woelfel</w:t>
      </w:r>
    </w:p>
    <w:p>
      <w:pPr>
        <w:spacing w:after="0" w:line="200" w:lineRule="exact"/>
        <w:rPr>
          <w:sz w:val="20"/>
          <w:szCs w:val="20"/>
          <w:color w:val="auto"/>
        </w:rPr>
      </w:pPr>
    </w:p>
    <w:p>
      <w:pPr>
        <w:spacing w:after="0" w:line="3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provides information regarding the compensation awarded to or earned during 2022 and prior years, as applicable by the NEOs.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Compensation Table</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020" w:type="dxa"/>
            <w:vAlign w:val="bottom"/>
            <w:tcBorders>
              <w:bottom w:val="single" w:sz="8" w:color="auto"/>
            </w:tcBorders>
          </w:tcPr>
          <w:p>
            <w:pPr>
              <w:ind w:left="1660"/>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Borders>
              <w:bottom w:val="single" w:sz="8" w:color="CCEEFF"/>
            </w:tcBorders>
          </w:tcPr>
          <w:p>
            <w:pPr>
              <w:spacing w:after="0"/>
              <w:rPr>
                <w:sz w:val="18"/>
                <w:szCs w:val="18"/>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Year</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w w:val="93"/>
              </w:rPr>
              <w:t xml:space="preserve">Base Salary </w:t>
            </w:r>
            <w:r>
              <w:rPr>
                <w:rFonts w:ascii="Arial" w:cs="Arial" w:eastAsia="Arial" w:hAnsi="Arial"/>
                <w:sz w:val="18"/>
                <w:szCs w:val="18"/>
                <w:b w:val="1"/>
                <w:bCs w:val="1"/>
                <w:color w:val="auto"/>
                <w:w w:val="93"/>
                <w:vertAlign w:val="superscript"/>
              </w:rPr>
              <w:t>(1)</w:t>
            </w:r>
          </w:p>
        </w:tc>
        <w:tc>
          <w:tcPr>
            <w:tcW w:w="100" w:type="dxa"/>
            <w:vAlign w:val="bottom"/>
            <w:tcBorders>
              <w:bottom w:val="single" w:sz="8" w:color="CCEEFF"/>
            </w:tcBorders>
          </w:tcPr>
          <w:p>
            <w:pPr>
              <w:spacing w:after="0"/>
              <w:rPr>
                <w:sz w:val="18"/>
                <w:szCs w:val="18"/>
                <w:color w:val="auto"/>
              </w:rPr>
            </w:pPr>
          </w:p>
        </w:tc>
        <w:tc>
          <w:tcPr>
            <w:tcW w:w="156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w w:val="99"/>
              </w:rPr>
              <w:t xml:space="preserve">Portion Allocation </w:t>
            </w:r>
            <w:r>
              <w:rPr>
                <w:rFonts w:ascii="Arial" w:cs="Arial" w:eastAsia="Arial" w:hAnsi="Arial"/>
                <w:sz w:val="18"/>
                <w:szCs w:val="18"/>
                <w:b w:val="1"/>
                <w:bCs w:val="1"/>
                <w:color w:val="auto"/>
                <w:w w:val="99"/>
                <w:vertAlign w:val="superscript"/>
              </w:rPr>
              <w:t>(2)</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18"/>
                <w:szCs w:val="18"/>
                <w:b w:val="1"/>
                <w:bCs w:val="1"/>
                <w:color w:val="auto"/>
                <w:vertAlign w:val="superscript"/>
              </w:rPr>
              <w:t>(3)</w:t>
            </w:r>
          </w:p>
        </w:tc>
        <w:tc>
          <w:tcPr>
            <w:tcW w:w="0" w:type="dxa"/>
            <w:vAlign w:val="bottom"/>
          </w:tcPr>
          <w:p>
            <w:pPr>
              <w:spacing w:after="0"/>
              <w:rPr>
                <w:sz w:val="1"/>
                <w:szCs w:val="1"/>
                <w:color w:val="auto"/>
              </w:rPr>
            </w:pPr>
          </w:p>
        </w:tc>
      </w:tr>
      <w:tr>
        <w:trPr>
          <w:trHeight w:val="178"/>
        </w:trPr>
        <w:tc>
          <w:tcPr>
            <w:tcW w:w="5120" w:type="dxa"/>
            <w:vAlign w:val="bottom"/>
            <w:gridSpan w:val="2"/>
            <w:shd w:val="clear" w:color="auto" w:fill="CCEEFF"/>
          </w:tcPr>
          <w:p>
            <w:pPr>
              <w:ind w:left="20"/>
              <w:spacing w:after="0" w:line="178" w:lineRule="exact"/>
              <w:rPr>
                <w:sz w:val="20"/>
                <w:szCs w:val="20"/>
                <w:color w:val="auto"/>
              </w:rPr>
            </w:pPr>
            <w:r>
              <w:rPr>
                <w:rFonts w:ascii="Arial" w:cs="Arial" w:eastAsia="Arial" w:hAnsi="Arial"/>
                <w:sz w:val="18"/>
                <w:szCs w:val="18"/>
                <w:color w:val="auto"/>
              </w:rPr>
              <w:t>Albert Y. Chao</w:t>
            </w: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51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President and Chief Executive Officer</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1,201,000</w:t>
            </w:r>
          </w:p>
        </w:tc>
        <w:tc>
          <w:tcPr>
            <w:tcW w:w="100" w:type="dxa"/>
            <w:vAlign w:val="bottom"/>
            <w:shd w:val="clear" w:color="auto" w:fill="CCEEFF"/>
          </w:tcPr>
          <w:p>
            <w:pPr>
              <w:spacing w:after="0"/>
              <w:rPr>
                <w:sz w:val="19"/>
                <w:szCs w:val="19"/>
                <w:color w:val="auto"/>
              </w:rPr>
            </w:pPr>
          </w:p>
        </w:tc>
        <w:tc>
          <w:tcPr>
            <w:tcW w:w="1980" w:type="dxa"/>
            <w:vAlign w:val="bottom"/>
            <w:gridSpan w:val="3"/>
            <w:shd w:val="clear" w:color="auto" w:fill="CCEEFF"/>
          </w:tcPr>
          <w:p>
            <w:pPr>
              <w:ind w:left="1040"/>
              <w:spacing w:after="0"/>
              <w:rPr>
                <w:sz w:val="20"/>
                <w:szCs w:val="20"/>
                <w:color w:val="auto"/>
              </w:rPr>
            </w:pPr>
            <w:r>
              <w:rPr>
                <w:rFonts w:ascii="Arial" w:cs="Arial" w:eastAsia="Arial" w:hAnsi="Arial"/>
                <w:sz w:val="18"/>
                <w:szCs w:val="18"/>
                <w:color w:val="auto"/>
              </w:rPr>
              <w:t>10.0 %  $</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120,100</w:t>
            </w:r>
          </w:p>
        </w:tc>
        <w:tc>
          <w:tcPr>
            <w:tcW w:w="0" w:type="dxa"/>
            <w:vAlign w:val="bottom"/>
          </w:tcPr>
          <w:p>
            <w:pPr>
              <w:spacing w:after="0"/>
              <w:rPr>
                <w:sz w:val="1"/>
                <w:szCs w:val="1"/>
                <w:color w:val="auto"/>
              </w:rPr>
            </w:pPr>
          </w:p>
        </w:tc>
      </w:tr>
      <w:tr>
        <w:trPr>
          <w:trHeight w:val="223"/>
        </w:trPr>
        <w:tc>
          <w:tcPr>
            <w:tcW w:w="5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4"/>
              </w:rPr>
              <w:t>2021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1,163,167</w:t>
            </w:r>
          </w:p>
        </w:tc>
        <w:tc>
          <w:tcPr>
            <w:tcW w:w="100" w:type="dxa"/>
            <w:vAlign w:val="bottom"/>
          </w:tcPr>
          <w:p>
            <w:pPr>
              <w:spacing w:after="0"/>
              <w:rPr>
                <w:sz w:val="19"/>
                <w:szCs w:val="19"/>
                <w:color w:val="auto"/>
              </w:rPr>
            </w:pPr>
          </w:p>
        </w:tc>
        <w:tc>
          <w:tcPr>
            <w:tcW w:w="1560" w:type="dxa"/>
            <w:vAlign w:val="bottom"/>
          </w:tcPr>
          <w:p>
            <w:pPr>
              <w:ind w:left="1040"/>
              <w:spacing w:after="0"/>
              <w:rPr>
                <w:sz w:val="20"/>
                <w:szCs w:val="20"/>
                <w:color w:val="auto"/>
              </w:rPr>
            </w:pPr>
            <w:r>
              <w:rPr>
                <w:rFonts w:ascii="Arial" w:cs="Arial" w:eastAsia="Arial" w:hAnsi="Arial"/>
                <w:sz w:val="18"/>
                <w:szCs w:val="18"/>
                <w:color w:val="auto"/>
                <w:w w:val="89"/>
              </w:rPr>
              <w:t>10.0 %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116,317</w:t>
            </w:r>
          </w:p>
        </w:tc>
        <w:tc>
          <w:tcPr>
            <w:tcW w:w="0" w:type="dxa"/>
            <w:vAlign w:val="bottom"/>
          </w:tcPr>
          <w:p>
            <w:pPr>
              <w:spacing w:after="0"/>
              <w:rPr>
                <w:sz w:val="1"/>
                <w:szCs w:val="1"/>
                <w:color w:val="auto"/>
              </w:rPr>
            </w:pPr>
          </w:p>
        </w:tc>
      </w:tr>
      <w:tr>
        <w:trPr>
          <w:trHeight w:val="224"/>
        </w:trPr>
        <w:tc>
          <w:tcPr>
            <w:tcW w:w="5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1040"/>
              <w:spacing w:after="0"/>
              <w:rPr>
                <w:sz w:val="20"/>
                <w:szCs w:val="20"/>
                <w:color w:val="auto"/>
              </w:rPr>
            </w:pPr>
            <w:r>
              <w:rPr>
                <w:rFonts w:ascii="Arial" w:cs="Arial" w:eastAsia="Arial" w:hAnsi="Arial"/>
                <w:sz w:val="18"/>
                <w:szCs w:val="18"/>
                <w:color w:val="auto"/>
                <w:w w:val="89"/>
              </w:rPr>
              <w:t>10.0 %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114,400</w:t>
            </w:r>
          </w:p>
        </w:tc>
        <w:tc>
          <w:tcPr>
            <w:tcW w:w="0" w:type="dxa"/>
            <w:vAlign w:val="bottom"/>
          </w:tcPr>
          <w:p>
            <w:pPr>
              <w:spacing w:after="0"/>
              <w:rPr>
                <w:sz w:val="1"/>
                <w:szCs w:val="1"/>
                <w:color w:val="auto"/>
              </w:rPr>
            </w:pPr>
          </w:p>
        </w:tc>
      </w:tr>
      <w:tr>
        <w:trPr>
          <w:trHeight w:val="185"/>
        </w:trPr>
        <w:tc>
          <w:tcPr>
            <w:tcW w:w="5120" w:type="dxa"/>
            <w:vAlign w:val="bottom"/>
            <w:gridSpan w:val="2"/>
          </w:tcPr>
          <w:p>
            <w:pPr>
              <w:ind w:left="20"/>
              <w:spacing w:after="0" w:line="185" w:lineRule="exact"/>
              <w:rPr>
                <w:sz w:val="20"/>
                <w:szCs w:val="20"/>
                <w:color w:val="auto"/>
              </w:rPr>
            </w:pPr>
            <w:r>
              <w:rPr>
                <w:rFonts w:ascii="Arial" w:cs="Arial" w:eastAsia="Arial" w:hAnsi="Arial"/>
                <w:sz w:val="18"/>
                <w:szCs w:val="18"/>
                <w:color w:val="auto"/>
              </w:rPr>
              <w:t>M. Steven Bender</w:t>
            </w: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5120" w:type="dxa"/>
            <w:vAlign w:val="bottom"/>
            <w:gridSpan w:val="2"/>
          </w:tcPr>
          <w:p>
            <w:pPr>
              <w:ind w:left="160"/>
              <w:spacing w:after="0" w:line="171" w:lineRule="exact"/>
              <w:rPr>
                <w:sz w:val="20"/>
                <w:szCs w:val="20"/>
                <w:color w:val="auto"/>
              </w:rPr>
            </w:pPr>
            <w:r>
              <w:rPr>
                <w:rFonts w:ascii="Arial" w:cs="Arial" w:eastAsia="Arial" w:hAnsi="Arial"/>
                <w:sz w:val="18"/>
                <w:szCs w:val="18"/>
                <w:color w:val="auto"/>
              </w:rPr>
              <w:t>Executive Vice President and</w:t>
            </w:r>
          </w:p>
        </w:tc>
        <w:tc>
          <w:tcPr>
            <w:tcW w:w="1420" w:type="dxa"/>
            <w:vAlign w:val="bottom"/>
            <w:vMerge w:val="restart"/>
          </w:tcPr>
          <w:p>
            <w:pPr>
              <w:jc w:val="center"/>
              <w:spacing w:after="0"/>
              <w:rPr>
                <w:sz w:val="20"/>
                <w:szCs w:val="20"/>
                <w:color w:val="auto"/>
              </w:rPr>
            </w:pPr>
            <w:r>
              <w:rPr>
                <w:rFonts w:ascii="Arial" w:cs="Arial" w:eastAsia="Arial" w:hAnsi="Arial"/>
                <w:sz w:val="18"/>
                <w:szCs w:val="18"/>
                <w:color w:val="auto"/>
                <w:w w:val="84"/>
              </w:rPr>
              <w:t>2022</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660,000</w:t>
            </w:r>
          </w:p>
        </w:tc>
        <w:tc>
          <w:tcPr>
            <w:tcW w:w="100" w:type="dxa"/>
            <w:vAlign w:val="bottom"/>
          </w:tcPr>
          <w:p>
            <w:pPr>
              <w:spacing w:after="0"/>
              <w:rPr>
                <w:sz w:val="14"/>
                <w:szCs w:val="14"/>
                <w:color w:val="auto"/>
              </w:rPr>
            </w:pPr>
          </w:p>
        </w:tc>
        <w:tc>
          <w:tcPr>
            <w:tcW w:w="1560" w:type="dxa"/>
            <w:vAlign w:val="bottom"/>
            <w:vMerge w:val="restart"/>
          </w:tcPr>
          <w:p>
            <w:pPr>
              <w:ind w:left="1040"/>
              <w:spacing w:after="0"/>
              <w:rPr>
                <w:sz w:val="20"/>
                <w:szCs w:val="20"/>
                <w:color w:val="auto"/>
              </w:rPr>
            </w:pPr>
            <w:r>
              <w:rPr>
                <w:rFonts w:ascii="Arial" w:cs="Arial" w:eastAsia="Arial" w:hAnsi="Arial"/>
                <w:sz w:val="18"/>
                <w:szCs w:val="18"/>
                <w:color w:val="auto"/>
                <w:w w:val="89"/>
              </w:rPr>
              <w:t>10.0 %</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66,000</w:t>
            </w:r>
          </w:p>
        </w:tc>
        <w:tc>
          <w:tcPr>
            <w:tcW w:w="0" w:type="dxa"/>
            <w:vAlign w:val="bottom"/>
          </w:tcPr>
          <w:p>
            <w:pPr>
              <w:spacing w:after="0"/>
              <w:rPr>
                <w:sz w:val="1"/>
                <w:szCs w:val="1"/>
                <w:color w:val="auto"/>
              </w:rPr>
            </w:pPr>
          </w:p>
        </w:tc>
      </w:tr>
      <w:tr>
        <w:trPr>
          <w:trHeight w:val="223"/>
        </w:trPr>
        <w:tc>
          <w:tcPr>
            <w:tcW w:w="5120" w:type="dxa"/>
            <w:vAlign w:val="bottom"/>
            <w:gridSpan w:val="2"/>
          </w:tcPr>
          <w:p>
            <w:pPr>
              <w:ind w:left="160"/>
              <w:spacing w:after="0"/>
              <w:rPr>
                <w:sz w:val="20"/>
                <w:szCs w:val="20"/>
                <w:color w:val="auto"/>
              </w:rPr>
            </w:pPr>
            <w:r>
              <w:rPr>
                <w:rFonts w:ascii="Arial" w:cs="Arial" w:eastAsia="Arial" w:hAnsi="Arial"/>
                <w:sz w:val="18"/>
                <w:szCs w:val="18"/>
                <w:color w:val="auto"/>
              </w:rPr>
              <w:t>Chief Financial Officer</w:t>
            </w:r>
          </w:p>
        </w:tc>
        <w:tc>
          <w:tcPr>
            <w:tcW w:w="1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5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2021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638,833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ind w:left="1040"/>
              <w:spacing w:after="0"/>
              <w:rPr>
                <w:sz w:val="20"/>
                <w:szCs w:val="20"/>
                <w:color w:val="auto"/>
              </w:rPr>
            </w:pPr>
            <w:r>
              <w:rPr>
                <w:rFonts w:ascii="Arial" w:cs="Arial" w:eastAsia="Arial" w:hAnsi="Arial"/>
                <w:sz w:val="18"/>
                <w:szCs w:val="18"/>
                <w:color w:val="auto"/>
                <w:w w:val="89"/>
              </w:rPr>
              <w:t>10.0 %</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63,883</w:t>
            </w:r>
          </w:p>
        </w:tc>
        <w:tc>
          <w:tcPr>
            <w:tcW w:w="0" w:type="dxa"/>
            <w:vAlign w:val="bottom"/>
          </w:tcPr>
          <w:p>
            <w:pPr>
              <w:spacing w:after="0"/>
              <w:rPr>
                <w:sz w:val="1"/>
                <w:szCs w:val="1"/>
                <w:color w:val="auto"/>
              </w:rPr>
            </w:pPr>
          </w:p>
        </w:tc>
      </w:tr>
      <w:tr>
        <w:trPr>
          <w:trHeight w:val="223"/>
        </w:trPr>
        <w:tc>
          <w:tcPr>
            <w:tcW w:w="5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84"/>
              </w:rPr>
              <w:t>2020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628,000</w:t>
            </w:r>
          </w:p>
        </w:tc>
        <w:tc>
          <w:tcPr>
            <w:tcW w:w="100" w:type="dxa"/>
            <w:vAlign w:val="bottom"/>
          </w:tcPr>
          <w:p>
            <w:pPr>
              <w:spacing w:after="0"/>
              <w:rPr>
                <w:sz w:val="19"/>
                <w:szCs w:val="19"/>
                <w:color w:val="auto"/>
              </w:rPr>
            </w:pPr>
          </w:p>
        </w:tc>
        <w:tc>
          <w:tcPr>
            <w:tcW w:w="1560" w:type="dxa"/>
            <w:vAlign w:val="bottom"/>
          </w:tcPr>
          <w:p>
            <w:pPr>
              <w:ind w:left="1040"/>
              <w:spacing w:after="0"/>
              <w:rPr>
                <w:sz w:val="20"/>
                <w:szCs w:val="20"/>
                <w:color w:val="auto"/>
              </w:rPr>
            </w:pPr>
            <w:r>
              <w:rPr>
                <w:rFonts w:ascii="Arial" w:cs="Arial" w:eastAsia="Arial" w:hAnsi="Arial"/>
                <w:sz w:val="18"/>
                <w:szCs w:val="18"/>
                <w:color w:val="auto"/>
                <w:w w:val="89"/>
              </w:rPr>
              <w:t>12.5 %</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78,500</w:t>
            </w:r>
          </w:p>
        </w:tc>
        <w:tc>
          <w:tcPr>
            <w:tcW w:w="0" w:type="dxa"/>
            <w:vAlign w:val="bottom"/>
          </w:tcPr>
          <w:p>
            <w:pPr>
              <w:spacing w:after="0"/>
              <w:rPr>
                <w:sz w:val="1"/>
                <w:szCs w:val="1"/>
                <w:color w:val="auto"/>
              </w:rPr>
            </w:pPr>
          </w:p>
        </w:tc>
      </w:tr>
    </w:tbl>
    <w:p>
      <w:pPr>
        <w:spacing w:after="0" w:line="32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81" w:lineRule="exact"/>
        <w:rPr>
          <w:sz w:val="20"/>
          <w:szCs w:val="20"/>
          <w:color w:val="auto"/>
        </w:rPr>
      </w:pPr>
    </w:p>
    <w:p>
      <w:pPr>
        <w:ind w:left="320" w:hanging="315"/>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See "Compensation Discussion and Analysis—Establishing Compensation Levels—Base Pay" for more information on base salary.</w:t>
      </w:r>
    </w:p>
    <w:p>
      <w:pPr>
        <w:spacing w:after="0" w:line="95" w:lineRule="exact"/>
        <w:rPr>
          <w:rFonts w:ascii="Arial" w:cs="Arial" w:eastAsia="Arial" w:hAnsi="Arial"/>
          <w:sz w:val="18"/>
          <w:szCs w:val="18"/>
          <w:color w:val="auto"/>
        </w:rPr>
      </w:pPr>
    </w:p>
    <w:p>
      <w:pPr>
        <w:ind w:left="320" w:hanging="315"/>
        <w:spacing w:after="0"/>
        <w:tabs>
          <w:tab w:leader="none" w:pos="32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See "Compensation Discussion and Analysis—Overview" for more information on the portion of base salary allocated to us by Westlake.</w:t>
      </w:r>
    </w:p>
    <w:p>
      <w:pPr>
        <w:spacing w:after="0" w:line="82" w:lineRule="exact"/>
        <w:rPr>
          <w:rFonts w:ascii="Arial" w:cs="Arial" w:eastAsia="Arial" w:hAnsi="Arial"/>
          <w:sz w:val="18"/>
          <w:szCs w:val="18"/>
          <w:color w:val="auto"/>
        </w:rPr>
      </w:pPr>
    </w:p>
    <w:p>
      <w:pPr>
        <w:ind w:left="320" w:right="360" w:hanging="315"/>
        <w:spacing w:after="0" w:line="261" w:lineRule="auto"/>
        <w:tabs>
          <w:tab w:leader="none" w:pos="314"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Reflects the portion of base salary allocated to us by Westlake for the periods from January 1, 2022 through December 31, 2022, from January 1, 2021 through December 31, 2021 and from January 1, 2020 through December 31, 2020.</w:t>
      </w: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5" w:name="page86"/>
    <w:bookmarkEnd w:id="8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89" w:lineRule="exact"/>
        <w:rPr>
          <w:sz w:val="20"/>
          <w:szCs w:val="20"/>
          <w:color w:val="auto"/>
        </w:rPr>
      </w:pPr>
    </w:p>
    <w:p>
      <w:pPr>
        <w:jc w:val="both"/>
        <w:ind w:right="100" w:firstLine="395"/>
        <w:spacing w:after="0" w:line="252" w:lineRule="auto"/>
        <w:rPr>
          <w:sz w:val="20"/>
          <w:szCs w:val="20"/>
          <w:color w:val="auto"/>
        </w:rPr>
      </w:pPr>
      <w:r>
        <w:rPr>
          <w:rFonts w:ascii="Arial" w:cs="Arial" w:eastAsia="Arial" w:hAnsi="Arial"/>
          <w:sz w:val="18"/>
          <w:szCs w:val="18"/>
          <w:color w:val="auto"/>
        </w:rPr>
        <w:t>Officers or employees of Westlake or its affiliates who also serve as directors do not receive additional compensation for such service. The directors who are not also officers or employees of Westlake or its affiliates (i.e., Ms. Minas and Messrs. Finley and Woelfel) receive compensation from our general partner for their service.</w:t>
      </w:r>
    </w:p>
    <w:p>
      <w:pPr>
        <w:spacing w:after="0" w:line="72" w:lineRule="exact"/>
        <w:rPr>
          <w:sz w:val="20"/>
          <w:szCs w:val="20"/>
          <w:color w:val="auto"/>
        </w:rPr>
      </w:pPr>
    </w:p>
    <w:p>
      <w:pPr>
        <w:ind w:right="20" w:firstLine="395"/>
        <w:spacing w:after="0" w:line="287" w:lineRule="auto"/>
        <w:rPr>
          <w:sz w:val="20"/>
          <w:szCs w:val="20"/>
          <w:color w:val="auto"/>
        </w:rPr>
      </w:pPr>
      <w:r>
        <w:rPr>
          <w:rFonts w:ascii="Arial" w:cs="Arial" w:eastAsia="Arial" w:hAnsi="Arial"/>
          <w:sz w:val="16"/>
          <w:szCs w:val="16"/>
          <w:color w:val="auto"/>
        </w:rPr>
        <w:t>In 2022, Messrs. Finley and Woelfel and Ms. Minas each received an annual retainer valued at approximately $195,000, of which $90,000 was paid in the form of a cash retainer and the remaining $105,000 was paid in the form of a grant of phantom unit awards under the LTIP. All phantom unit awards vest on the first anniversary of their grant date. The audit committee chairman received an additional cash retainer of $15,000, which was increased to $20,000 from August 2022, and, in recognition of the activities undertaken by the conflicts committee, the conflicts committee chair received an additional cash retainer of $7,500 and the other members of conflicts committee each received an additional cash retainer of $5,000.</w:t>
      </w:r>
    </w:p>
    <w:p>
      <w:pPr>
        <w:spacing w:after="0" w:line="111" w:lineRule="exact"/>
        <w:rPr>
          <w:sz w:val="20"/>
          <w:szCs w:val="20"/>
          <w:color w:val="auto"/>
        </w:rPr>
      </w:pPr>
    </w:p>
    <w:p>
      <w:pPr>
        <w:ind w:right="300" w:firstLine="395"/>
        <w:spacing w:after="0" w:line="252" w:lineRule="auto"/>
        <w:rPr>
          <w:sz w:val="20"/>
          <w:szCs w:val="20"/>
          <w:color w:val="auto"/>
        </w:rPr>
      </w:pPr>
      <w:r>
        <w:rPr>
          <w:rFonts w:ascii="Arial" w:cs="Arial" w:eastAsia="Arial" w:hAnsi="Arial"/>
          <w:sz w:val="18"/>
          <w:szCs w:val="18"/>
          <w:color w:val="auto"/>
        </w:rPr>
        <w:t>In addition, each non-employee director is reimbursed for out-of-pocket expenses in connection with attending board and committee meetings. Each director is fully indemnified by us for actions associated with being a director to the fullest extent permitted under Delaware law pursuant to the Partnership Agreement.</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following table sets forth a summary of the compensation paid to non-employee directors in 2022:</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120" w:type="dxa"/>
            <w:vAlign w:val="bottom"/>
            <w:vMerge w:val="restart"/>
          </w:tcPr>
          <w:p>
            <w:pPr>
              <w:ind w:left="2380"/>
              <w:spacing w:after="0"/>
              <w:rPr>
                <w:sz w:val="20"/>
                <w:szCs w:val="20"/>
                <w:color w:val="auto"/>
              </w:rPr>
            </w:pPr>
            <w:r>
              <w:rPr>
                <w:rFonts w:ascii="Arial" w:cs="Arial" w:eastAsia="Arial" w:hAnsi="Arial"/>
                <w:sz w:val="14"/>
                <w:szCs w:val="14"/>
                <w:b w:val="1"/>
                <w:bCs w:val="1"/>
                <w:color w:val="auto"/>
              </w:rPr>
              <w:t>Name</w:t>
            </w:r>
          </w:p>
        </w:tc>
        <w:tc>
          <w:tcPr>
            <w:tcW w:w="100" w:type="dxa"/>
            <w:vAlign w:val="bottom"/>
            <w:vMerge w:val="restart"/>
          </w:tcPr>
          <w:p>
            <w:pPr>
              <w:spacing w:after="0"/>
              <w:rPr>
                <w:sz w:val="15"/>
                <w:szCs w:val="15"/>
                <w:color w:val="auto"/>
              </w:rPr>
            </w:pPr>
          </w:p>
        </w:tc>
        <w:tc>
          <w:tcPr>
            <w:tcW w:w="152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Fees Earned or Paid in</w:t>
            </w:r>
          </w:p>
        </w:tc>
        <w:tc>
          <w:tcPr>
            <w:tcW w:w="1520" w:type="dxa"/>
            <w:vAlign w:val="bottom"/>
            <w:gridSpan w:val="3"/>
          </w:tcPr>
          <w:p>
            <w:pPr>
              <w:ind w:left="40"/>
              <w:spacing w:after="0"/>
              <w:rPr>
                <w:sz w:val="20"/>
                <w:szCs w:val="20"/>
                <w:color w:val="auto"/>
              </w:rPr>
            </w:pPr>
            <w:r>
              <w:rPr>
                <w:rFonts w:ascii="Arial" w:cs="Arial" w:eastAsia="Arial" w:hAnsi="Arial"/>
                <w:sz w:val="14"/>
                <w:szCs w:val="14"/>
                <w:b w:val="1"/>
                <w:bCs w:val="1"/>
                <w:color w:val="auto"/>
              </w:rPr>
              <w:t>Phantom Unit Awards</w:t>
            </w:r>
          </w:p>
        </w:tc>
        <w:tc>
          <w:tcPr>
            <w:tcW w:w="160" w:type="dxa"/>
            <w:vAlign w:val="bottom"/>
          </w:tcPr>
          <w:p>
            <w:pPr>
              <w:spacing w:after="0"/>
              <w:rPr>
                <w:sz w:val="15"/>
                <w:szCs w:val="15"/>
                <w:color w:val="auto"/>
              </w:rPr>
            </w:pPr>
          </w:p>
        </w:tc>
        <w:tc>
          <w:tcPr>
            <w:tcW w:w="1380" w:type="dxa"/>
            <w:vAlign w:val="bottom"/>
            <w:gridSpan w:val="2"/>
          </w:tcPr>
          <w:p>
            <w:pPr>
              <w:ind w:left="280"/>
              <w:spacing w:after="0"/>
              <w:rPr>
                <w:sz w:val="20"/>
                <w:szCs w:val="20"/>
                <w:color w:val="auto"/>
              </w:rPr>
            </w:pPr>
            <w:r>
              <w:rPr>
                <w:rFonts w:ascii="Arial" w:cs="Arial" w:eastAsia="Arial" w:hAnsi="Arial"/>
                <w:sz w:val="14"/>
                <w:szCs w:val="14"/>
                <w:b w:val="1"/>
                <w:bCs w:val="1"/>
                <w:color w:val="auto"/>
              </w:rPr>
              <w:t>All Other</w:t>
            </w:r>
          </w:p>
        </w:tc>
        <w:tc>
          <w:tcPr>
            <w:tcW w:w="360" w:type="dxa"/>
            <w:vAlign w:val="bottom"/>
          </w:tcPr>
          <w:p>
            <w:pPr>
              <w:spacing w:after="0"/>
              <w:rPr>
                <w:sz w:val="15"/>
                <w:szCs w:val="15"/>
                <w:color w:val="auto"/>
              </w:rPr>
            </w:pPr>
          </w:p>
        </w:tc>
        <w:tc>
          <w:tcPr>
            <w:tcW w:w="1080" w:type="dxa"/>
            <w:vAlign w:val="bottom"/>
            <w:vMerge w:val="restart"/>
          </w:tcPr>
          <w:p>
            <w:pPr>
              <w:jc w:val="right"/>
              <w:ind w:right="43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58"/>
        </w:trPr>
        <w:tc>
          <w:tcPr>
            <w:tcW w:w="5120" w:type="dxa"/>
            <w:vAlign w:val="bottom"/>
            <w:tcBorders>
              <w:bottom w:val="single" w:sz="8" w:color="auto"/>
            </w:tcBorders>
            <w:vMerge w:val="continue"/>
          </w:tcPr>
          <w:p>
            <w:pPr>
              <w:spacing w:after="0"/>
              <w:rPr>
                <w:sz w:val="13"/>
                <w:szCs w:val="13"/>
                <w:color w:val="auto"/>
              </w:rPr>
            </w:pPr>
          </w:p>
        </w:tc>
        <w:tc>
          <w:tcPr>
            <w:tcW w:w="100" w:type="dxa"/>
            <w:vAlign w:val="bottom"/>
            <w:tcBorders>
              <w:bottom w:val="single" w:sz="8" w:color="CCEEFF"/>
            </w:tcBorders>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477"/>
              <w:spacing w:after="0" w:line="158" w:lineRule="exact"/>
              <w:rPr>
                <w:sz w:val="20"/>
                <w:szCs w:val="20"/>
                <w:color w:val="auto"/>
              </w:rPr>
            </w:pPr>
            <w:r>
              <w:rPr>
                <w:rFonts w:ascii="Arial" w:cs="Arial" w:eastAsia="Arial" w:hAnsi="Arial"/>
                <w:sz w:val="14"/>
                <w:szCs w:val="14"/>
                <w:b w:val="1"/>
                <w:bCs w:val="1"/>
                <w:color w:val="auto"/>
              </w:rPr>
              <w:t>Cash</w:t>
            </w: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040" w:type="dxa"/>
            <w:vAlign w:val="bottom"/>
            <w:tcBorders>
              <w:bottom w:val="single" w:sz="8" w:color="auto"/>
            </w:tcBorders>
          </w:tcPr>
          <w:p>
            <w:pPr>
              <w:jc w:val="right"/>
              <w:ind w:right="583"/>
              <w:spacing w:after="0"/>
              <w:rPr>
                <w:sz w:val="20"/>
                <w:szCs w:val="20"/>
                <w:color w:val="auto"/>
              </w:rPr>
            </w:pPr>
            <w:r>
              <w:rPr>
                <w:rFonts w:ascii="Arial" w:cs="Arial" w:eastAsia="Arial" w:hAnsi="Arial"/>
                <w:sz w:val="9"/>
                <w:szCs w:val="9"/>
                <w:b w:val="1"/>
                <w:bCs w:val="1"/>
                <w:color w:val="auto"/>
              </w:rPr>
              <w:t>(1)</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139"/>
              <w:spacing w:after="0" w:line="158" w:lineRule="exact"/>
              <w:rPr>
                <w:sz w:val="20"/>
                <w:szCs w:val="20"/>
                <w:color w:val="auto"/>
              </w:rPr>
            </w:pPr>
            <w:r>
              <w:rPr>
                <w:rFonts w:ascii="Arial" w:cs="Arial" w:eastAsia="Arial" w:hAnsi="Arial"/>
                <w:sz w:val="14"/>
                <w:szCs w:val="14"/>
                <w:b w:val="1"/>
                <w:bCs w:val="1"/>
                <w:color w:val="auto"/>
                <w:w w:val="89"/>
              </w:rPr>
              <w:t xml:space="preserve">Compensation </w:t>
            </w:r>
            <w:r>
              <w:rPr>
                <w:rFonts w:ascii="Arial" w:cs="Arial" w:eastAsia="Arial" w:hAnsi="Arial"/>
                <w:sz w:val="18"/>
                <w:szCs w:val="18"/>
                <w:b w:val="1"/>
                <w:bCs w:val="1"/>
                <w:color w:val="auto"/>
                <w:w w:val="89"/>
                <w:vertAlign w:val="superscript"/>
              </w:rPr>
              <w:t>(2)</w:t>
            </w:r>
          </w:p>
        </w:tc>
        <w:tc>
          <w:tcPr>
            <w:tcW w:w="10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 Stephen Finley</w:t>
            </w:r>
          </w:p>
        </w:tc>
        <w:tc>
          <w:tcPr>
            <w:tcW w:w="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112,500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201"/>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9,207</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226,707</w:t>
            </w:r>
          </w:p>
        </w:tc>
        <w:tc>
          <w:tcPr>
            <w:tcW w:w="0" w:type="dxa"/>
            <w:vAlign w:val="bottom"/>
          </w:tcPr>
          <w:p>
            <w:pPr>
              <w:spacing w:after="0"/>
              <w:rPr>
                <w:sz w:val="1"/>
                <w:szCs w:val="1"/>
                <w:color w:val="auto"/>
              </w:rPr>
            </w:pPr>
          </w:p>
        </w:tc>
      </w:tr>
      <w:tr>
        <w:trPr>
          <w:trHeight w:val="223"/>
        </w:trPr>
        <w:tc>
          <w:tcPr>
            <w:tcW w:w="5220" w:type="dxa"/>
            <w:vAlign w:val="bottom"/>
            <w:gridSpan w:val="2"/>
          </w:tcPr>
          <w:p>
            <w:pPr>
              <w:ind w:left="20"/>
              <w:spacing w:after="0"/>
              <w:rPr>
                <w:sz w:val="20"/>
                <w:szCs w:val="20"/>
                <w:color w:val="auto"/>
              </w:rPr>
            </w:pPr>
            <w:r>
              <w:rPr>
                <w:rFonts w:ascii="Arial" w:cs="Arial" w:eastAsia="Arial" w:hAnsi="Arial"/>
                <w:sz w:val="18"/>
                <w:szCs w:val="18"/>
                <w:color w:val="auto"/>
              </w:rPr>
              <w:t>Angela A. Minas</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97,500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105,000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9,207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211,707</w:t>
            </w:r>
          </w:p>
        </w:tc>
        <w:tc>
          <w:tcPr>
            <w:tcW w:w="0" w:type="dxa"/>
            <w:vAlign w:val="bottom"/>
          </w:tcPr>
          <w:p>
            <w:pPr>
              <w:spacing w:after="0"/>
              <w:rPr>
                <w:sz w:val="1"/>
                <w:szCs w:val="1"/>
                <w:color w:val="auto"/>
              </w:rPr>
            </w:pPr>
          </w:p>
        </w:tc>
      </w:tr>
      <w:tr>
        <w:trPr>
          <w:trHeight w:val="224"/>
        </w:trPr>
        <w:tc>
          <w:tcPr>
            <w:tcW w:w="52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Randy G. Woelfel</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95,000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209,207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81" w:lineRule="exact"/>
        <w:rPr>
          <w:sz w:val="20"/>
          <w:szCs w:val="20"/>
          <w:color w:val="auto"/>
        </w:rPr>
      </w:pPr>
    </w:p>
    <w:p>
      <w:pPr>
        <w:ind w:left="320" w:right="200" w:hanging="315"/>
        <w:spacing w:after="0" w:line="250" w:lineRule="auto"/>
        <w:tabs>
          <w:tab w:leader="none" w:pos="314"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amounts reflected in this column represent the grant date fair value of phantom unit awards granted to the non-employee directors, computed in accordance with FASB ASC Topic 718, as the product of (i) the number of phantom units granted and (ii) the average of the high and low prices of our common units reported on the New York Stock Exchange on the grant date. As of December 31, 2022, Ms. Minas, Mr. Finley and Mr. Woelfel each held 4,177 phantom units, which will become fully vested on August 10, 2023.</w:t>
      </w:r>
    </w:p>
    <w:p>
      <w:pPr>
        <w:spacing w:after="0" w:line="71" w:lineRule="exact"/>
        <w:rPr>
          <w:rFonts w:ascii="Arial" w:cs="Arial" w:eastAsia="Arial" w:hAnsi="Arial"/>
          <w:sz w:val="18"/>
          <w:szCs w:val="18"/>
          <w:color w:val="auto"/>
        </w:rPr>
      </w:pPr>
    </w:p>
    <w:p>
      <w:pPr>
        <w:ind w:left="320" w:right="180" w:hanging="315"/>
        <w:spacing w:after="0" w:line="261" w:lineRule="auto"/>
        <w:tabs>
          <w:tab w:leader="none" w:pos="314"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amounts reflected in this column represent the amount of cash paid with respect to distribution equivalent rights granted in tandem with the phantom unit awards.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CEO Pay Ratio Analysis</w:t>
      </w:r>
    </w:p>
    <w:p>
      <w:pPr>
        <w:spacing w:after="0" w:line="89" w:lineRule="exact"/>
        <w:rPr>
          <w:sz w:val="20"/>
          <w:szCs w:val="20"/>
          <w:color w:val="auto"/>
        </w:rPr>
      </w:pPr>
    </w:p>
    <w:p>
      <w:pPr>
        <w:ind w:right="100" w:firstLine="395"/>
        <w:spacing w:after="0" w:line="287" w:lineRule="auto"/>
        <w:rPr>
          <w:sz w:val="20"/>
          <w:szCs w:val="20"/>
          <w:color w:val="auto"/>
        </w:rPr>
      </w:pPr>
      <w:r>
        <w:rPr>
          <w:rFonts w:ascii="Arial" w:cs="Arial" w:eastAsia="Arial" w:hAnsi="Arial"/>
          <w:sz w:val="16"/>
          <w:szCs w:val="16"/>
          <w:color w:val="auto"/>
        </w:rPr>
        <w:t>The table below sets forth comparative information regarding: (1) the annual total compensation of our Chief Executive Officer, Mr. Albert Chao, for the year ended December 31, 2022, determined on the basis set forth in the Summary Compensation Table; (2) the median of the annual total compensation of all seconded employees of Westlake that provide services to OpCo under the Services and Secondment Agreement, which excludes our Chief Executive Officer, for the year ended December 31, 2022, determined on the basis described below; and (3) a ratio comparison of those two amounts. These amounts were determined in accordance with rules prescribed by the SEC.</w:t>
      </w: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6" w:name="page87"/>
    <w:bookmarkEnd w:id="8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right="40" w:firstLine="395"/>
        <w:spacing w:after="0" w:line="279" w:lineRule="auto"/>
        <w:rPr>
          <w:sz w:val="20"/>
          <w:szCs w:val="20"/>
          <w:color w:val="auto"/>
        </w:rPr>
      </w:pPr>
      <w:r>
        <w:rPr>
          <w:rFonts w:ascii="Arial" w:cs="Arial" w:eastAsia="Arial" w:hAnsi="Arial"/>
          <w:sz w:val="16"/>
          <w:szCs w:val="16"/>
          <w:color w:val="auto"/>
        </w:rPr>
        <w:t>Neither we nor OpCo have any employees. However, for purposes of this disclosure, we have included the employees of Westlake and its other affiliates who are seconded to OpCo under the Services and Secondment Agreement for the production of ethylene (the "Seconded Employees"). For purposes of determining the median of the annual total compensation of such Seconded Employees for the year ended December 31, 2022, the applicable SEC rules require us to identify the median employee, by using either annual total compensation for all such employees or another consistently applied compensation measure. For these purposes, we used total taxable earnings, plus certain non-taxable items, including retirement plan contributions and perquisites, as determined from the payroll records of Westlake and its affiliates providing the services of the Seconded Employees to OpCo for the period from January 1, 2021 through December 31, 2021 (the "Measurement Date"), as our consistently applied compensation measure. We included all Seconded Employees of Westlake who provided services to OpCo as of the Measurement Date whether employed on a full-time, part-time or seasonal basis. We did not use statistical sampling or include any cost-of-living adjustments for purposes of this determination. After identifying the median employee, based on the process described above, we calculated annual total compensation for that employee using the same methodology we used for determining total compensation for 2022 for our named executive officers as set forth in the Summary Compensation Table.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Executive Officer annual total compensation (A)</w:t>
            </w:r>
          </w:p>
        </w:tc>
        <w:tc>
          <w:tcPr>
            <w:tcW w:w="210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120,100</w:t>
            </w:r>
          </w:p>
        </w:tc>
      </w:tr>
      <w:tr>
        <w:trPr>
          <w:trHeight w:val="223"/>
        </w:trPr>
        <w:tc>
          <w:tcPr>
            <w:tcW w:w="8160" w:type="dxa"/>
            <w:vAlign w:val="bottom"/>
          </w:tcPr>
          <w:p>
            <w:pPr>
              <w:ind w:left="20"/>
              <w:spacing w:after="0"/>
              <w:rPr>
                <w:sz w:val="20"/>
                <w:szCs w:val="20"/>
                <w:color w:val="auto"/>
              </w:rPr>
            </w:pPr>
            <w:r>
              <w:rPr>
                <w:rFonts w:ascii="Arial" w:cs="Arial" w:eastAsia="Arial" w:hAnsi="Arial"/>
                <w:sz w:val="18"/>
                <w:szCs w:val="18"/>
                <w:color w:val="auto"/>
              </w:rPr>
              <w:t>Median annual total compensation of all employees (excluding Chief Executive Officer) (B)</w:t>
            </w:r>
          </w:p>
        </w:tc>
        <w:tc>
          <w:tcPr>
            <w:tcW w:w="210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139,135</w:t>
            </w:r>
          </w:p>
        </w:tc>
      </w:tr>
      <w:tr>
        <w:trPr>
          <w:trHeight w:val="224"/>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Ratio of (A) to (B)</w:t>
            </w:r>
          </w:p>
        </w:tc>
        <w:tc>
          <w:tcPr>
            <w:tcW w:w="21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r>
    </w:tbl>
    <w:p>
      <w:pPr>
        <w:spacing w:after="0" w:line="3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102"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following table sets forth, as of February 22, 2023, the beneficial ownership of our outstanding common units and subordinated units held by:</w:t>
      </w:r>
    </w:p>
    <w:p>
      <w:pPr>
        <w:spacing w:after="0" w:line="106" w:lineRule="exact"/>
        <w:rPr>
          <w:sz w:val="20"/>
          <w:szCs w:val="20"/>
          <w:color w:val="auto"/>
        </w:rPr>
      </w:pPr>
    </w:p>
    <w:p>
      <w:pPr>
        <w:ind w:left="640" w:hanging="319"/>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general partner;</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Westlake;</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each director and named executive officer of our general partner; and</w:t>
      </w:r>
    </w:p>
    <w:p>
      <w:pPr>
        <w:spacing w:after="0" w:line="82" w:lineRule="exact"/>
        <w:rPr>
          <w:rFonts w:ascii="Arial" w:cs="Arial" w:eastAsia="Arial" w:hAnsi="Arial"/>
          <w:sz w:val="18"/>
          <w:szCs w:val="18"/>
          <w:color w:val="auto"/>
        </w:rPr>
      </w:pPr>
    </w:p>
    <w:p>
      <w:pPr>
        <w:ind w:left="640" w:hanging="319"/>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all of the directors and executive officers of our general partner as a group.</w:t>
      </w:r>
    </w:p>
    <w:p>
      <w:pPr>
        <w:spacing w:after="0" w:line="161" w:lineRule="exact"/>
        <w:rPr>
          <w:sz w:val="20"/>
          <w:szCs w:val="20"/>
          <w:color w:val="auto"/>
        </w:rPr>
      </w:pPr>
    </w:p>
    <w:p>
      <w:pPr>
        <w:ind w:right="60" w:firstLine="395"/>
        <w:spacing w:after="0" w:line="282" w:lineRule="auto"/>
        <w:rPr>
          <w:sz w:val="20"/>
          <w:szCs w:val="20"/>
          <w:color w:val="auto"/>
        </w:rPr>
      </w:pPr>
      <w:r>
        <w:rPr>
          <w:rFonts w:ascii="Arial" w:cs="Arial" w:eastAsia="Arial" w:hAnsi="Arial"/>
          <w:sz w:val="16"/>
          <w:szCs w:val="16"/>
          <w:color w:val="auto"/>
        </w:rPr>
        <w:t>We report the amounts and percentage of units beneficially owned on the basis of regulations of the SEC governing the determination of beneficial ownership of securities. The rules of the SEC deem a person a "beneficial owner" of a security if that person has or shares "voting power" that includes the power to vote or to direct the voting of the security, or "investment power" that includes the power to dispose of or to direct the disposition of the security. In computing the number of common units beneficially owned by a person and the percentage ownership of that person, common units subject to options or warrants held by that person that are currently exercisable or exercisable within 60 days of February 22, 2023, if any, are deemed outstanding, but are not deemed outstanding for computing the percentage ownership of any other person. Unless otherwise noted, the address for each beneficial owner listed below is 2801 Post Oak Boulevard, Suite 600, Houston, Texas 77056. None of the units beneficially owned as set forth below is pledged as security.</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20" w:type="dxa"/>
            <w:vAlign w:val="bottom"/>
            <w:gridSpan w:val="5"/>
          </w:tcPr>
          <w:p>
            <w:pPr>
              <w:jc w:val="right"/>
              <w:ind w:right="635"/>
              <w:spacing w:after="0"/>
              <w:rPr>
                <w:sz w:val="20"/>
                <w:szCs w:val="20"/>
                <w:color w:val="auto"/>
              </w:rPr>
            </w:pPr>
            <w:r>
              <w:rPr>
                <w:rFonts w:ascii="Arial" w:cs="Arial" w:eastAsia="Arial" w:hAnsi="Arial"/>
                <w:sz w:val="14"/>
                <w:szCs w:val="14"/>
                <w:b w:val="1"/>
                <w:bCs w:val="1"/>
                <w:color w:val="auto"/>
              </w:rPr>
              <w:t>Amount and Nature of Beneficial Ownership of Common Units</w:t>
            </w:r>
          </w:p>
        </w:tc>
        <w:tc>
          <w:tcPr>
            <w:tcW w:w="0" w:type="dxa"/>
            <w:vAlign w:val="bottom"/>
          </w:tcPr>
          <w:p>
            <w:pPr>
              <w:spacing w:after="0"/>
              <w:rPr>
                <w:sz w:val="1"/>
                <w:szCs w:val="1"/>
                <w:color w:val="auto"/>
              </w:rPr>
            </w:pPr>
          </w:p>
        </w:tc>
      </w:tr>
      <w:tr>
        <w:trPr>
          <w:trHeight w:val="24"/>
        </w:trPr>
        <w:tc>
          <w:tcPr>
            <w:tcW w:w="5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9"/>
        </w:trPr>
        <w:tc>
          <w:tcPr>
            <w:tcW w:w="5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of Beneficial Owner</w:t>
            </w:r>
          </w:p>
        </w:tc>
        <w:tc>
          <w:tcPr>
            <w:tcW w:w="100" w:type="dxa"/>
            <w:vAlign w:val="bottom"/>
            <w:vMerge w:val="restart"/>
          </w:tcPr>
          <w:p>
            <w:pPr>
              <w:spacing w:after="0"/>
              <w:rPr>
                <w:sz w:val="11"/>
                <w:szCs w:val="11"/>
                <w:color w:val="auto"/>
              </w:rPr>
            </w:pPr>
          </w:p>
        </w:tc>
        <w:tc>
          <w:tcPr>
            <w:tcW w:w="1420" w:type="dxa"/>
            <w:vAlign w:val="bottom"/>
            <w:vMerge w:val="restart"/>
          </w:tcPr>
          <w:p>
            <w:pPr>
              <w:jc w:val="right"/>
              <w:ind w:right="435"/>
              <w:spacing w:after="0"/>
              <w:rPr>
                <w:sz w:val="20"/>
                <w:szCs w:val="20"/>
                <w:color w:val="auto"/>
              </w:rPr>
            </w:pPr>
            <w:r>
              <w:rPr>
                <w:rFonts w:ascii="Arial" w:cs="Arial" w:eastAsia="Arial" w:hAnsi="Arial"/>
                <w:sz w:val="14"/>
                <w:szCs w:val="14"/>
                <w:b w:val="1"/>
                <w:bCs w:val="1"/>
                <w:color w:val="auto"/>
              </w:rPr>
              <w:t>Direct</w:t>
            </w:r>
          </w:p>
        </w:tc>
        <w:tc>
          <w:tcPr>
            <w:tcW w:w="100" w:type="dxa"/>
            <w:vAlign w:val="bottom"/>
            <w:vMerge w:val="restart"/>
          </w:tcPr>
          <w:p>
            <w:pPr>
              <w:spacing w:after="0"/>
              <w:rPr>
                <w:sz w:val="11"/>
                <w:szCs w:val="11"/>
                <w:color w:val="auto"/>
              </w:rPr>
            </w:pPr>
          </w:p>
        </w:tc>
        <w:tc>
          <w:tcPr>
            <w:tcW w:w="142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Other</w:t>
            </w:r>
          </w:p>
        </w:tc>
        <w:tc>
          <w:tcPr>
            <w:tcW w:w="720" w:type="dxa"/>
            <w:vAlign w:val="bottom"/>
          </w:tcPr>
          <w:p>
            <w:pPr>
              <w:spacing w:after="0"/>
              <w:rPr>
                <w:sz w:val="11"/>
                <w:szCs w:val="11"/>
                <w:color w:val="auto"/>
              </w:rPr>
            </w:pPr>
          </w:p>
        </w:tc>
        <w:tc>
          <w:tcPr>
            <w:tcW w:w="1560" w:type="dxa"/>
            <w:vAlign w:val="bottom"/>
          </w:tcPr>
          <w:p>
            <w:pPr>
              <w:jc w:val="right"/>
              <w:spacing w:after="0" w:line="129" w:lineRule="exact"/>
              <w:rPr>
                <w:sz w:val="20"/>
                <w:szCs w:val="20"/>
                <w:color w:val="auto"/>
              </w:rPr>
            </w:pPr>
            <w:r>
              <w:rPr>
                <w:rFonts w:ascii="Arial" w:cs="Arial" w:eastAsia="Arial" w:hAnsi="Arial"/>
                <w:sz w:val="14"/>
                <w:szCs w:val="14"/>
                <w:b w:val="1"/>
                <w:bCs w:val="1"/>
                <w:color w:val="auto"/>
                <w:w w:val="92"/>
              </w:rPr>
              <w:t>Percentage of Common</w:t>
            </w:r>
          </w:p>
        </w:tc>
        <w:tc>
          <w:tcPr>
            <w:tcW w:w="0" w:type="dxa"/>
            <w:vAlign w:val="bottom"/>
          </w:tcPr>
          <w:p>
            <w:pPr>
              <w:spacing w:after="0"/>
              <w:rPr>
                <w:sz w:val="1"/>
                <w:szCs w:val="1"/>
                <w:color w:val="auto"/>
              </w:rPr>
            </w:pPr>
          </w:p>
        </w:tc>
      </w:tr>
      <w:tr>
        <w:trPr>
          <w:trHeight w:val="188"/>
        </w:trPr>
        <w:tc>
          <w:tcPr>
            <w:tcW w:w="59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vMerge w:val="continue"/>
          </w:tcPr>
          <w:p>
            <w:pPr>
              <w:spacing w:after="0"/>
              <w:rPr>
                <w:sz w:val="16"/>
                <w:szCs w:val="16"/>
                <w:color w:val="auto"/>
              </w:rPr>
            </w:pPr>
          </w:p>
        </w:tc>
        <w:tc>
          <w:tcPr>
            <w:tcW w:w="7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Units Beneficially Owned</w:t>
            </w:r>
          </w:p>
        </w:tc>
        <w:tc>
          <w:tcPr>
            <w:tcW w:w="0" w:type="dxa"/>
            <w:vAlign w:val="bottom"/>
          </w:tcPr>
          <w:p>
            <w:pPr>
              <w:spacing w:after="0"/>
              <w:rPr>
                <w:sz w:val="1"/>
                <w:szCs w:val="1"/>
                <w:color w:val="auto"/>
              </w:rPr>
            </w:pPr>
          </w:p>
        </w:tc>
      </w:tr>
      <w:tr>
        <w:trPr>
          <w:trHeight w:val="222"/>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Westlake Corporation</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14,122,230</w:t>
            </w:r>
          </w:p>
        </w:tc>
        <w:tc>
          <w:tcPr>
            <w:tcW w:w="10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40.1 %</w:t>
            </w:r>
          </w:p>
        </w:tc>
        <w:tc>
          <w:tcPr>
            <w:tcW w:w="0" w:type="dxa"/>
            <w:vAlign w:val="bottom"/>
          </w:tcPr>
          <w:p>
            <w:pPr>
              <w:spacing w:after="0"/>
              <w:rPr>
                <w:sz w:val="1"/>
                <w:szCs w:val="1"/>
                <w:color w:val="auto"/>
              </w:rPr>
            </w:pPr>
          </w:p>
        </w:tc>
      </w:tr>
      <w:tr>
        <w:trPr>
          <w:trHeight w:val="223"/>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Westlake Chemical Partners GP LLC</w:t>
            </w:r>
          </w:p>
        </w:tc>
        <w:tc>
          <w:tcPr>
            <w:tcW w:w="1520" w:type="dxa"/>
            <w:vAlign w:val="bottom"/>
            <w:gridSpan w:val="2"/>
          </w:tcPr>
          <w:p>
            <w:pPr>
              <w:ind w:left="1220"/>
              <w:spacing w:after="0"/>
              <w:rPr>
                <w:sz w:val="20"/>
                <w:szCs w:val="20"/>
                <w:color w:val="auto"/>
              </w:rPr>
            </w:pPr>
            <w:r>
              <w:rPr>
                <w:rFonts w:ascii="Arial" w:cs="Arial" w:eastAsia="Arial" w:hAnsi="Arial"/>
                <w:sz w:val="18"/>
                <w:szCs w:val="18"/>
                <w:color w:val="auto"/>
              </w:rPr>
              <w:t>—</w:t>
            </w:r>
          </w:p>
        </w:tc>
        <w:tc>
          <w:tcPr>
            <w:tcW w:w="214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Albert Y. Chao</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166,435</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ind w:left="560"/>
              <w:spacing w:after="0"/>
              <w:rPr>
                <w:sz w:val="20"/>
                <w:szCs w:val="20"/>
                <w:color w:val="auto"/>
              </w:rPr>
            </w:pPr>
            <w:r>
              <w:rPr>
                <w:rFonts w:ascii="Arial" w:cs="Arial" w:eastAsia="Arial" w:hAnsi="Arial"/>
                <w:sz w:val="18"/>
                <w:szCs w:val="18"/>
                <w:color w:val="auto"/>
                <w:w w:val="93"/>
              </w:rPr>
              <w:t>15,533,192</w:t>
            </w:r>
          </w:p>
        </w:tc>
        <w:tc>
          <w:tcPr>
            <w:tcW w:w="720" w:type="dxa"/>
            <w:vAlign w:val="bottom"/>
            <w:shd w:val="clear" w:color="auto" w:fill="CCEEFF"/>
          </w:tcPr>
          <w:p>
            <w:pPr>
              <w:ind w:left="20"/>
              <w:spacing w:after="0"/>
              <w:rPr>
                <w:sz w:val="20"/>
                <w:szCs w:val="20"/>
                <w:color w:val="auto"/>
              </w:rPr>
            </w:pPr>
            <w:r>
              <w:rPr>
                <w:rFonts w:ascii="Arial" w:cs="Arial" w:eastAsia="Arial" w:hAnsi="Arial"/>
                <w:sz w:val="11"/>
                <w:szCs w:val="11"/>
                <w:color w:val="auto"/>
              </w:rPr>
              <w:t>(1)(2)</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44.6 %</w:t>
            </w:r>
          </w:p>
        </w:tc>
        <w:tc>
          <w:tcPr>
            <w:tcW w:w="0" w:type="dxa"/>
            <w:vAlign w:val="bottom"/>
          </w:tcPr>
          <w:p>
            <w:pPr>
              <w:spacing w:after="0"/>
              <w:rPr>
                <w:sz w:val="1"/>
                <w:szCs w:val="1"/>
                <w:color w:val="auto"/>
              </w:rPr>
            </w:pPr>
          </w:p>
        </w:tc>
      </w:tr>
      <w:tr>
        <w:trPr>
          <w:trHeight w:val="223"/>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James Y. Chao</w:t>
            </w:r>
          </w:p>
        </w:tc>
        <w:tc>
          <w:tcPr>
            <w:tcW w:w="1420" w:type="dxa"/>
            <w:vAlign w:val="bottom"/>
          </w:tcPr>
          <w:p>
            <w:pPr>
              <w:jc w:val="right"/>
              <w:spacing w:after="0"/>
              <w:rPr>
                <w:sz w:val="20"/>
                <w:szCs w:val="20"/>
                <w:color w:val="auto"/>
              </w:rPr>
            </w:pPr>
            <w:r>
              <w:rPr>
                <w:rFonts w:ascii="Arial" w:cs="Arial" w:eastAsia="Arial" w:hAnsi="Arial"/>
                <w:sz w:val="18"/>
                <w:szCs w:val="18"/>
                <w:color w:val="auto"/>
              </w:rPr>
              <w:t>13,908</w:t>
            </w:r>
          </w:p>
        </w:tc>
        <w:tc>
          <w:tcPr>
            <w:tcW w:w="100" w:type="dxa"/>
            <w:vAlign w:val="bottom"/>
          </w:tcPr>
          <w:p>
            <w:pPr>
              <w:spacing w:after="0"/>
              <w:rPr>
                <w:sz w:val="19"/>
                <w:szCs w:val="19"/>
                <w:color w:val="auto"/>
              </w:rPr>
            </w:pPr>
          </w:p>
        </w:tc>
        <w:tc>
          <w:tcPr>
            <w:tcW w:w="1420" w:type="dxa"/>
            <w:vAlign w:val="bottom"/>
          </w:tcPr>
          <w:p>
            <w:pPr>
              <w:ind w:left="560"/>
              <w:spacing w:after="0"/>
              <w:rPr>
                <w:sz w:val="20"/>
                <w:szCs w:val="20"/>
                <w:color w:val="auto"/>
              </w:rPr>
            </w:pPr>
            <w:r>
              <w:rPr>
                <w:rFonts w:ascii="Arial" w:cs="Arial" w:eastAsia="Arial" w:hAnsi="Arial"/>
                <w:sz w:val="18"/>
                <w:szCs w:val="18"/>
                <w:color w:val="auto"/>
                <w:w w:val="93"/>
              </w:rPr>
              <w:t>15,524,099</w:t>
            </w:r>
          </w:p>
        </w:tc>
        <w:tc>
          <w:tcPr>
            <w:tcW w:w="720" w:type="dxa"/>
            <w:vAlign w:val="bottom"/>
          </w:tcPr>
          <w:p>
            <w:pPr>
              <w:ind w:left="20"/>
              <w:spacing w:after="0"/>
              <w:rPr>
                <w:sz w:val="20"/>
                <w:szCs w:val="20"/>
                <w:color w:val="auto"/>
              </w:rPr>
            </w:pPr>
            <w:r>
              <w:rPr>
                <w:rFonts w:ascii="Arial" w:cs="Arial" w:eastAsia="Arial" w:hAnsi="Arial"/>
                <w:sz w:val="11"/>
                <w:szCs w:val="11"/>
                <w:color w:val="auto"/>
              </w:rPr>
              <w:t>(2)</w:t>
            </w:r>
          </w:p>
        </w:tc>
        <w:tc>
          <w:tcPr>
            <w:tcW w:w="1560" w:type="dxa"/>
            <w:vAlign w:val="bottom"/>
          </w:tcPr>
          <w:p>
            <w:pPr>
              <w:jc w:val="right"/>
              <w:spacing w:after="0"/>
              <w:rPr>
                <w:sz w:val="20"/>
                <w:szCs w:val="20"/>
                <w:color w:val="auto"/>
              </w:rPr>
            </w:pPr>
            <w:r>
              <w:rPr>
                <w:rFonts w:ascii="Arial" w:cs="Arial" w:eastAsia="Arial" w:hAnsi="Arial"/>
                <w:sz w:val="18"/>
                <w:szCs w:val="18"/>
                <w:color w:val="auto"/>
              </w:rPr>
              <w:t>44.1 %</w:t>
            </w:r>
          </w:p>
        </w:tc>
        <w:tc>
          <w:tcPr>
            <w:tcW w:w="0" w:type="dxa"/>
            <w:vAlign w:val="bottom"/>
          </w:tcPr>
          <w:p>
            <w:pPr>
              <w:spacing w:after="0"/>
              <w:rPr>
                <w:sz w:val="1"/>
                <w:szCs w:val="1"/>
                <w:color w:val="auto"/>
              </w:rPr>
            </w:pPr>
          </w:p>
        </w:tc>
      </w:tr>
      <w:tr>
        <w:trPr>
          <w:trHeight w:val="224"/>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 Steven Bender</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10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L. Benjamin Ederington</w:t>
            </w:r>
          </w:p>
        </w:tc>
        <w:tc>
          <w:tcPr>
            <w:tcW w:w="1420" w:type="dxa"/>
            <w:vAlign w:val="bottom"/>
          </w:tcPr>
          <w:p>
            <w:pPr>
              <w:jc w:val="right"/>
              <w:spacing w:after="0"/>
              <w:rPr>
                <w:sz w:val="20"/>
                <w:szCs w:val="20"/>
                <w:color w:val="auto"/>
              </w:rPr>
            </w:pPr>
            <w:r>
              <w:rPr>
                <w:rFonts w:ascii="Arial" w:cs="Arial" w:eastAsia="Arial" w:hAnsi="Arial"/>
                <w:sz w:val="18"/>
                <w:szCs w:val="18"/>
                <w:color w:val="auto"/>
              </w:rPr>
              <w:t>12,000</w:t>
            </w:r>
          </w:p>
        </w:tc>
        <w:tc>
          <w:tcPr>
            <w:tcW w:w="100" w:type="dxa"/>
            <w:vAlign w:val="bottom"/>
          </w:tcPr>
          <w:p>
            <w:pPr>
              <w:spacing w:after="0"/>
              <w:rPr>
                <w:sz w:val="19"/>
                <w:szCs w:val="19"/>
                <w:color w:val="auto"/>
              </w:rPr>
            </w:pPr>
          </w:p>
        </w:tc>
        <w:tc>
          <w:tcPr>
            <w:tcW w:w="214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 Stephen Finley</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18,311</w:t>
            </w:r>
          </w:p>
        </w:tc>
        <w:tc>
          <w:tcPr>
            <w:tcW w:w="100" w:type="dxa"/>
            <w:vAlign w:val="bottom"/>
            <w:shd w:val="clear" w:color="auto" w:fill="CCEEFF"/>
          </w:tcPr>
          <w:p>
            <w:pPr>
              <w:spacing w:after="0"/>
              <w:rPr>
                <w:sz w:val="21"/>
                <w:szCs w:val="21"/>
                <w:color w:val="auto"/>
              </w:rPr>
            </w:pPr>
          </w:p>
        </w:tc>
        <w:tc>
          <w:tcPr>
            <w:tcW w:w="214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Angela A. Minas</w:t>
            </w:r>
          </w:p>
        </w:tc>
        <w:tc>
          <w:tcPr>
            <w:tcW w:w="1420" w:type="dxa"/>
            <w:vAlign w:val="bottom"/>
          </w:tcPr>
          <w:p>
            <w:pPr>
              <w:jc w:val="right"/>
              <w:spacing w:after="0"/>
              <w:rPr>
                <w:sz w:val="20"/>
                <w:szCs w:val="20"/>
                <w:color w:val="auto"/>
              </w:rPr>
            </w:pPr>
            <w:r>
              <w:rPr>
                <w:rFonts w:ascii="Arial" w:cs="Arial" w:eastAsia="Arial" w:hAnsi="Arial"/>
                <w:sz w:val="18"/>
                <w:szCs w:val="18"/>
                <w:color w:val="auto"/>
              </w:rPr>
              <w:t>19,427</w:t>
            </w:r>
          </w:p>
        </w:tc>
        <w:tc>
          <w:tcPr>
            <w:tcW w:w="100" w:type="dxa"/>
            <w:vAlign w:val="bottom"/>
          </w:tcPr>
          <w:p>
            <w:pPr>
              <w:spacing w:after="0"/>
              <w:rPr>
                <w:sz w:val="19"/>
                <w:szCs w:val="19"/>
                <w:color w:val="auto"/>
              </w:rPr>
            </w:pPr>
          </w:p>
        </w:tc>
        <w:tc>
          <w:tcPr>
            <w:tcW w:w="214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Randy G. Woelfel</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20,685</w:t>
            </w:r>
          </w:p>
        </w:tc>
        <w:tc>
          <w:tcPr>
            <w:tcW w:w="100" w:type="dxa"/>
            <w:vAlign w:val="bottom"/>
            <w:shd w:val="clear" w:color="auto" w:fill="CCEEFF"/>
          </w:tcPr>
          <w:p>
            <w:pPr>
              <w:spacing w:after="0"/>
              <w:rPr>
                <w:sz w:val="19"/>
                <w:szCs w:val="19"/>
                <w:color w:val="auto"/>
              </w:rPr>
            </w:pPr>
          </w:p>
        </w:tc>
        <w:tc>
          <w:tcPr>
            <w:tcW w:w="2140" w:type="dxa"/>
            <w:vAlign w:val="bottom"/>
            <w:gridSpan w:val="2"/>
            <w:shd w:val="clear" w:color="auto" w:fill="CCEEFF"/>
          </w:tcPr>
          <w:p>
            <w:pPr>
              <w:ind w:left="1240"/>
              <w:spacing w:after="0"/>
              <w:rPr>
                <w:sz w:val="20"/>
                <w:szCs w:val="20"/>
                <w:color w:val="auto"/>
              </w:rPr>
            </w:pPr>
            <w:r>
              <w:rPr>
                <w:rFonts w:ascii="Arial" w:cs="Arial" w:eastAsia="Arial" w:hAnsi="Arial"/>
                <w:sz w:val="18"/>
                <w:szCs w:val="18"/>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All directors and executive officers as a group (9 persons)</w:t>
            </w:r>
          </w:p>
        </w:tc>
        <w:tc>
          <w:tcPr>
            <w:tcW w:w="1420" w:type="dxa"/>
            <w:vAlign w:val="bottom"/>
          </w:tcPr>
          <w:p>
            <w:pPr>
              <w:jc w:val="right"/>
              <w:spacing w:after="0"/>
              <w:rPr>
                <w:sz w:val="20"/>
                <w:szCs w:val="20"/>
                <w:color w:val="auto"/>
              </w:rPr>
            </w:pPr>
            <w:r>
              <w:rPr>
                <w:rFonts w:ascii="Arial" w:cs="Arial" w:eastAsia="Arial" w:hAnsi="Arial"/>
                <w:sz w:val="18"/>
                <w:szCs w:val="18"/>
                <w:color w:val="auto"/>
              </w:rPr>
              <w:t>314,766</w:t>
            </w:r>
          </w:p>
        </w:tc>
        <w:tc>
          <w:tcPr>
            <w:tcW w:w="100" w:type="dxa"/>
            <w:vAlign w:val="bottom"/>
          </w:tcPr>
          <w:p>
            <w:pPr>
              <w:spacing w:after="0"/>
              <w:rPr>
                <w:sz w:val="19"/>
                <w:szCs w:val="19"/>
                <w:color w:val="auto"/>
              </w:rPr>
            </w:pPr>
          </w:p>
        </w:tc>
        <w:tc>
          <w:tcPr>
            <w:tcW w:w="1420" w:type="dxa"/>
            <w:vAlign w:val="bottom"/>
          </w:tcPr>
          <w:p>
            <w:pPr>
              <w:ind w:left="560"/>
              <w:spacing w:after="0"/>
              <w:rPr>
                <w:sz w:val="20"/>
                <w:szCs w:val="20"/>
                <w:color w:val="auto"/>
              </w:rPr>
            </w:pPr>
            <w:r>
              <w:rPr>
                <w:rFonts w:ascii="Arial" w:cs="Arial" w:eastAsia="Arial" w:hAnsi="Arial"/>
                <w:sz w:val="18"/>
                <w:szCs w:val="18"/>
                <w:color w:val="auto"/>
                <w:w w:val="93"/>
              </w:rPr>
              <w:t>15,533,192</w:t>
            </w:r>
          </w:p>
        </w:tc>
        <w:tc>
          <w:tcPr>
            <w:tcW w:w="720" w:type="dxa"/>
            <w:vAlign w:val="bottom"/>
          </w:tcPr>
          <w:p>
            <w:pPr>
              <w:ind w:left="20"/>
              <w:spacing w:after="0"/>
              <w:rPr>
                <w:sz w:val="20"/>
                <w:szCs w:val="20"/>
                <w:color w:val="auto"/>
              </w:rPr>
            </w:pPr>
            <w:r>
              <w:rPr>
                <w:rFonts w:ascii="Arial" w:cs="Arial" w:eastAsia="Arial" w:hAnsi="Arial"/>
                <w:sz w:val="11"/>
                <w:szCs w:val="11"/>
                <w:color w:val="auto"/>
              </w:rPr>
              <w:t>(1)(2)</w:t>
            </w:r>
          </w:p>
        </w:tc>
        <w:tc>
          <w:tcPr>
            <w:tcW w:w="1560" w:type="dxa"/>
            <w:vAlign w:val="bottom"/>
          </w:tcPr>
          <w:p>
            <w:pPr>
              <w:jc w:val="right"/>
              <w:spacing w:after="0"/>
              <w:rPr>
                <w:sz w:val="20"/>
                <w:szCs w:val="20"/>
                <w:color w:val="auto"/>
              </w:rPr>
            </w:pPr>
            <w:r>
              <w:rPr>
                <w:rFonts w:ascii="Arial" w:cs="Arial" w:eastAsia="Arial" w:hAnsi="Arial"/>
                <w:sz w:val="18"/>
                <w:szCs w:val="18"/>
                <w:color w:val="auto"/>
              </w:rPr>
              <w:t>45.0 %</w:t>
            </w:r>
          </w:p>
        </w:tc>
        <w:tc>
          <w:tcPr>
            <w:tcW w:w="0" w:type="dxa"/>
            <w:vAlign w:val="bottom"/>
          </w:tcPr>
          <w:p>
            <w:pPr>
              <w:spacing w:after="0"/>
              <w:rPr>
                <w:sz w:val="1"/>
                <w:szCs w:val="1"/>
                <w:color w:val="auto"/>
              </w:rPr>
            </w:pPr>
          </w:p>
        </w:tc>
      </w:tr>
    </w:tbl>
    <w:p>
      <w:pPr>
        <w:spacing w:after="0" w:line="32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7" w:name="page88"/>
    <w:bookmarkEnd w:id="8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 Less than 1% of the outstanding common units.</w:t>
      </w:r>
    </w:p>
    <w:p>
      <w:pPr>
        <w:spacing w:after="0" w:line="96" w:lineRule="exact"/>
        <w:rPr>
          <w:sz w:val="20"/>
          <w:szCs w:val="20"/>
          <w:color w:val="auto"/>
        </w:rPr>
      </w:pPr>
    </w:p>
    <w:p>
      <w:pPr>
        <w:ind w:left="320" w:right="440" w:hanging="315"/>
        <w:spacing w:after="0" w:line="261" w:lineRule="auto"/>
        <w:tabs>
          <w:tab w:leader="none" w:pos="314"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amount includes 9,093 common units held in a family trust for the benefit of Mr. Albert Chao and his family members with respect to which Mr. Albert Chao serves as trustee.</w:t>
      </w:r>
    </w:p>
    <w:p>
      <w:pPr>
        <w:spacing w:after="0" w:line="49" w:lineRule="exact"/>
        <w:rPr>
          <w:rFonts w:ascii="Arial" w:cs="Arial" w:eastAsia="Arial" w:hAnsi="Arial"/>
          <w:sz w:val="18"/>
          <w:szCs w:val="18"/>
          <w:color w:val="auto"/>
        </w:rPr>
      </w:pPr>
    </w:p>
    <w:p>
      <w:pPr>
        <w:ind w:left="320" w:hanging="315"/>
        <w:spacing w:after="0" w:line="284" w:lineRule="auto"/>
        <w:tabs>
          <w:tab w:leader="none" w:pos="314"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amount includes 14,122,230 common units held by WPT, LLC, a wholly-owned subsidiary of Westlake Corporation, and 1,401,869 common units held by TTWFGP LLC. Two trusts for the benefit of members of the Chao family, including Messrs. James and Albert Chao, are the managers of TTWFGP LLC, a Delaware limited liability company. As of February 22, 2023, James Chao had sole voting power and sole dispositive power over 13,908 units and shared voting power and shared dispositive power over 15,524,099 units, and Albert Chao had sole voting power and sole dispositive power over 166,435 units and shared voting power and shared dispositive power over 15,533,192 units. Messrs. James and Albert Chao disclaim beneficial ownership of the 15,524,099 units held by WPT, LLC and TTWFGP LLC except to the extent of their respective pecuniary interest therein.</w:t>
      </w:r>
    </w:p>
    <w:p>
      <w:pPr>
        <w:spacing w:after="0" w:line="115" w:lineRule="exact"/>
        <w:rPr>
          <w:sz w:val="20"/>
          <w:szCs w:val="20"/>
          <w:color w:val="auto"/>
        </w:rPr>
      </w:pPr>
    </w:p>
    <w:p>
      <w:pPr>
        <w:ind w:right="440" w:firstLine="395"/>
        <w:spacing w:after="0" w:line="324" w:lineRule="auto"/>
        <w:rPr>
          <w:sz w:val="20"/>
          <w:szCs w:val="20"/>
          <w:color w:val="auto"/>
        </w:rPr>
      </w:pPr>
      <w:r>
        <w:rPr>
          <w:rFonts w:ascii="Arial" w:cs="Arial" w:eastAsia="Arial" w:hAnsi="Arial"/>
          <w:sz w:val="16"/>
          <w:szCs w:val="16"/>
          <w:color w:val="auto"/>
        </w:rPr>
        <w:t>The following table sets forth, as of February 22, 2023, the number of shares of common stock of Westlake Corporation beneficially owned by each director and named executive officer of our general partner and by all directors and executive officers of our general partner as a group:</w:t>
      </w:r>
    </w:p>
    <w:p>
      <w:pPr>
        <w:spacing w:after="0" w:line="37" w:lineRule="exact"/>
        <w:rPr>
          <w:sz w:val="20"/>
          <w:szCs w:val="20"/>
          <w:color w:val="auto"/>
        </w:rPr>
      </w:pPr>
    </w:p>
    <w:p>
      <w:pPr>
        <w:jc w:val="center"/>
        <w:ind w:left="5880"/>
        <w:spacing w:after="0"/>
        <w:rPr>
          <w:sz w:val="20"/>
          <w:szCs w:val="20"/>
          <w:color w:val="auto"/>
        </w:rPr>
      </w:pPr>
      <w:r>
        <w:rPr>
          <w:rFonts w:ascii="Arial" w:cs="Arial" w:eastAsia="Arial" w:hAnsi="Arial"/>
          <w:sz w:val="14"/>
          <w:szCs w:val="14"/>
          <w:b w:val="1"/>
          <w:bCs w:val="1"/>
          <w:color w:val="auto"/>
        </w:rPr>
        <w:t>Amount and Nature of</w:t>
      </w:r>
    </w:p>
    <w:p>
      <w:pPr>
        <w:jc w:val="center"/>
        <w:ind w:left="5880"/>
        <w:spacing w:after="0"/>
        <w:rPr>
          <w:sz w:val="20"/>
          <w:szCs w:val="20"/>
          <w:color w:val="auto"/>
        </w:rPr>
      </w:pPr>
      <w:r>
        <w:rPr>
          <w:rFonts w:ascii="Arial" w:cs="Arial" w:eastAsia="Arial" w:hAnsi="Arial"/>
          <w:sz w:val="14"/>
          <w:szCs w:val="14"/>
          <w:b w:val="1"/>
          <w:bCs w:val="1"/>
          <w:color w:val="auto"/>
        </w:rPr>
        <w:t xml:space="preserve">Beneficial Ownership of Common Stock of Westlake </w:t>
      </w:r>
      <w:r>
        <w:rPr>
          <w:rFonts w:ascii="Arial" w:cs="Arial" w:eastAsia="Arial" w:hAnsi="Arial"/>
          <w:sz w:val="18"/>
          <w:szCs w:val="18"/>
          <w:b w:val="1"/>
          <w:bCs w:val="1"/>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3738245</wp:posOffset>
            </wp:positionH>
            <wp:positionV relativeFrom="paragraph">
              <wp:posOffset>-12065</wp:posOffset>
            </wp:positionV>
            <wp:extent cx="340106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401060" cy="8255"/>
                    </a:xfrm>
                    <a:prstGeom prst="rect">
                      <a:avLst/>
                    </a:prstGeom>
                    <a:noFill/>
                  </pic:spPr>
                </pic:pic>
              </a:graphicData>
            </a:graphic>
          </wp:anchor>
        </w:drawing>
      </w:r>
    </w:p>
    <w:p>
      <w:pPr>
        <w:ind w:left="20"/>
        <w:spacing w:after="0"/>
        <w:tabs>
          <w:tab w:leader="none" w:pos="6400" w:val="left"/>
          <w:tab w:leader="none" w:pos="7920" w:val="left"/>
          <w:tab w:leader="none" w:pos="9960" w:val="left"/>
        </w:tabs>
        <w:rPr>
          <w:sz w:val="20"/>
          <w:szCs w:val="20"/>
          <w:color w:val="auto"/>
        </w:rPr>
      </w:pPr>
      <w:r>
        <w:rPr>
          <w:rFonts w:ascii="Arial" w:cs="Arial" w:eastAsia="Arial" w:hAnsi="Arial"/>
          <w:sz w:val="14"/>
          <w:szCs w:val="14"/>
          <w:b w:val="1"/>
          <w:bCs w:val="1"/>
          <w:color w:val="auto"/>
        </w:rPr>
        <w:t>Directors and Named Executive Officers of Our General Partner</w:t>
      </w:r>
      <w:r>
        <w:rPr>
          <w:sz w:val="20"/>
          <w:szCs w:val="20"/>
          <w:color w:val="auto"/>
        </w:rPr>
        <w:tab/>
      </w:r>
      <w:r>
        <w:rPr>
          <w:rFonts w:ascii="Arial" w:cs="Arial" w:eastAsia="Arial" w:hAnsi="Arial"/>
          <w:sz w:val="14"/>
          <w:szCs w:val="14"/>
          <w:b w:val="1"/>
          <w:bCs w:val="1"/>
          <w:color w:val="auto"/>
        </w:rPr>
        <w:t>Direct</w:t>
      </w:r>
      <w:r>
        <w:rPr>
          <w:sz w:val="20"/>
          <w:szCs w:val="20"/>
          <w:color w:val="auto"/>
        </w:rPr>
        <w:tab/>
      </w:r>
      <w:r>
        <w:rPr>
          <w:rFonts w:ascii="Arial" w:cs="Arial" w:eastAsia="Arial" w:hAnsi="Arial"/>
          <w:sz w:val="14"/>
          <w:szCs w:val="14"/>
          <w:b w:val="1"/>
          <w:bCs w:val="1"/>
          <w:color w:val="auto"/>
        </w:rPr>
        <w:t>Other</w:t>
      </w:r>
      <w:r>
        <w:rPr>
          <w:sz w:val="20"/>
          <w:szCs w:val="20"/>
          <w:color w:val="auto"/>
        </w:rPr>
        <w:tab/>
      </w:r>
      <w:r>
        <w:rPr>
          <w:rFonts w:ascii="Arial" w:cs="Arial" w:eastAsia="Arial" w:hAnsi="Arial"/>
          <w:sz w:val="12"/>
          <w:szCs w:val="12"/>
          <w:b w:val="1"/>
          <w:bCs w:val="1"/>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7135495" cy="15049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35495" cy="15049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5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Albert Y. Chao</w:t>
            </w:r>
          </w:p>
        </w:tc>
        <w:tc>
          <w:tcPr>
            <w:tcW w:w="10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1,075,048</w:t>
            </w:r>
          </w:p>
        </w:tc>
        <w:tc>
          <w:tcPr>
            <w:tcW w:w="120" w:type="dxa"/>
            <w:vAlign w:val="bottom"/>
          </w:tcPr>
          <w:p>
            <w:pPr>
              <w:spacing w:after="0"/>
              <w:rPr>
                <w:sz w:val="20"/>
                <w:szCs w:val="20"/>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93,405,554</w:t>
            </w:r>
          </w:p>
        </w:tc>
      </w:tr>
      <w:tr>
        <w:trPr>
          <w:trHeight w:val="224"/>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James Y. Chao</w:t>
            </w:r>
          </w:p>
        </w:tc>
        <w:tc>
          <w:tcPr>
            <w:tcW w:w="1420" w:type="dxa"/>
            <w:vAlign w:val="bottom"/>
          </w:tcPr>
          <w:p>
            <w:pPr>
              <w:jc w:val="right"/>
              <w:spacing w:after="0"/>
              <w:rPr>
                <w:sz w:val="20"/>
                <w:szCs w:val="20"/>
                <w:color w:val="auto"/>
              </w:rPr>
            </w:pPr>
            <w:r>
              <w:rPr>
                <w:rFonts w:ascii="Arial" w:cs="Arial" w:eastAsia="Arial" w:hAnsi="Arial"/>
                <w:sz w:val="18"/>
                <w:szCs w:val="18"/>
                <w:color w:val="auto"/>
              </w:rPr>
              <w:t>479,125</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93,405,554</w:t>
            </w:r>
          </w:p>
        </w:tc>
      </w:tr>
      <w:tr>
        <w:trPr>
          <w:trHeight w:val="224"/>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M. Steven Bender</w:t>
            </w:r>
          </w:p>
        </w:tc>
        <w:tc>
          <w:tcPr>
            <w:tcW w:w="1420" w:type="dxa"/>
            <w:vAlign w:val="bottom"/>
          </w:tcPr>
          <w:p>
            <w:pPr>
              <w:jc w:val="right"/>
              <w:spacing w:after="0"/>
              <w:rPr>
                <w:sz w:val="20"/>
                <w:szCs w:val="20"/>
                <w:color w:val="auto"/>
              </w:rPr>
            </w:pPr>
            <w:r>
              <w:rPr>
                <w:rFonts w:ascii="Arial" w:cs="Arial" w:eastAsia="Arial" w:hAnsi="Arial"/>
                <w:sz w:val="18"/>
                <w:szCs w:val="18"/>
                <w:color w:val="auto"/>
              </w:rPr>
              <w:t>90,297</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L. Benjamin Ederington</w:t>
            </w:r>
          </w:p>
        </w:tc>
        <w:tc>
          <w:tcPr>
            <w:tcW w:w="1420" w:type="dxa"/>
            <w:vAlign w:val="bottom"/>
          </w:tcPr>
          <w:p>
            <w:pPr>
              <w:jc w:val="right"/>
              <w:spacing w:after="0"/>
              <w:rPr>
                <w:sz w:val="20"/>
                <w:szCs w:val="20"/>
                <w:color w:val="auto"/>
              </w:rPr>
            </w:pPr>
            <w:r>
              <w:rPr>
                <w:rFonts w:ascii="Arial" w:cs="Arial" w:eastAsia="Arial" w:hAnsi="Arial"/>
                <w:sz w:val="18"/>
                <w:szCs w:val="18"/>
                <w:color w:val="auto"/>
              </w:rPr>
              <w:t>127,202</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G. Stephen Finley</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Angela A. Minas</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Randy G. Woelfel</w:t>
            </w:r>
          </w:p>
        </w:tc>
        <w:tc>
          <w:tcPr>
            <w:tcW w:w="15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4"/>
        </w:trPr>
        <w:tc>
          <w:tcPr>
            <w:tcW w:w="5880" w:type="dxa"/>
            <w:vAlign w:val="bottom"/>
            <w:gridSpan w:val="2"/>
          </w:tcPr>
          <w:p>
            <w:pPr>
              <w:ind w:left="20"/>
              <w:spacing w:after="0"/>
              <w:rPr>
                <w:sz w:val="20"/>
                <w:szCs w:val="20"/>
                <w:color w:val="auto"/>
              </w:rPr>
            </w:pPr>
            <w:r>
              <w:rPr>
                <w:rFonts w:ascii="Arial" w:cs="Arial" w:eastAsia="Arial" w:hAnsi="Arial"/>
                <w:sz w:val="18"/>
                <w:szCs w:val="18"/>
                <w:color w:val="auto"/>
              </w:rPr>
              <w:t>All directors and executive officers as a group (9 persons)</w:t>
            </w:r>
          </w:p>
        </w:tc>
        <w:tc>
          <w:tcPr>
            <w:tcW w:w="1420" w:type="dxa"/>
            <w:vAlign w:val="bottom"/>
          </w:tcPr>
          <w:p>
            <w:pPr>
              <w:jc w:val="right"/>
              <w:spacing w:after="0"/>
              <w:rPr>
                <w:sz w:val="20"/>
                <w:szCs w:val="20"/>
                <w:color w:val="auto"/>
              </w:rPr>
            </w:pPr>
            <w:r>
              <w:rPr>
                <w:rFonts w:ascii="Arial" w:cs="Arial" w:eastAsia="Arial" w:hAnsi="Arial"/>
                <w:sz w:val="18"/>
                <w:szCs w:val="18"/>
                <w:color w:val="auto"/>
              </w:rPr>
              <w:t>1,848,631</w:t>
            </w:r>
          </w:p>
        </w:tc>
        <w:tc>
          <w:tcPr>
            <w:tcW w:w="1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93,405,554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-851535</wp:posOffset>
            </wp:positionV>
            <wp:extent cx="7135495" cy="1422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35495" cy="1422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-567055</wp:posOffset>
            </wp:positionV>
            <wp:extent cx="7135495" cy="1422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35495" cy="1422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-283210</wp:posOffset>
            </wp:positionV>
            <wp:extent cx="7135495" cy="1422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5495" cy="1422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97"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1"/>
          <w:szCs w:val="11"/>
          <w:color w:val="auto"/>
        </w:rPr>
        <w:t>(2)</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73.4 %</w:t>
      </w:r>
    </w:p>
    <w:p>
      <w:pPr>
        <w:spacing w:after="0" w:line="40"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73.0 %</w:t>
      </w:r>
    </w:p>
    <w:p>
      <w:pPr>
        <w:spacing w:after="0" w:line="4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w:t>
      </w:r>
    </w:p>
    <w:p>
      <w:pPr>
        <w:spacing w:after="0" w:line="17" w:lineRule="exact"/>
        <w:rPr>
          <w:sz w:val="20"/>
          <w:szCs w:val="20"/>
          <w:color w:val="auto"/>
        </w:rPr>
      </w:pPr>
    </w:p>
    <w:p>
      <w:pPr>
        <w:jc w:val="right"/>
        <w:spacing w:after="0"/>
        <w:rPr>
          <w:sz w:val="20"/>
          <w:szCs w:val="20"/>
          <w:color w:val="auto"/>
        </w:rPr>
      </w:pPr>
      <w:r>
        <w:rPr>
          <w:rFonts w:ascii="Arial" w:cs="Arial" w:eastAsia="Arial" w:hAnsi="Arial"/>
          <w:sz w:val="16"/>
          <w:szCs w:val="16"/>
          <w:color w:val="auto"/>
        </w:rPr>
        <w:t>74.0 %</w:t>
      </w:r>
    </w:p>
    <w:p>
      <w:pPr>
        <w:spacing w:after="0" w:line="238" w:lineRule="exact"/>
        <w:rPr>
          <w:sz w:val="20"/>
          <w:szCs w:val="20"/>
          <w:color w:val="auto"/>
        </w:rPr>
      </w:pPr>
    </w:p>
    <w:p>
      <w:pPr>
        <w:sectPr>
          <w:pgSz w:w="11900" w:h="16838" w:orient="portrait"/>
          <w:cols w:equalWidth="0" w:num="3">
            <w:col w:w="8840" w:space="120"/>
            <w:col w:w="1040" w:space="720"/>
            <w:col w:w="500"/>
          </w:cols>
          <w:pgMar w:left="320" w:top="121" w:right="359" w:bottom="1440" w:gutter="0" w:footer="0" w:header="0"/>
          <w:type w:val="continuous"/>
        </w:sectPr>
      </w:pPr>
    </w:p>
    <w:p>
      <w:pPr>
        <w:spacing w:after="0" w:line="12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42" w:lineRule="exact"/>
        <w:rPr>
          <w:sz w:val="20"/>
          <w:szCs w:val="20"/>
          <w:color w:val="auto"/>
        </w:rPr>
      </w:pPr>
    </w:p>
    <w:p>
      <w:pPr>
        <w:ind w:left="260" w:hanging="255"/>
        <w:spacing w:after="0"/>
        <w:tabs>
          <w:tab w:leader="none" w:pos="260" w:val="left"/>
        </w:tabs>
        <w:numPr>
          <w:ilvl w:val="0"/>
          <w:numId w:val="39"/>
        </w:numPr>
        <w:rPr>
          <w:rFonts w:ascii="Arial" w:cs="Arial" w:eastAsia="Arial" w:hAnsi="Arial"/>
          <w:sz w:val="16"/>
          <w:szCs w:val="16"/>
          <w:color w:val="auto"/>
        </w:rPr>
      </w:pPr>
      <w:r>
        <w:rPr>
          <w:rFonts w:ascii="Arial" w:cs="Arial" w:eastAsia="Arial" w:hAnsi="Arial"/>
          <w:sz w:val="18"/>
          <w:szCs w:val="18"/>
          <w:color w:val="auto"/>
        </w:rPr>
        <w:t>Less than 1% of the outstanding shares of common stock.</w:t>
      </w:r>
    </w:p>
    <w:p>
      <w:pPr>
        <w:spacing w:after="0" w:line="96" w:lineRule="exact"/>
        <w:rPr>
          <w:sz w:val="20"/>
          <w:szCs w:val="20"/>
          <w:color w:val="auto"/>
        </w:rPr>
      </w:pPr>
    </w:p>
    <w:p>
      <w:pPr>
        <w:ind w:left="320" w:hanging="315"/>
        <w:spacing w:after="0"/>
        <w:tabs>
          <w:tab w:leader="none" w:pos="3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None of the shares beneficially owned by the directors or officers are pledged as security.</w:t>
      </w:r>
    </w:p>
    <w:p>
      <w:pPr>
        <w:spacing w:after="0" w:line="95" w:lineRule="exact"/>
        <w:rPr>
          <w:rFonts w:ascii="Arial" w:cs="Arial" w:eastAsia="Arial" w:hAnsi="Arial"/>
          <w:sz w:val="18"/>
          <w:szCs w:val="18"/>
          <w:color w:val="auto"/>
        </w:rPr>
      </w:pPr>
    </w:p>
    <w:p>
      <w:pPr>
        <w:ind w:left="320" w:right="40" w:hanging="315"/>
        <w:spacing w:after="0" w:line="281" w:lineRule="auto"/>
        <w:tabs>
          <w:tab w:leader="none" w:pos="314" w:val="left"/>
        </w:tabs>
        <w:numPr>
          <w:ilvl w:val="0"/>
          <w:numId w:val="40"/>
        </w:numPr>
        <w:rPr>
          <w:rFonts w:ascii="Arial" w:cs="Arial" w:eastAsia="Arial" w:hAnsi="Arial"/>
          <w:sz w:val="16"/>
          <w:szCs w:val="16"/>
          <w:color w:val="auto"/>
        </w:rPr>
      </w:pPr>
      <w:r>
        <w:rPr>
          <w:rFonts w:ascii="Arial" w:cs="Arial" w:eastAsia="Arial" w:hAnsi="Arial"/>
          <w:sz w:val="16"/>
          <w:szCs w:val="16"/>
          <w:color w:val="auto"/>
        </w:rPr>
        <w:t>TTWF LP, a Delaware limited partnership, holds 92,010,554 and TTWFGP LLC, the general partner of TTWF LP, holds 1,395,000 of these 93,405,554 shares. Two trusts for the benefit of members of the Chao family, including James Chao and Albert Chao, are the managers of TTWFGP LLC. The limited partners of TTWF LP are five trusts principally for the benefit of members of the Chao family, including James Chao and Albert Chao and two corporations owned, indirectly or directly, by certain of these trusts and by other entities owned by members of the Chao family, including Messrs. James and Albert Chao. James Chao, Albert Chao, TTWF LP and TTWFGP LLC share voting and dispositive power with respect to the shares of Westlake's common stock beneficially owned by TTWF LP. James Chao, Albert Chao and TTWFGP LLC share voting and dispositive power with respect to the shares of Westlake's common stock beneficially owned by TTWFGP LLC. Messrs. James and Albert Chao disclaim beneficial ownership of the 93,405,554 shares held by TTWF LP and TTWFGP LLC except to the extent of their respective pecuniary interest therein.</w:t>
      </w: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firstLine="395"/>
        <w:spacing w:after="0" w:line="261" w:lineRule="auto"/>
        <w:rPr>
          <w:sz w:val="20"/>
          <w:szCs w:val="20"/>
          <w:color w:val="auto"/>
        </w:rPr>
      </w:pPr>
      <w:r>
        <w:rPr>
          <w:rFonts w:ascii="Arial" w:cs="Arial" w:eastAsia="Arial" w:hAnsi="Arial"/>
          <w:sz w:val="18"/>
          <w:szCs w:val="18"/>
          <w:color w:val="auto"/>
        </w:rPr>
        <w:t>The following table sets forth each person known to us who is the beneficial owner of 5% or more of our outstanding common units, other than Westlake, the holdings of which are listed in the first table of this Item 12.</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of Beneficial Owner</w:t>
            </w:r>
          </w:p>
        </w:tc>
        <w:tc>
          <w:tcPr>
            <w:tcW w:w="120" w:type="dxa"/>
            <w:vAlign w:val="bottom"/>
            <w:vMerge w:val="restart"/>
          </w:tcPr>
          <w:p>
            <w:pPr>
              <w:spacing w:after="0"/>
              <w:rPr>
                <w:sz w:val="14"/>
                <w:szCs w:val="14"/>
                <w:color w:val="auto"/>
              </w:rPr>
            </w:pPr>
          </w:p>
        </w:tc>
        <w:tc>
          <w:tcPr>
            <w:tcW w:w="1520" w:type="dxa"/>
            <w:vAlign w:val="bottom"/>
            <w:gridSpan w:val="2"/>
          </w:tcPr>
          <w:p>
            <w:pPr>
              <w:ind w:left="240"/>
              <w:spacing w:after="0"/>
              <w:rPr>
                <w:sz w:val="20"/>
                <w:szCs w:val="20"/>
                <w:color w:val="auto"/>
              </w:rPr>
            </w:pPr>
            <w:r>
              <w:rPr>
                <w:rFonts w:ascii="Arial" w:cs="Arial" w:eastAsia="Arial" w:hAnsi="Arial"/>
                <w:sz w:val="14"/>
                <w:szCs w:val="14"/>
                <w:b w:val="1"/>
                <w:bCs w:val="1"/>
                <w:color w:val="auto"/>
              </w:rPr>
              <w:t>Common Units</w:t>
            </w: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w w:val="92"/>
              </w:rPr>
              <w:t>Percentage of Common</w:t>
            </w:r>
          </w:p>
        </w:tc>
        <w:tc>
          <w:tcPr>
            <w:tcW w:w="0" w:type="dxa"/>
            <w:vAlign w:val="bottom"/>
          </w:tcPr>
          <w:p>
            <w:pPr>
              <w:spacing w:after="0"/>
              <w:rPr>
                <w:sz w:val="1"/>
                <w:szCs w:val="1"/>
                <w:color w:val="auto"/>
              </w:rPr>
            </w:pPr>
          </w:p>
        </w:tc>
      </w:tr>
      <w:tr>
        <w:trPr>
          <w:trHeight w:val="191"/>
        </w:trPr>
        <w:tc>
          <w:tcPr>
            <w:tcW w:w="80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w w:val="98"/>
              </w:rPr>
              <w:t>Beneficially Owned</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Units Beneficially Owned</w:t>
            </w:r>
          </w:p>
        </w:tc>
        <w:tc>
          <w:tcPr>
            <w:tcW w:w="0" w:type="dxa"/>
            <w:vAlign w:val="bottom"/>
          </w:tcPr>
          <w:p>
            <w:pPr>
              <w:spacing w:after="0"/>
              <w:rPr>
                <w:sz w:val="1"/>
                <w:szCs w:val="1"/>
                <w:color w:val="auto"/>
              </w:rPr>
            </w:pPr>
          </w:p>
        </w:tc>
      </w:tr>
      <w:tr>
        <w:trPr>
          <w:trHeight w:val="211"/>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Energy Income Partners, LLC</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160" w:type="dxa"/>
            <w:vAlign w:val="bottom"/>
            <w:gridSpan w:val="2"/>
            <w:shd w:val="clear" w:color="auto" w:fill="CCEEFF"/>
          </w:tcPr>
          <w:p>
            <w:pPr>
              <w:ind w:left="240"/>
              <w:spacing w:after="0" w:line="197" w:lineRule="exact"/>
              <w:rPr>
                <w:sz w:val="20"/>
                <w:szCs w:val="20"/>
                <w:color w:val="auto"/>
              </w:rPr>
            </w:pPr>
            <w:r>
              <w:rPr>
                <w:rFonts w:ascii="Arial" w:cs="Arial" w:eastAsia="Arial" w:hAnsi="Arial"/>
                <w:sz w:val="18"/>
                <w:szCs w:val="18"/>
                <w:color w:val="auto"/>
              </w:rPr>
              <w:t>10 Wright Street</w:t>
            </w: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81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Westport, CT 06880</w:t>
            </w:r>
          </w:p>
        </w:tc>
        <w:tc>
          <w:tcPr>
            <w:tcW w:w="1420" w:type="dxa"/>
            <w:vAlign w:val="bottom"/>
            <w:shd w:val="clear" w:color="auto" w:fill="CCEEFF"/>
          </w:tcPr>
          <w:p>
            <w:pPr>
              <w:jc w:val="right"/>
              <w:spacing w:after="0" w:line="249" w:lineRule="exact"/>
              <w:rPr>
                <w:sz w:val="20"/>
                <w:szCs w:val="20"/>
                <w:color w:val="auto"/>
              </w:rPr>
            </w:pPr>
            <w:r>
              <w:rPr>
                <w:rFonts w:ascii="Arial" w:cs="Arial" w:eastAsia="Arial" w:hAnsi="Arial"/>
                <w:sz w:val="18"/>
                <w:szCs w:val="18"/>
                <w:color w:val="auto"/>
              </w:rPr>
              <w:t xml:space="preserve">2,480,730 </w:t>
            </w:r>
            <w:r>
              <w:rPr>
                <w:rFonts w:ascii="Arial" w:cs="Arial" w:eastAsia="Arial" w:hAnsi="Arial"/>
                <w:sz w:val="22"/>
                <w:szCs w:val="22"/>
                <w:color w:val="auto"/>
                <w:vertAlign w:val="superscript"/>
              </w:rPr>
              <w:t>(1)</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11"/>
        </w:trPr>
        <w:tc>
          <w:tcPr>
            <w:tcW w:w="8160" w:type="dxa"/>
            <w:vAlign w:val="bottom"/>
            <w:gridSpan w:val="2"/>
          </w:tcPr>
          <w:p>
            <w:pPr>
              <w:ind w:left="20"/>
              <w:spacing w:after="0"/>
              <w:rPr>
                <w:sz w:val="20"/>
                <w:szCs w:val="20"/>
                <w:color w:val="auto"/>
              </w:rPr>
            </w:pPr>
            <w:r>
              <w:rPr>
                <w:rFonts w:ascii="Arial" w:cs="Arial" w:eastAsia="Arial" w:hAnsi="Arial"/>
                <w:sz w:val="18"/>
                <w:szCs w:val="18"/>
                <w:color w:val="auto"/>
              </w:rPr>
              <w:t>First Trust Portfolios L.P., First Trust Advisors L.P. and The Charger Corporation</w:t>
            </w: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7"/>
        </w:trPr>
        <w:tc>
          <w:tcPr>
            <w:tcW w:w="8160" w:type="dxa"/>
            <w:vAlign w:val="bottom"/>
            <w:gridSpan w:val="2"/>
          </w:tcPr>
          <w:p>
            <w:pPr>
              <w:ind w:left="240"/>
              <w:spacing w:after="0" w:line="197" w:lineRule="exact"/>
              <w:rPr>
                <w:sz w:val="20"/>
                <w:szCs w:val="20"/>
                <w:color w:val="auto"/>
              </w:rPr>
            </w:pPr>
            <w:r>
              <w:rPr>
                <w:rFonts w:ascii="Arial" w:cs="Arial" w:eastAsia="Arial" w:hAnsi="Arial"/>
                <w:sz w:val="18"/>
                <w:szCs w:val="18"/>
                <w:color w:val="auto"/>
              </w:rPr>
              <w:t>120 East Liberty Drive, Suite 400</w:t>
            </w: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9"/>
        </w:trPr>
        <w:tc>
          <w:tcPr>
            <w:tcW w:w="8160" w:type="dxa"/>
            <w:vAlign w:val="bottom"/>
            <w:gridSpan w:val="2"/>
          </w:tcPr>
          <w:p>
            <w:pPr>
              <w:ind w:left="240"/>
              <w:spacing w:after="0"/>
              <w:rPr>
                <w:sz w:val="20"/>
                <w:szCs w:val="20"/>
                <w:color w:val="auto"/>
              </w:rPr>
            </w:pPr>
            <w:r>
              <w:rPr>
                <w:rFonts w:ascii="Arial" w:cs="Arial" w:eastAsia="Arial" w:hAnsi="Arial"/>
                <w:sz w:val="18"/>
                <w:szCs w:val="18"/>
                <w:color w:val="auto"/>
              </w:rPr>
              <w:t>Wheaton, Illinois 60187</w:t>
            </w:r>
          </w:p>
        </w:tc>
        <w:tc>
          <w:tcPr>
            <w:tcW w:w="1420" w:type="dxa"/>
            <w:vAlign w:val="bottom"/>
          </w:tcPr>
          <w:p>
            <w:pPr>
              <w:jc w:val="right"/>
              <w:spacing w:after="0" w:line="249" w:lineRule="exact"/>
              <w:rPr>
                <w:sz w:val="20"/>
                <w:szCs w:val="20"/>
                <w:color w:val="auto"/>
              </w:rPr>
            </w:pPr>
            <w:r>
              <w:rPr>
                <w:rFonts w:ascii="Arial" w:cs="Arial" w:eastAsia="Arial" w:hAnsi="Arial"/>
                <w:sz w:val="18"/>
                <w:szCs w:val="18"/>
                <w:color w:val="auto"/>
              </w:rPr>
              <w:t xml:space="preserve">1,891,502 </w:t>
            </w:r>
            <w:r>
              <w:rPr>
                <w:rFonts w:ascii="Arial" w:cs="Arial" w:eastAsia="Arial" w:hAnsi="Arial"/>
                <w:sz w:val="22"/>
                <w:szCs w:val="22"/>
                <w:color w:val="auto"/>
                <w:vertAlign w:val="superscript"/>
              </w:rPr>
              <w:t>(2)</w:t>
            </w:r>
          </w:p>
        </w:tc>
        <w:tc>
          <w:tcPr>
            <w:tcW w:w="1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36"/>
        </w:trPr>
        <w:tc>
          <w:tcPr>
            <w:tcW w:w="8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Invesco Ltd.</w:t>
            </w: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5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81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1555 Peachtree Street NE, Suite 1800</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9"/>
        </w:trPr>
        <w:tc>
          <w:tcPr>
            <w:tcW w:w="81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Atlanta, GA 30309</w:t>
            </w:r>
          </w:p>
        </w:tc>
        <w:tc>
          <w:tcPr>
            <w:tcW w:w="1420" w:type="dxa"/>
            <w:vAlign w:val="bottom"/>
            <w:shd w:val="clear" w:color="auto" w:fill="CCEEFF"/>
          </w:tcPr>
          <w:p>
            <w:pPr>
              <w:jc w:val="right"/>
              <w:spacing w:after="0" w:line="249" w:lineRule="exact"/>
              <w:rPr>
                <w:sz w:val="20"/>
                <w:szCs w:val="20"/>
                <w:color w:val="auto"/>
              </w:rPr>
            </w:pPr>
            <w:r>
              <w:rPr>
                <w:rFonts w:ascii="Arial" w:cs="Arial" w:eastAsia="Arial" w:hAnsi="Arial"/>
                <w:sz w:val="18"/>
                <w:szCs w:val="18"/>
                <w:color w:val="auto"/>
              </w:rPr>
              <w:t xml:space="preserve">5,451,790 </w:t>
            </w:r>
            <w:r>
              <w:rPr>
                <w:rFonts w:ascii="Arial" w:cs="Arial" w:eastAsia="Arial" w:hAnsi="Arial"/>
                <w:sz w:val="22"/>
                <w:szCs w:val="22"/>
                <w:color w:val="auto"/>
                <w:vertAlign w:val="superscript"/>
              </w:rPr>
              <w:t>(3)</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15.5 %</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95" w:lineRule="exact"/>
        <w:rPr>
          <w:sz w:val="20"/>
          <w:szCs w:val="20"/>
          <w:color w:val="auto"/>
        </w:rPr>
      </w:pPr>
    </w:p>
    <w:p>
      <w:pPr>
        <w:ind w:left="320" w:right="100" w:hanging="315"/>
        <w:spacing w:after="0" w:line="316" w:lineRule="auto"/>
        <w:tabs>
          <w:tab w:leader="none" w:pos="314" w:val="left"/>
        </w:tabs>
        <w:numPr>
          <w:ilvl w:val="0"/>
          <w:numId w:val="41"/>
        </w:numPr>
        <w:rPr>
          <w:rFonts w:ascii="Arial" w:cs="Arial" w:eastAsia="Arial" w:hAnsi="Arial"/>
          <w:sz w:val="15"/>
          <w:szCs w:val="15"/>
          <w:color w:val="auto"/>
        </w:rPr>
      </w:pPr>
      <w:r>
        <w:rPr>
          <w:rFonts w:ascii="Arial" w:cs="Arial" w:eastAsia="Arial" w:hAnsi="Arial"/>
          <w:sz w:val="15"/>
          <w:szCs w:val="15"/>
          <w:color w:val="auto"/>
        </w:rPr>
        <w:t>Based on an Amendment No. 3 to a Schedule 13G filed on February 14, 2023. According to the filing, Energy Income Partners, LLC had shared voting and shared dispositive power over 2,480,730 common units. In addition, each of James J. Murchie, Eva Pao and John Tyssel had shared voting and shared dispositive power over 2,480,730 common units as portfolios managers with respect to the portfolios managed by Energy Income Partners, LLC, and Saul Ballesteros had shared voting and shared dispositive power over 2,480,730 common units as a control person of Energy Income Partners, LLC.</w:t>
      </w:r>
    </w:p>
    <w:p>
      <w:pPr>
        <w:spacing w:after="0" w:line="12" w:lineRule="exact"/>
        <w:rPr>
          <w:rFonts w:ascii="Arial" w:cs="Arial" w:eastAsia="Arial" w:hAnsi="Arial"/>
          <w:sz w:val="15"/>
          <w:szCs w:val="15"/>
          <w:color w:val="auto"/>
        </w:rPr>
      </w:pPr>
    </w:p>
    <w:p>
      <w:pPr>
        <w:ind w:left="320" w:right="60" w:hanging="315"/>
        <w:spacing w:after="0" w:line="247" w:lineRule="auto"/>
        <w:tabs>
          <w:tab w:leader="none" w:pos="314"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an Amendment No. 2 to a Schedule 13G filed on January 11, 2023. According to the filing, First Trust Advisors L.P. and The Charger Corporation had shared voting power over 1,887,560 common units and shared dispositive power over 1,891,502 common units. First Trust Portfolios L.P. had shared voting power and shared dispositive power over 0 common units. According to the filing, The Charger Corporation is the general partner of both of First Trust Portfolios L.P. and First Trust Advisors L.P.; First Trust Portfolios L.P. acts as sponsor of certain unit investment trusts which holds common units of the Partnership; none of First Trust Portfolios L.P., First Trust Advisors L.P. and The Charger Corporation have the power to vote the units of the Partnership held by these unit investment trusts sponsored by First Trust Portfolios L.P; and the units are voted by the trustee of the unit investment trusts.</w:t>
      </w:r>
    </w:p>
    <w:p>
      <w:pPr>
        <w:spacing w:after="0" w:line="74" w:lineRule="exact"/>
        <w:rPr>
          <w:rFonts w:ascii="Arial" w:cs="Arial" w:eastAsia="Arial" w:hAnsi="Arial"/>
          <w:sz w:val="18"/>
          <w:szCs w:val="18"/>
          <w:color w:val="auto"/>
        </w:rPr>
      </w:pPr>
    </w:p>
    <w:p>
      <w:pPr>
        <w:ind w:left="320" w:right="280" w:hanging="315"/>
        <w:spacing w:after="0" w:line="261" w:lineRule="auto"/>
        <w:tabs>
          <w:tab w:leader="none" w:pos="314" w:val="left"/>
        </w:tabs>
        <w:numPr>
          <w:ilvl w:val="0"/>
          <w:numId w:val="41"/>
        </w:numPr>
        <w:rPr>
          <w:rFonts w:ascii="Arial" w:cs="Arial" w:eastAsia="Arial" w:hAnsi="Arial"/>
          <w:sz w:val="18"/>
          <w:szCs w:val="18"/>
          <w:color w:val="auto"/>
        </w:rPr>
      </w:pPr>
      <w:r>
        <w:rPr>
          <w:rFonts w:ascii="Arial" w:cs="Arial" w:eastAsia="Arial" w:hAnsi="Arial"/>
          <w:sz w:val="18"/>
          <w:szCs w:val="18"/>
          <w:color w:val="auto"/>
        </w:rPr>
        <w:t>Based on an Amendment No. 4 to a Schedule 13G filed on February 10, 2023. According to the filing, Invesco Ltd. had sole voting and sole dispositive power over 5,451,790 common units.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167" w:lineRule="exact"/>
        <w:rPr>
          <w:sz w:val="20"/>
          <w:szCs w:val="20"/>
          <w:color w:val="auto"/>
        </w:rPr>
      </w:pPr>
    </w:p>
    <w:p>
      <w:pPr>
        <w:ind w:left="400"/>
        <w:spacing w:after="0"/>
        <w:rPr>
          <w:sz w:val="20"/>
          <w:szCs w:val="20"/>
          <w:color w:val="auto"/>
        </w:rPr>
      </w:pPr>
      <w:r>
        <w:rPr>
          <w:rFonts w:ascii="Arial" w:cs="Arial" w:eastAsia="Arial" w:hAnsi="Arial"/>
          <w:sz w:val="18"/>
          <w:szCs w:val="18"/>
          <w:color w:val="auto"/>
        </w:rPr>
        <w:t>Units authorized for issuance under the Partnership's Long-Term Incentive Plan (the "LTIP") are summarized in the following table.</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9"/>
              </w:rPr>
              <w:t>Number of securities</w:t>
            </w:r>
          </w:p>
        </w:tc>
        <w:tc>
          <w:tcPr>
            <w:tcW w:w="0" w:type="dxa"/>
            <w:vAlign w:val="bottom"/>
          </w:tcPr>
          <w:p>
            <w:pPr>
              <w:spacing w:after="0"/>
              <w:rPr>
                <w:sz w:val="1"/>
                <w:szCs w:val="1"/>
                <w:color w:val="auto"/>
              </w:rPr>
            </w:pPr>
          </w:p>
        </w:tc>
      </w:tr>
      <w:tr>
        <w:trPr>
          <w:trHeight w:val="145"/>
        </w:trPr>
        <w:tc>
          <w:tcPr>
            <w:tcW w:w="5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vMerge w:val="restart"/>
          </w:tcPr>
          <w:p>
            <w:pPr>
              <w:jc w:val="center"/>
              <w:ind w:left="265"/>
              <w:spacing w:after="0"/>
              <w:rPr>
                <w:sz w:val="20"/>
                <w:szCs w:val="20"/>
                <w:color w:val="auto"/>
              </w:rPr>
            </w:pPr>
            <w:r>
              <w:rPr>
                <w:rFonts w:ascii="Arial" w:cs="Arial" w:eastAsia="Arial" w:hAnsi="Arial"/>
                <w:sz w:val="14"/>
                <w:szCs w:val="14"/>
                <w:b w:val="1"/>
                <w:bCs w:val="1"/>
                <w:color w:val="auto"/>
                <w:w w:val="89"/>
              </w:rPr>
              <w:t>Weighted-average</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remaining available</w:t>
            </w:r>
          </w:p>
        </w:tc>
        <w:tc>
          <w:tcPr>
            <w:tcW w:w="0" w:type="dxa"/>
            <w:vAlign w:val="bottom"/>
          </w:tcPr>
          <w:p>
            <w:pPr>
              <w:spacing w:after="0"/>
              <w:rPr>
                <w:sz w:val="1"/>
                <w:szCs w:val="1"/>
                <w:color w:val="auto"/>
              </w:rPr>
            </w:pPr>
          </w:p>
        </w:tc>
      </w:tr>
      <w:tr>
        <w:trPr>
          <w:trHeight w:val="141"/>
        </w:trPr>
        <w:tc>
          <w:tcPr>
            <w:tcW w:w="5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Number of units</w:t>
            </w:r>
          </w:p>
        </w:tc>
        <w:tc>
          <w:tcPr>
            <w:tcW w:w="142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0"/>
              </w:rPr>
              <w:t>for future issuance under</w:t>
            </w:r>
          </w:p>
        </w:tc>
        <w:tc>
          <w:tcPr>
            <w:tcW w:w="0" w:type="dxa"/>
            <w:vAlign w:val="bottom"/>
          </w:tcPr>
          <w:p>
            <w:pPr>
              <w:spacing w:after="0"/>
              <w:rPr>
                <w:sz w:val="1"/>
                <w:szCs w:val="1"/>
                <w:color w:val="auto"/>
              </w:rPr>
            </w:pPr>
          </w:p>
        </w:tc>
      </w:tr>
      <w:tr>
        <w:trPr>
          <w:trHeight w:val="135"/>
        </w:trPr>
        <w:tc>
          <w:tcPr>
            <w:tcW w:w="5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60" w:type="dxa"/>
            <w:vAlign w:val="bottom"/>
            <w:gridSpan w:val="2"/>
            <w:vMerge w:val="continue"/>
          </w:tcPr>
          <w:p>
            <w:pPr>
              <w:spacing w:after="0"/>
              <w:rPr>
                <w:sz w:val="11"/>
                <w:szCs w:val="11"/>
                <w:color w:val="auto"/>
              </w:rPr>
            </w:pPr>
          </w:p>
        </w:tc>
        <w:tc>
          <w:tcPr>
            <w:tcW w:w="1420" w:type="dxa"/>
            <w:vAlign w:val="bottom"/>
          </w:tcPr>
          <w:p>
            <w:pPr>
              <w:jc w:val="center"/>
              <w:ind w:left="265"/>
              <w:spacing w:after="0" w:line="135" w:lineRule="exact"/>
              <w:rPr>
                <w:sz w:val="20"/>
                <w:szCs w:val="20"/>
                <w:color w:val="auto"/>
              </w:rPr>
            </w:pPr>
            <w:r>
              <w:rPr>
                <w:rFonts w:ascii="Arial" w:cs="Arial" w:eastAsia="Arial" w:hAnsi="Arial"/>
                <w:sz w:val="14"/>
                <w:szCs w:val="14"/>
                <w:b w:val="1"/>
                <w:bCs w:val="1"/>
                <w:color w:val="auto"/>
                <w:w w:val="86"/>
              </w:rPr>
              <w:t>exercise price of</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87"/>
              </w:rPr>
              <w:t>equity</w:t>
            </w:r>
          </w:p>
        </w:tc>
        <w:tc>
          <w:tcPr>
            <w:tcW w:w="0" w:type="dxa"/>
            <w:vAlign w:val="bottom"/>
          </w:tcPr>
          <w:p>
            <w:pPr>
              <w:spacing w:after="0"/>
              <w:rPr>
                <w:sz w:val="1"/>
                <w:szCs w:val="1"/>
                <w:color w:val="auto"/>
              </w:rPr>
            </w:pPr>
          </w:p>
        </w:tc>
      </w:tr>
      <w:tr>
        <w:trPr>
          <w:trHeight w:val="141"/>
        </w:trPr>
        <w:tc>
          <w:tcPr>
            <w:tcW w:w="5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2"/>
          </w:tcPr>
          <w:p>
            <w:pPr>
              <w:jc w:val="center"/>
              <w:ind w:right="140"/>
              <w:spacing w:after="0" w:line="141" w:lineRule="exact"/>
              <w:rPr>
                <w:sz w:val="20"/>
                <w:szCs w:val="20"/>
                <w:color w:val="auto"/>
              </w:rPr>
            </w:pPr>
            <w:r>
              <w:rPr>
                <w:rFonts w:ascii="Arial" w:cs="Arial" w:eastAsia="Arial" w:hAnsi="Arial"/>
                <w:sz w:val="14"/>
                <w:szCs w:val="14"/>
                <w:b w:val="1"/>
                <w:bCs w:val="1"/>
                <w:color w:val="auto"/>
                <w:w w:val="86"/>
              </w:rPr>
              <w:t>to be issued upon</w:t>
            </w:r>
          </w:p>
        </w:tc>
        <w:tc>
          <w:tcPr>
            <w:tcW w:w="1420" w:type="dxa"/>
            <w:vAlign w:val="bottom"/>
          </w:tcPr>
          <w:p>
            <w:pPr>
              <w:jc w:val="center"/>
              <w:ind w:left="265"/>
              <w:spacing w:after="0" w:line="141" w:lineRule="exact"/>
              <w:rPr>
                <w:sz w:val="20"/>
                <w:szCs w:val="20"/>
                <w:color w:val="auto"/>
              </w:rPr>
            </w:pPr>
            <w:r>
              <w:rPr>
                <w:rFonts w:ascii="Arial" w:cs="Arial" w:eastAsia="Arial" w:hAnsi="Arial"/>
                <w:sz w:val="14"/>
                <w:szCs w:val="14"/>
                <w:b w:val="1"/>
                <w:bCs w:val="1"/>
                <w:color w:val="auto"/>
                <w:w w:val="89"/>
              </w:rPr>
              <w:t>outstanding</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7"/>
              </w:rPr>
              <w:t>compensation plans</w:t>
            </w:r>
          </w:p>
        </w:tc>
        <w:tc>
          <w:tcPr>
            <w:tcW w:w="0" w:type="dxa"/>
            <w:vAlign w:val="bottom"/>
          </w:tcPr>
          <w:p>
            <w:pPr>
              <w:spacing w:after="0"/>
              <w:rPr>
                <w:sz w:val="1"/>
                <w:szCs w:val="1"/>
                <w:color w:val="auto"/>
              </w:rPr>
            </w:pPr>
          </w:p>
        </w:tc>
      </w:tr>
      <w:tr>
        <w:trPr>
          <w:trHeight w:val="145"/>
        </w:trPr>
        <w:tc>
          <w:tcPr>
            <w:tcW w:w="5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60" w:type="dxa"/>
            <w:vAlign w:val="bottom"/>
            <w:gridSpan w:val="2"/>
          </w:tcPr>
          <w:p>
            <w:pPr>
              <w:jc w:val="center"/>
              <w:ind w:right="100"/>
              <w:spacing w:after="0" w:line="145" w:lineRule="exact"/>
              <w:rPr>
                <w:sz w:val="20"/>
                <w:szCs w:val="20"/>
                <w:color w:val="auto"/>
              </w:rPr>
            </w:pPr>
            <w:r>
              <w:rPr>
                <w:rFonts w:ascii="Arial" w:cs="Arial" w:eastAsia="Arial" w:hAnsi="Arial"/>
                <w:sz w:val="14"/>
                <w:szCs w:val="14"/>
                <w:b w:val="1"/>
                <w:bCs w:val="1"/>
                <w:color w:val="auto"/>
                <w:w w:val="86"/>
              </w:rPr>
              <w:t>exercise of outstanding</w:t>
            </w:r>
          </w:p>
        </w:tc>
        <w:tc>
          <w:tcPr>
            <w:tcW w:w="1420" w:type="dxa"/>
            <w:vAlign w:val="bottom"/>
          </w:tcPr>
          <w:p>
            <w:pPr>
              <w:jc w:val="center"/>
              <w:ind w:left="225"/>
              <w:spacing w:after="0" w:line="145" w:lineRule="exact"/>
              <w:rPr>
                <w:sz w:val="20"/>
                <w:szCs w:val="20"/>
                <w:color w:val="auto"/>
              </w:rPr>
            </w:pPr>
            <w:r>
              <w:rPr>
                <w:rFonts w:ascii="Arial" w:cs="Arial" w:eastAsia="Arial" w:hAnsi="Arial"/>
                <w:sz w:val="14"/>
                <w:szCs w:val="14"/>
                <w:b w:val="1"/>
                <w:bCs w:val="1"/>
                <w:color w:val="auto"/>
                <w:w w:val="89"/>
              </w:rPr>
              <w:t>options, warrants</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87"/>
              </w:rPr>
              <w:t>(excluding securities</w:t>
            </w:r>
          </w:p>
        </w:tc>
        <w:tc>
          <w:tcPr>
            <w:tcW w:w="0" w:type="dxa"/>
            <w:vAlign w:val="bottom"/>
          </w:tcPr>
          <w:p>
            <w:pPr>
              <w:spacing w:after="0"/>
              <w:rPr>
                <w:sz w:val="1"/>
                <w:szCs w:val="1"/>
                <w:color w:val="auto"/>
              </w:rPr>
            </w:pPr>
          </w:p>
        </w:tc>
      </w:tr>
      <w:tr>
        <w:trPr>
          <w:trHeight w:val="132"/>
        </w:trPr>
        <w:tc>
          <w:tcPr>
            <w:tcW w:w="56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Plan Category</w:t>
            </w:r>
          </w:p>
        </w:tc>
        <w:tc>
          <w:tcPr>
            <w:tcW w:w="100" w:type="dxa"/>
            <w:vAlign w:val="bottom"/>
            <w:vMerge w:val="restart"/>
          </w:tcPr>
          <w:p>
            <w:pPr>
              <w:spacing w:after="0"/>
              <w:rPr>
                <w:sz w:val="11"/>
                <w:szCs w:val="11"/>
                <w:color w:val="auto"/>
              </w:rPr>
            </w:pPr>
          </w:p>
        </w:tc>
        <w:tc>
          <w:tcPr>
            <w:tcW w:w="1860" w:type="dxa"/>
            <w:vAlign w:val="bottom"/>
            <w:gridSpan w:val="2"/>
          </w:tcPr>
          <w:p>
            <w:pPr>
              <w:jc w:val="center"/>
              <w:ind w:right="120"/>
              <w:spacing w:after="0" w:line="132" w:lineRule="exact"/>
              <w:rPr>
                <w:sz w:val="20"/>
                <w:szCs w:val="20"/>
                <w:color w:val="auto"/>
              </w:rPr>
            </w:pPr>
            <w:r>
              <w:rPr>
                <w:rFonts w:ascii="Arial" w:cs="Arial" w:eastAsia="Arial" w:hAnsi="Arial"/>
                <w:sz w:val="14"/>
                <w:szCs w:val="14"/>
                <w:b w:val="1"/>
                <w:bCs w:val="1"/>
                <w:color w:val="auto"/>
                <w:w w:val="90"/>
              </w:rPr>
              <w:t>options, warrants and rights</w:t>
            </w:r>
          </w:p>
        </w:tc>
        <w:tc>
          <w:tcPr>
            <w:tcW w:w="1420" w:type="dxa"/>
            <w:vAlign w:val="bottom"/>
          </w:tcPr>
          <w:p>
            <w:pPr>
              <w:jc w:val="center"/>
              <w:ind w:left="265"/>
              <w:spacing w:after="0" w:line="132" w:lineRule="exact"/>
              <w:rPr>
                <w:sz w:val="20"/>
                <w:szCs w:val="20"/>
                <w:color w:val="auto"/>
              </w:rPr>
            </w:pPr>
            <w:r>
              <w:rPr>
                <w:rFonts w:ascii="Arial" w:cs="Arial" w:eastAsia="Arial" w:hAnsi="Arial"/>
                <w:sz w:val="14"/>
                <w:szCs w:val="14"/>
                <w:b w:val="1"/>
                <w:bCs w:val="1"/>
                <w:color w:val="auto"/>
                <w:w w:val="88"/>
              </w:rPr>
              <w:t>and rights</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60" w:type="dxa"/>
            <w:vAlign w:val="bottom"/>
          </w:tcPr>
          <w:p>
            <w:pPr>
              <w:jc w:val="center"/>
              <w:spacing w:after="0" w:line="132" w:lineRule="exact"/>
              <w:rPr>
                <w:sz w:val="20"/>
                <w:szCs w:val="20"/>
                <w:color w:val="auto"/>
              </w:rPr>
            </w:pPr>
            <w:r>
              <w:rPr>
                <w:rFonts w:ascii="Arial" w:cs="Arial" w:eastAsia="Arial" w:hAnsi="Arial"/>
                <w:sz w:val="14"/>
                <w:szCs w:val="14"/>
                <w:b w:val="1"/>
                <w:bCs w:val="1"/>
                <w:color w:val="auto"/>
                <w:w w:val="90"/>
              </w:rPr>
              <w:t>reflected in column (a))</w:t>
            </w:r>
          </w:p>
        </w:tc>
        <w:tc>
          <w:tcPr>
            <w:tcW w:w="0" w:type="dxa"/>
            <w:vAlign w:val="bottom"/>
          </w:tcPr>
          <w:p>
            <w:pPr>
              <w:spacing w:after="0"/>
              <w:rPr>
                <w:sz w:val="1"/>
                <w:szCs w:val="1"/>
                <w:color w:val="auto"/>
              </w:rPr>
            </w:pPr>
          </w:p>
        </w:tc>
      </w:tr>
      <w:tr>
        <w:trPr>
          <w:trHeight w:val="192"/>
        </w:trPr>
        <w:tc>
          <w:tcPr>
            <w:tcW w:w="56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(a)</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ind w:left="265"/>
              <w:spacing w:after="0"/>
              <w:rPr>
                <w:sz w:val="20"/>
                <w:szCs w:val="20"/>
                <w:color w:val="auto"/>
              </w:rPr>
            </w:pPr>
            <w:r>
              <w:rPr>
                <w:rFonts w:ascii="Arial" w:cs="Arial" w:eastAsia="Arial" w:hAnsi="Arial"/>
                <w:sz w:val="14"/>
                <w:szCs w:val="14"/>
                <w:b w:val="1"/>
                <w:bCs w:val="1"/>
                <w:color w:val="auto"/>
                <w:w w:val="89"/>
              </w:rPr>
              <w:t>(b)</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7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w:t>
            </w:r>
          </w:p>
        </w:tc>
        <w:tc>
          <w:tcPr>
            <w:tcW w:w="0" w:type="dxa"/>
            <w:vAlign w:val="bottom"/>
          </w:tcPr>
          <w:p>
            <w:pPr>
              <w:spacing w:after="0"/>
              <w:rPr>
                <w:sz w:val="1"/>
                <w:szCs w:val="1"/>
                <w:color w:val="auto"/>
              </w:rPr>
            </w:pPr>
          </w:p>
        </w:tc>
      </w:tr>
      <w:tr>
        <w:trPr>
          <w:trHeight w:val="222"/>
        </w:trPr>
        <w:tc>
          <w:tcPr>
            <w:tcW w:w="5760" w:type="dxa"/>
            <w:vAlign w:val="bottom"/>
            <w:gridSpan w:val="2"/>
            <w:shd w:val="clear" w:color="auto" w:fill="CCEEFF"/>
          </w:tcPr>
          <w:p>
            <w:pPr>
              <w:ind w:left="20"/>
              <w:spacing w:after="0" w:line="222" w:lineRule="exact"/>
              <w:rPr>
                <w:sz w:val="20"/>
                <w:szCs w:val="20"/>
                <w:color w:val="auto"/>
              </w:rPr>
            </w:pPr>
            <w:r>
              <w:rPr>
                <w:rFonts w:ascii="Arial" w:cs="Arial" w:eastAsia="Arial" w:hAnsi="Arial"/>
                <w:sz w:val="18"/>
                <w:szCs w:val="18"/>
                <w:color w:val="auto"/>
              </w:rPr>
              <w:t xml:space="preserve">Equity compensation plan approved by security holders </w:t>
            </w:r>
            <w:r>
              <w:rPr>
                <w:rFonts w:ascii="Arial" w:cs="Arial" w:eastAsia="Arial" w:hAnsi="Arial"/>
                <w:sz w:val="22"/>
                <w:szCs w:val="22"/>
                <w:color w:val="auto"/>
                <w:vertAlign w:val="superscript"/>
              </w:rPr>
              <w:t>(1)</w:t>
            </w:r>
          </w:p>
        </w:tc>
        <w:tc>
          <w:tcPr>
            <w:tcW w:w="176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12,531</w:t>
            </w:r>
          </w:p>
        </w:tc>
        <w:tc>
          <w:tcPr>
            <w:tcW w:w="100" w:type="dxa"/>
            <w:vAlign w:val="bottom"/>
            <w:shd w:val="clear" w:color="auto" w:fill="CCEEFF"/>
          </w:tcPr>
          <w:p>
            <w:pPr>
              <w:spacing w:after="0"/>
              <w:rPr>
                <w:sz w:val="19"/>
                <w:szCs w:val="19"/>
                <w:color w:val="auto"/>
              </w:rPr>
            </w:pPr>
          </w:p>
        </w:tc>
        <w:tc>
          <w:tcPr>
            <w:tcW w:w="1420" w:type="dxa"/>
            <w:vAlign w:val="bottom"/>
            <w:shd w:val="clear" w:color="auto" w:fill="CCEEFF"/>
          </w:tcPr>
          <w:p>
            <w:pPr>
              <w:jc w:val="right"/>
              <w:ind w:right="1245"/>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1,211,151</w:t>
            </w:r>
          </w:p>
        </w:tc>
        <w:tc>
          <w:tcPr>
            <w:tcW w:w="0" w:type="dxa"/>
            <w:vAlign w:val="bottom"/>
          </w:tcPr>
          <w:p>
            <w:pPr>
              <w:spacing w:after="0"/>
              <w:rPr>
                <w:sz w:val="1"/>
                <w:szCs w:val="1"/>
                <w:color w:val="auto"/>
              </w:rPr>
            </w:pPr>
          </w:p>
        </w:tc>
      </w:tr>
      <w:tr>
        <w:trPr>
          <w:trHeight w:val="223"/>
        </w:trPr>
        <w:tc>
          <w:tcPr>
            <w:tcW w:w="57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Equity compensation plan not approved by security holders</w:t>
            </w:r>
          </w:p>
        </w:tc>
        <w:tc>
          <w:tcPr>
            <w:tcW w:w="1760" w:type="dxa"/>
            <w:vAlign w:val="bottom"/>
            <w:tcBorders>
              <w:bottom w:val="single" w:sz="8" w:color="auto"/>
            </w:tcBorders>
          </w:tcPr>
          <w:p>
            <w:pPr>
              <w:jc w:val="right"/>
              <w:ind w:right="3"/>
              <w:spacing w:after="0"/>
              <w:rPr>
                <w:sz w:val="20"/>
                <w:szCs w:val="20"/>
                <w:color w:val="auto"/>
              </w:rPr>
            </w:pPr>
            <w:r>
              <w:rPr>
                <w:rFonts w:ascii="Arial" w:cs="Arial" w:eastAsia="Arial" w:hAnsi="Arial"/>
                <w:sz w:val="18"/>
                <w:szCs w:val="18"/>
                <w:color w:val="auto"/>
              </w:rPr>
              <w:t>0</w:t>
            </w:r>
          </w:p>
        </w:tc>
        <w:tc>
          <w:tcPr>
            <w:tcW w:w="100" w:type="dxa"/>
            <w:vAlign w:val="bottom"/>
            <w:tcBorders>
              <w:bottom w:val="single" w:sz="8" w:color="CCEEFF"/>
            </w:tcBorders>
          </w:tcPr>
          <w:p>
            <w:pPr>
              <w:spacing w:after="0"/>
              <w:rPr>
                <w:sz w:val="19"/>
                <w:szCs w:val="19"/>
                <w:color w:val="auto"/>
              </w:rPr>
            </w:pPr>
          </w:p>
        </w:tc>
        <w:tc>
          <w:tcPr>
            <w:tcW w:w="14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N/A</w:t>
            </w:r>
          </w:p>
        </w:tc>
        <w:tc>
          <w:tcPr>
            <w:tcW w:w="10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7"/>
        </w:trPr>
        <w:tc>
          <w:tcPr>
            <w:tcW w:w="57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760" w:type="dxa"/>
            <w:vAlign w:val="bottom"/>
            <w:shd w:val="clear" w:color="auto" w:fill="CCEEFF"/>
          </w:tcPr>
          <w:p>
            <w:pPr>
              <w:jc w:val="right"/>
              <w:ind w:right="3"/>
              <w:spacing w:after="0"/>
              <w:rPr>
                <w:sz w:val="20"/>
                <w:szCs w:val="20"/>
                <w:color w:val="auto"/>
              </w:rPr>
            </w:pPr>
            <w:r>
              <w:rPr>
                <w:rFonts w:ascii="Arial" w:cs="Arial" w:eastAsia="Arial" w:hAnsi="Arial"/>
                <w:sz w:val="18"/>
                <w:szCs w:val="18"/>
                <w:color w:val="auto"/>
              </w:rPr>
              <w:t>12,531</w:t>
            </w:r>
          </w:p>
        </w:tc>
        <w:tc>
          <w:tcPr>
            <w:tcW w:w="100" w:type="dxa"/>
            <w:vAlign w:val="bottom"/>
            <w:shd w:val="clear" w:color="auto" w:fill="CCEEFF"/>
          </w:tcPr>
          <w:p>
            <w:pPr>
              <w:spacing w:after="0"/>
              <w:rPr>
                <w:sz w:val="20"/>
                <w:szCs w:val="20"/>
                <w:color w:val="auto"/>
              </w:rPr>
            </w:pPr>
          </w:p>
        </w:tc>
        <w:tc>
          <w:tcPr>
            <w:tcW w:w="1420" w:type="dxa"/>
            <w:vAlign w:val="bottom"/>
            <w:shd w:val="clear" w:color="auto" w:fill="CCEEFF"/>
          </w:tcPr>
          <w:p>
            <w:pPr>
              <w:jc w:val="right"/>
              <w:ind w:right="1245"/>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1,211,151</w:t>
            </w:r>
          </w:p>
        </w:tc>
        <w:tc>
          <w:tcPr>
            <w:tcW w:w="0" w:type="dxa"/>
            <w:vAlign w:val="bottom"/>
          </w:tcPr>
          <w:p>
            <w:pPr>
              <w:spacing w:after="0"/>
              <w:rPr>
                <w:sz w:val="1"/>
                <w:szCs w:val="1"/>
                <w:color w:val="auto"/>
              </w:rPr>
            </w:pP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81" w:lineRule="exact"/>
        <w:rPr>
          <w:sz w:val="20"/>
          <w:szCs w:val="20"/>
          <w:color w:val="auto"/>
        </w:rPr>
      </w:pPr>
    </w:p>
    <w:p>
      <w:pPr>
        <w:ind w:left="320" w:right="160" w:hanging="315"/>
        <w:spacing w:after="0" w:line="261" w:lineRule="auto"/>
        <w:tabs>
          <w:tab w:leader="none" w:pos="314" w:val="left"/>
        </w:tabs>
        <w:numPr>
          <w:ilvl w:val="0"/>
          <w:numId w:val="42"/>
        </w:numPr>
        <w:rPr>
          <w:rFonts w:ascii="Arial" w:cs="Arial" w:eastAsia="Arial" w:hAnsi="Arial"/>
          <w:sz w:val="18"/>
          <w:szCs w:val="18"/>
          <w:color w:val="auto"/>
        </w:rPr>
      </w:pPr>
      <w:r>
        <w:rPr>
          <w:rFonts w:ascii="Arial" w:cs="Arial" w:eastAsia="Arial" w:hAnsi="Arial"/>
          <w:sz w:val="18"/>
          <w:szCs w:val="18"/>
          <w:color w:val="auto"/>
        </w:rPr>
        <w:t>Adopted by our general partner's board of directors in connection with our IPO. Only phantom unit awards have been granted under the LTIP. There is no weighted-average exercise price associated with these awards.</w:t>
      </w:r>
    </w:p>
    <w:p>
      <w:pPr>
        <w:spacing w:after="0" w:line="12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For more information about the plan, please see Note 12 to our consolidated financial statements included in this report.</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9" w:name="page90"/>
    <w:bookmarkEnd w:id="8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89" w:lineRule="exact"/>
        <w:rPr>
          <w:sz w:val="20"/>
          <w:szCs w:val="20"/>
          <w:color w:val="auto"/>
        </w:rPr>
      </w:pPr>
    </w:p>
    <w:p>
      <w:pPr>
        <w:ind w:right="220" w:firstLine="395"/>
        <w:spacing w:after="0" w:line="250" w:lineRule="auto"/>
        <w:rPr>
          <w:sz w:val="20"/>
          <w:szCs w:val="20"/>
          <w:color w:val="auto"/>
        </w:rPr>
      </w:pPr>
      <w:r>
        <w:rPr>
          <w:rFonts w:ascii="Arial" w:cs="Arial" w:eastAsia="Arial" w:hAnsi="Arial"/>
          <w:sz w:val="18"/>
          <w:szCs w:val="18"/>
          <w:color w:val="auto"/>
        </w:rPr>
        <w:t>Westlake owns 14,122,230 common units, representing an aggregate approximate 40.1% limited partner interest in us; a 100% interest in our general partner; and our incentive distribution rights. Transactions with Westlake and its affiliated entities are considered to be related party transactions because Westlake and its affiliates own more than 5% of our equity interests; in addition, certain of Westlake's directors and executive officers also serve as directors and executive officers of our general partner.</w:t>
      </w:r>
    </w:p>
    <w:p>
      <w:pPr>
        <w:spacing w:after="0" w:line="138" w:lineRule="exact"/>
        <w:rPr>
          <w:sz w:val="20"/>
          <w:szCs w:val="20"/>
          <w:color w:val="auto"/>
        </w:rPr>
      </w:pPr>
    </w:p>
    <w:p>
      <w:pPr>
        <w:ind w:right="220" w:firstLine="395"/>
        <w:spacing w:after="0" w:line="250" w:lineRule="auto"/>
        <w:rPr>
          <w:sz w:val="20"/>
          <w:szCs w:val="20"/>
          <w:color w:val="auto"/>
        </w:rPr>
      </w:pPr>
      <w:r>
        <w:rPr>
          <w:rFonts w:ascii="Arial" w:cs="Arial" w:eastAsia="Arial" w:hAnsi="Arial"/>
          <w:sz w:val="18"/>
          <w:szCs w:val="18"/>
          <w:color w:val="auto"/>
        </w:rPr>
        <w:t>Whenever a conflict arises between our general partner or its owners, on the one hand, and us or our limited partners, on the other hand, the resolution, course of action or transaction in respect of such conflict of interest shall be conclusively deemed approved by us and all our limited partners and shall not constitute a breach of the Partnership Agreement, of any agreement contemplated thereby or of any duty, if the resolution, course of action or transaction in respect of such conflict of interest is:</w:t>
      </w:r>
    </w:p>
    <w:p>
      <w:pPr>
        <w:spacing w:after="0" w:line="72" w:lineRule="exact"/>
        <w:rPr>
          <w:sz w:val="20"/>
          <w:szCs w:val="20"/>
          <w:color w:val="auto"/>
        </w:rPr>
      </w:pPr>
    </w:p>
    <w:p>
      <w:pPr>
        <w:ind w:left="640" w:hanging="319"/>
        <w:spacing w:after="0"/>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approved by the conflicts committee of our general partner; or</w:t>
      </w:r>
    </w:p>
    <w:p>
      <w:pPr>
        <w:spacing w:after="0" w:line="95" w:lineRule="exact"/>
        <w:rPr>
          <w:rFonts w:ascii="Arial" w:cs="Arial" w:eastAsia="Arial" w:hAnsi="Arial"/>
          <w:sz w:val="18"/>
          <w:szCs w:val="18"/>
          <w:color w:val="auto"/>
        </w:rPr>
      </w:pPr>
    </w:p>
    <w:p>
      <w:pPr>
        <w:ind w:left="640" w:hanging="319"/>
        <w:spacing w:after="0"/>
        <w:tabs>
          <w:tab w:leader="none" w:pos="6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approved by the holders of a majority of our outstanding common units, excluding any such units owned by our general partner or any of its affiliates.</w:t>
      </w:r>
    </w:p>
    <w:p>
      <w:pPr>
        <w:spacing w:after="0" w:line="184" w:lineRule="exact"/>
        <w:rPr>
          <w:sz w:val="20"/>
          <w:szCs w:val="20"/>
          <w:color w:val="auto"/>
        </w:rPr>
      </w:pPr>
    </w:p>
    <w:p>
      <w:pPr>
        <w:ind w:firstLine="395"/>
        <w:spacing w:after="0" w:line="279" w:lineRule="auto"/>
        <w:rPr>
          <w:sz w:val="20"/>
          <w:szCs w:val="20"/>
          <w:color w:val="auto"/>
        </w:rPr>
      </w:pPr>
      <w:r>
        <w:rPr>
          <w:rFonts w:ascii="Arial" w:cs="Arial" w:eastAsia="Arial" w:hAnsi="Arial"/>
          <w:sz w:val="16"/>
          <w:szCs w:val="16"/>
          <w:color w:val="auto"/>
        </w:rPr>
        <w:t>Our general partner may, but is not required to, seek the approval of such resolutions or courses of action from the conflicts committee of its board of directors or from the holders of a majority of the outstanding common units as described above. If our general partner does not seek approval from the conflicts committee or from holders of common units as described above and the board of directors approves the resolution or course of action taken with respect to the conflict of interest, then it will be presumed that, in making its decision, the board of directors acted in good faith, and in any proceeding brought by or on behalf of us or any of our unitholders, the person bringing or prosecuting such proceeding will have the burden of overcoming such presumption and proving that such decision was not in good faith. Unless the resolution of a conflict is specifically provided for in the Partnership Agreement, the board of directors or its conflicts committee, as applicable, may consider any factors it determines in good faith to consider when resolving a conflict. An independent third party is not required to evaluate the resolution. Under the Partnership Agreement, all determinations, other actions or failures to act by our general partner, the board of directors or any committee thereof (including the conflicts committee) will be presumed to be "in good faith," and in any proceeding brought by or on behalf of us or any of our unitholders, the person bringing or prosecuting such proceeding will have the burden of overcoming such presumption and proving that such determination was not in good faith.</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6"/>
          <w:szCs w:val="16"/>
          <w:color w:val="auto"/>
        </w:rPr>
        <w:t>The information required by Item 407(a) of Regulation S-K is included in "Item 10. Directors, Executive Officers and Corporate Governance."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Procedures for Review, Approval and Ratification of Transactions with Related Persons</w:t>
      </w:r>
    </w:p>
    <w:p>
      <w:pPr>
        <w:spacing w:after="0" w:line="102" w:lineRule="exact"/>
        <w:rPr>
          <w:sz w:val="20"/>
          <w:szCs w:val="20"/>
          <w:color w:val="auto"/>
        </w:rPr>
      </w:pPr>
    </w:p>
    <w:p>
      <w:pPr>
        <w:ind w:right="40" w:firstLine="395"/>
        <w:spacing w:after="0" w:line="291" w:lineRule="auto"/>
        <w:rPr>
          <w:sz w:val="20"/>
          <w:szCs w:val="20"/>
          <w:color w:val="auto"/>
        </w:rPr>
      </w:pPr>
      <w:r>
        <w:rPr>
          <w:rFonts w:ascii="Arial" w:cs="Arial" w:eastAsia="Arial" w:hAnsi="Arial"/>
          <w:sz w:val="16"/>
          <w:szCs w:val="16"/>
          <w:color w:val="auto"/>
        </w:rPr>
        <w:t>If a conflict or potential conflict of interest arises between our general partner or its affiliates, on the one hand, and us or our unitholders, on the other hand, the resolution of any such conflict or potential conflict should be addressed by the board of directors in accordance with the provisions of the Partnership Agreement. At the discretion of the board in light of the circumstances, the resolution may be determined by the board in its entirety or by a conflicts committee meeting the definitional requirements for such a committee under the Partnership Agreement.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and Payments to our General Partner and its Affiliates</w:t>
      </w:r>
    </w:p>
    <w:p>
      <w:pPr>
        <w:spacing w:after="0" w:line="89" w:lineRule="exact"/>
        <w:rPr>
          <w:sz w:val="20"/>
          <w:szCs w:val="20"/>
          <w:color w:val="auto"/>
        </w:rPr>
      </w:pPr>
    </w:p>
    <w:p>
      <w:pPr>
        <w:ind w:right="140" w:firstLine="395"/>
        <w:spacing w:after="0" w:line="252" w:lineRule="auto"/>
        <w:rPr>
          <w:sz w:val="20"/>
          <w:szCs w:val="20"/>
          <w:color w:val="auto"/>
        </w:rPr>
      </w:pPr>
      <w:r>
        <w:rPr>
          <w:rFonts w:ascii="Arial" w:cs="Arial" w:eastAsia="Arial" w:hAnsi="Arial"/>
          <w:sz w:val="18"/>
          <w:szCs w:val="18"/>
          <w:color w:val="auto"/>
        </w:rPr>
        <w:t>We will generally make cash distributions to our unitholders, including Westlake, pro rata. In addition, if distributions exceed the minimum quarterly distribution and other higher target distribution levels, Westlake, as the holder of our incentive distribution rights, will be entitled to increasing percentages of the distributions, up to 50% of the distributions above the highest target distribution level.</w:t>
      </w:r>
    </w:p>
    <w:p>
      <w:pPr>
        <w:spacing w:after="0" w:line="72" w:lineRule="exact"/>
        <w:rPr>
          <w:sz w:val="20"/>
          <w:szCs w:val="20"/>
          <w:color w:val="auto"/>
        </w:rPr>
      </w:pPr>
    </w:p>
    <w:p>
      <w:pPr>
        <w:ind w:right="320" w:firstLine="395"/>
        <w:spacing w:after="0" w:line="299" w:lineRule="auto"/>
        <w:rPr>
          <w:sz w:val="20"/>
          <w:szCs w:val="20"/>
          <w:color w:val="auto"/>
        </w:rPr>
      </w:pPr>
      <w:r>
        <w:rPr>
          <w:rFonts w:ascii="Arial" w:cs="Arial" w:eastAsia="Arial" w:hAnsi="Arial"/>
          <w:sz w:val="16"/>
          <w:szCs w:val="16"/>
          <w:color w:val="auto"/>
        </w:rPr>
        <w:t>Assuming we have sufficient available cash to pay the full minimum quarterly distribution of $0.2750 per unit on all of our outstanding units for four quarters, Westlake would receive an aggregate annual distribution of approximately $15.5 million on its common units. During 2022, we made aggregate distributions of $1.8856 per unit to all of our unitholders, resulting in Westlake receiving approximately $26.6 million.</w:t>
      </w:r>
    </w:p>
    <w:p>
      <w:pPr>
        <w:spacing w:after="0" w:line="36" w:lineRule="exact"/>
        <w:rPr>
          <w:sz w:val="20"/>
          <w:szCs w:val="20"/>
          <w:color w:val="auto"/>
        </w:rPr>
      </w:pPr>
    </w:p>
    <w:p>
      <w:pPr>
        <w:jc w:val="both"/>
        <w:ind w:right="20" w:firstLine="395"/>
        <w:spacing w:after="0" w:line="287" w:lineRule="auto"/>
        <w:rPr>
          <w:sz w:val="20"/>
          <w:szCs w:val="20"/>
          <w:color w:val="auto"/>
        </w:rPr>
      </w:pPr>
      <w:r>
        <w:rPr>
          <w:rFonts w:ascii="Arial" w:cs="Arial" w:eastAsia="Arial" w:hAnsi="Arial"/>
          <w:sz w:val="16"/>
          <w:szCs w:val="16"/>
          <w:color w:val="auto"/>
        </w:rPr>
        <w:t>Our general partner and its affiliates are entitled to reimbursement for all expenses they incur on our behalf, including salaries and employee benefit costs for employees who provide services to us, and all other necessary or appropriate expenses allocable to us or reasonably incurred by our general partner and its affiliates in connection with operating our business. Except to the extent specified in the Omnibus Agreement or the Services and Secondment Agreement, our general partner will determine the expenses that are allocable to us in good faith, but there is no limit on the amount of expenses for which our general partner and its affiliates will be reimbursed. For the year ended December 31, 2022, we paid approximately $223.6 million for such expenses.</w:t>
      </w:r>
    </w:p>
    <w:p>
      <w:pPr>
        <w:spacing w:after="0" w:line="200" w:lineRule="exact"/>
        <w:rPr>
          <w:sz w:val="20"/>
          <w:szCs w:val="20"/>
          <w:color w:val="auto"/>
        </w:rPr>
      </w:pPr>
    </w:p>
    <w:p>
      <w:pPr>
        <w:spacing w:after="0" w:line="2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90" w:name="page91"/>
    <w:bookmarkEnd w:id="9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right="280" w:firstLine="395"/>
        <w:spacing w:after="0" w:line="261" w:lineRule="auto"/>
        <w:rPr>
          <w:sz w:val="20"/>
          <w:szCs w:val="20"/>
          <w:color w:val="auto"/>
        </w:rPr>
      </w:pPr>
      <w:r>
        <w:rPr>
          <w:rFonts w:ascii="Arial" w:cs="Arial" w:eastAsia="Arial" w:hAnsi="Arial"/>
          <w:sz w:val="18"/>
          <w:szCs w:val="18"/>
          <w:color w:val="auto"/>
        </w:rPr>
        <w:t>If our general partner withdraws or is removed, its incentive distribution rights will either be sold to the new general partner for cash or converted into common units, in each case for an amount equal to the fair market value of those interests.</w:t>
      </w:r>
    </w:p>
    <w:p>
      <w:pPr>
        <w:spacing w:after="0" w:line="50" w:lineRule="exact"/>
        <w:rPr>
          <w:sz w:val="20"/>
          <w:szCs w:val="20"/>
          <w:color w:val="auto"/>
        </w:rPr>
      </w:pPr>
    </w:p>
    <w:p>
      <w:pPr>
        <w:ind w:right="40" w:firstLine="395"/>
        <w:spacing w:after="0" w:line="261" w:lineRule="auto"/>
        <w:rPr>
          <w:sz w:val="20"/>
          <w:szCs w:val="20"/>
          <w:color w:val="auto"/>
        </w:rPr>
      </w:pPr>
      <w:r>
        <w:rPr>
          <w:rFonts w:ascii="Arial" w:cs="Arial" w:eastAsia="Arial" w:hAnsi="Arial"/>
          <w:sz w:val="18"/>
          <w:szCs w:val="18"/>
          <w:color w:val="auto"/>
        </w:rPr>
        <w:t>If we are ever liquidated, the partners, including Westlake, will be entitled to receive liquidating distributions according to their respective capital account balances.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Agreements with Westlake</w:t>
      </w:r>
    </w:p>
    <w:p>
      <w:pPr>
        <w:spacing w:after="0" w:line="102" w:lineRule="exact"/>
        <w:rPr>
          <w:sz w:val="20"/>
          <w:szCs w:val="20"/>
          <w:color w:val="auto"/>
        </w:rPr>
      </w:pPr>
    </w:p>
    <w:p>
      <w:pPr>
        <w:jc w:val="both"/>
        <w:ind w:right="80" w:firstLine="395"/>
        <w:spacing w:after="0" w:line="324" w:lineRule="auto"/>
        <w:rPr>
          <w:sz w:val="20"/>
          <w:szCs w:val="20"/>
          <w:color w:val="auto"/>
        </w:rPr>
      </w:pPr>
      <w:r>
        <w:rPr>
          <w:rFonts w:ascii="Arial" w:cs="Arial" w:eastAsia="Arial" w:hAnsi="Arial"/>
          <w:sz w:val="16"/>
          <w:szCs w:val="16"/>
          <w:color w:val="auto"/>
        </w:rPr>
        <w:t>Except as otherwise indicated, the agreements described below became effective on August 4, 2014, concurrent with the closing of the IPO. For amounts paid by us or Westlake, as applicable, under the agreements described below, see Note 11 to our consolidated financial statements.</w:t>
      </w:r>
    </w:p>
    <w:p>
      <w:pPr>
        <w:spacing w:after="0" w:line="82" w:lineRule="exact"/>
        <w:rPr>
          <w:sz w:val="20"/>
          <w:szCs w:val="20"/>
          <w:color w:val="auto"/>
        </w:rPr>
      </w:pPr>
    </w:p>
    <w:p>
      <w:pPr>
        <w:jc w:val="both"/>
        <w:ind w:right="80" w:firstLine="395"/>
        <w:spacing w:after="0" w:line="248" w:lineRule="auto"/>
        <w:rPr>
          <w:sz w:val="20"/>
          <w:szCs w:val="20"/>
          <w:color w:val="auto"/>
        </w:rPr>
      </w:pPr>
      <w:r>
        <w:rPr>
          <w:rFonts w:ascii="Arial" w:cs="Arial" w:eastAsia="Arial" w:hAnsi="Arial"/>
          <w:sz w:val="18"/>
          <w:szCs w:val="18"/>
          <w:color w:val="auto"/>
        </w:rPr>
        <w:t>In addition to the agreements described below, we also entered into the MLP Revolver in 2015, which was amended in August 2017, November 2017, March 2020 and July 2022, and OpCo entered into the OpCo Revolver and assumed various promissory notes at the closing of the IPO. The OpCo Revolver was amended in July 2022 to extend the maturity date from September 25, 2023 to July 12, 2027, replace LIBOR with SOFR as the reference rate, and revise the applicable margin from 2% to 1.75%. See "Item 7. Management's Discussion &amp; Analysis of Financial Condition and Results of Operations—Liquidity and Capital Resources—Indebtedness."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Ethylene Sales Agreement</w:t>
      </w:r>
    </w:p>
    <w:p>
      <w:pPr>
        <w:spacing w:after="0" w:line="96" w:lineRule="exact"/>
        <w:rPr>
          <w:sz w:val="20"/>
          <w:szCs w:val="20"/>
          <w:color w:val="auto"/>
        </w:rPr>
      </w:pPr>
    </w:p>
    <w:p>
      <w:pPr>
        <w:ind w:firstLine="395"/>
        <w:spacing w:after="0" w:line="280" w:lineRule="auto"/>
        <w:rPr>
          <w:sz w:val="20"/>
          <w:szCs w:val="20"/>
          <w:color w:val="auto"/>
        </w:rPr>
      </w:pPr>
      <w:r>
        <w:rPr>
          <w:rFonts w:ascii="Arial" w:cs="Arial" w:eastAsia="Arial" w:hAnsi="Arial"/>
          <w:sz w:val="16"/>
          <w:szCs w:val="16"/>
          <w:color w:val="auto"/>
        </w:rPr>
        <w:t>OpCo and Westlake are parties to the Ethylene Sales Agreement, which has an initial term through December 31, 2026 and automatic 12-month renewal periods until terminated at the end of the initial term or any renewal term on 12-months' notice. The Ethylene Sales Agreement requires Westlake to purchase OpCo's planned ethylene production each year, subject to certain exceptions and a maximum commitment of 3.8 billion pounds per year, less product sold by OpCo to third parties equal to approximately 5% of the annual output. If OpCo's actual production is in excess of planned ethylene production, Westlake has the option to purchase up to 95% of production in excess of planned production. Westlake's purchase price for ethylene under the Ethylene Sales Agreement includes a $0.10 per pound margin, the total costs incurred by OpCo for the feedstock and natural gas to produce each pound of ethylene (subject to a usage cap and a floor), and estimated operating costs, maintenance capital expenditures and other turnaround expenditures, less net proceeds from co-products sales. This purchase price is not designed to cover capital expenditures for expansion. Under specified circumstances, unrecovered costs may be carried forward for recovery in subsequent years. Variable costs not incurred by OpCo due to deficiencies in purchases by Westlake are rebated to Westlake.</w:t>
      </w:r>
    </w:p>
    <w:p>
      <w:pPr>
        <w:spacing w:after="0" w:line="121" w:lineRule="exact"/>
        <w:rPr>
          <w:sz w:val="20"/>
          <w:szCs w:val="20"/>
          <w:color w:val="auto"/>
        </w:rPr>
      </w:pPr>
    </w:p>
    <w:p>
      <w:pPr>
        <w:ind w:right="60" w:firstLine="395"/>
        <w:spacing w:after="0" w:line="252" w:lineRule="auto"/>
        <w:rPr>
          <w:sz w:val="20"/>
          <w:szCs w:val="20"/>
          <w:color w:val="auto"/>
        </w:rPr>
      </w:pPr>
      <w:r>
        <w:rPr>
          <w:rFonts w:ascii="Arial" w:cs="Arial" w:eastAsia="Arial" w:hAnsi="Arial"/>
          <w:sz w:val="18"/>
          <w:szCs w:val="18"/>
          <w:color w:val="auto"/>
        </w:rPr>
        <w:t>Certain of the pricing components that make up the price for ethylene sold under the Ethylene Sales Agreement are modified to reflect the portion of OpCo's production capacity that is used to process Westlake's purge gas instead of producing ethylene. Costs specific to the processing of Westlake's purge gas are recovered under the Services and Secondment Agreement, and not the Ethylene Sales Agreement.</w:t>
      </w:r>
    </w:p>
    <w:p>
      <w:pPr>
        <w:spacing w:after="0" w:line="138" w:lineRule="exact"/>
        <w:rPr>
          <w:sz w:val="20"/>
          <w:szCs w:val="20"/>
          <w:color w:val="auto"/>
        </w:rPr>
      </w:pPr>
    </w:p>
    <w:p>
      <w:pPr>
        <w:ind w:right="60" w:firstLine="395"/>
        <w:spacing w:after="0" w:line="252" w:lineRule="auto"/>
        <w:rPr>
          <w:sz w:val="20"/>
          <w:szCs w:val="20"/>
          <w:color w:val="auto"/>
        </w:rPr>
      </w:pPr>
      <w:r>
        <w:rPr>
          <w:rFonts w:ascii="Arial" w:cs="Arial" w:eastAsia="Arial" w:hAnsi="Arial"/>
          <w:sz w:val="18"/>
          <w:szCs w:val="18"/>
          <w:color w:val="auto"/>
        </w:rPr>
        <w:t>On November 1, 2018, OpCo and Westlake entered into an amendment to the Ethylene Sales Agreement that provides OpCo with the option to curtail up to 5% of its ethylene production annually in the event OpCo reasonably determines that its sales of such ethylene to third parties during the relevant period would be uneconomic.</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Feedstock Supply Agreement</w:t>
      </w:r>
    </w:p>
    <w:p>
      <w:pPr>
        <w:spacing w:after="0" w:line="83" w:lineRule="exact"/>
        <w:rPr>
          <w:sz w:val="20"/>
          <w:szCs w:val="20"/>
          <w:color w:val="auto"/>
        </w:rPr>
      </w:pPr>
    </w:p>
    <w:p>
      <w:pPr>
        <w:ind w:firstLine="395"/>
        <w:spacing w:after="0" w:line="316" w:lineRule="auto"/>
        <w:rPr>
          <w:sz w:val="20"/>
          <w:szCs w:val="20"/>
          <w:color w:val="auto"/>
        </w:rPr>
      </w:pPr>
      <w:r>
        <w:rPr>
          <w:rFonts w:ascii="Arial" w:cs="Arial" w:eastAsia="Arial" w:hAnsi="Arial"/>
          <w:sz w:val="15"/>
          <w:szCs w:val="15"/>
          <w:color w:val="auto"/>
        </w:rPr>
        <w:t>OpCo and Westlake are parties to the Feedstock Supply Agreement, which has an initial term through December 31, 2026 and automatic 12-month renewal periods until terminated at the end of the initial term or any renewal term on 12-months' notice. Under the Feedstock Supply Agreement, Westlake agreed to sell OpCo ethane and other feedstock in amounts sufficient for OpCo to produce the ethylene to be sold under the Ethylene Sales Agreement. The price at which ethane and feedstock is sold includes an indexed price for spot gas liquids at Mont Belvieu and applicable transportation, storage and other costs.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Services and Secondment Agreement</w:t>
      </w:r>
    </w:p>
    <w:p>
      <w:pPr>
        <w:spacing w:after="0" w:line="96" w:lineRule="exact"/>
        <w:rPr>
          <w:sz w:val="20"/>
          <w:szCs w:val="20"/>
          <w:color w:val="auto"/>
        </w:rPr>
      </w:pPr>
    </w:p>
    <w:p>
      <w:pPr>
        <w:ind w:right="160" w:firstLine="395"/>
        <w:spacing w:after="0" w:line="299" w:lineRule="auto"/>
        <w:rPr>
          <w:sz w:val="20"/>
          <w:szCs w:val="20"/>
          <w:color w:val="auto"/>
        </w:rPr>
      </w:pPr>
      <w:r>
        <w:rPr>
          <w:rFonts w:ascii="Arial" w:cs="Arial" w:eastAsia="Arial" w:hAnsi="Arial"/>
          <w:sz w:val="16"/>
          <w:szCs w:val="16"/>
          <w:color w:val="auto"/>
        </w:rPr>
        <w:t>OpCo and Westlake are parties to the Services and Secondment Agreement, pursuant to which OpCo provides Westlake with various utilities and utility services and in exchange for Westlake providing OpCo with various utility services, comprehensive operating services for OpCo's units, services for the maintenance and operation of the common facilities and seconded employees to perform all services required under the agreement.</w:t>
      </w:r>
    </w:p>
    <w:p>
      <w:pPr>
        <w:spacing w:after="0" w:line="200" w:lineRule="exact"/>
        <w:rPr>
          <w:sz w:val="20"/>
          <w:szCs w:val="20"/>
          <w:color w:val="auto"/>
        </w:rPr>
      </w:pP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1" w:name="page92"/>
    <w:bookmarkEnd w:id="9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Site Lease Agreements</w:t>
      </w:r>
    </w:p>
    <w:p>
      <w:pPr>
        <w:spacing w:after="0" w:line="83" w:lineRule="exact"/>
        <w:rPr>
          <w:sz w:val="20"/>
          <w:szCs w:val="20"/>
          <w:color w:val="auto"/>
        </w:rPr>
      </w:pPr>
    </w:p>
    <w:p>
      <w:pPr>
        <w:ind w:right="20" w:firstLine="395"/>
        <w:spacing w:after="0" w:line="281" w:lineRule="auto"/>
        <w:rPr>
          <w:sz w:val="20"/>
          <w:szCs w:val="20"/>
          <w:color w:val="auto"/>
        </w:rPr>
      </w:pPr>
      <w:r>
        <w:rPr>
          <w:rFonts w:ascii="Arial" w:cs="Arial" w:eastAsia="Arial" w:hAnsi="Arial"/>
          <w:sz w:val="16"/>
          <w:szCs w:val="16"/>
          <w:color w:val="auto"/>
        </w:rPr>
        <w:t>OpCo and Westlake are parties to two 50-year site lease agreements (the "Site Leases"). Under the Site Leases, OpCo leases the real property underlying Calvert City Olefins and Lake Charles Olefins and is granted certain use and access rights related thereto, for a base rental amount of $1 per year per site. Each of the Site Leases is terminable by the lessor upon the occurrence of certain events of default or by OpCo if Calvert City Olefins or Lake Charles Olefins, as applicable, is destroyed by casualty. Pursuant to the Site Leases, the lessor has the right to restore and repurchase the units for fair market value if OpCo fails to expeditiously restore Calvert City Olefins or Lake Charles Olefins, as applicable, following a casualty loss. Subject to the foregoing repurchase right, OpCo may remove its ethylene production facilities and other related improvements for up to one year after expiration or termination of the applicable Site Lease, so long as such removal can be accomplished without material damage or harm to the lessor's property or operations; provided that any assets that are not timely removed by OpCo will be deemed to have been surrendered to the lessor.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Omnibus Agreement</w:t>
      </w:r>
    </w:p>
    <w:p>
      <w:pPr>
        <w:spacing w:after="0" w:line="96" w:lineRule="exact"/>
        <w:rPr>
          <w:sz w:val="20"/>
          <w:szCs w:val="20"/>
          <w:color w:val="auto"/>
        </w:rPr>
      </w:pPr>
    </w:p>
    <w:p>
      <w:pPr>
        <w:ind w:firstLine="395"/>
        <w:spacing w:after="0" w:line="284" w:lineRule="auto"/>
        <w:rPr>
          <w:sz w:val="20"/>
          <w:szCs w:val="20"/>
          <w:color w:val="auto"/>
        </w:rPr>
      </w:pPr>
      <w:r>
        <w:rPr>
          <w:rFonts w:ascii="Arial" w:cs="Arial" w:eastAsia="Arial" w:hAnsi="Arial"/>
          <w:sz w:val="16"/>
          <w:szCs w:val="16"/>
          <w:color w:val="auto"/>
        </w:rPr>
        <w:t>We, OpCo and Westlake are parties to the Omnibus Agreement, pursuant to which we granted Westlake, among other things, a right of first refusal on any proposed transfer of our equity interests in OpCo, the ethylene production facilities that serve Westlake's other facilities, or certain other assets we may acquire from Westlake. The Omnibus Agreement also provides for reimbursement to Westlake for the provision of various administrative services and direct expenses incurred on our behalf and in connection with the operation of our business. Under the Omnibus Agreement, Westlake will indemnify us against certain environmental and other losses, and we will indemnify Westlake against certain environmental and other losses for which Westlake is not otherwise obligated to indemnify us and certain other losses and liabilities to the extent resulting from the provision of services by Westlake to us.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OpCo Partnership Agreement</w:t>
      </w:r>
    </w:p>
    <w:p>
      <w:pPr>
        <w:spacing w:after="0" w:line="96" w:lineRule="exact"/>
        <w:rPr>
          <w:sz w:val="20"/>
          <w:szCs w:val="20"/>
          <w:color w:val="auto"/>
        </w:rPr>
      </w:pPr>
    </w:p>
    <w:p>
      <w:pPr>
        <w:ind w:right="80" w:firstLine="395"/>
        <w:spacing w:after="0" w:line="291" w:lineRule="auto"/>
        <w:rPr>
          <w:sz w:val="20"/>
          <w:szCs w:val="20"/>
          <w:color w:val="auto"/>
        </w:rPr>
      </w:pPr>
      <w:r>
        <w:rPr>
          <w:rFonts w:ascii="Arial" w:cs="Arial" w:eastAsia="Arial" w:hAnsi="Arial"/>
          <w:sz w:val="16"/>
          <w:szCs w:val="16"/>
          <w:color w:val="auto"/>
        </w:rPr>
        <w:t>We, OpCo GP and Westlake are parties to an agreement of limited partnership for OpCo (the "OpCo LP Agreement"). The OpCo LP Agreement governs the ownership and management of OpCo and designates OpCo GP as the general partner of OpCo. OpCo GP generally has complete authority to manage OpCo's business and affairs. We control OpCo GP, as its sole member, subject to certain approval rights held by Westlake. The OpCo LP Agreement was amended in December 2017 in connection with the new partnership tax audit rules.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 Agreement</w:t>
      </w:r>
    </w:p>
    <w:p>
      <w:pPr>
        <w:spacing w:after="0" w:line="83" w:lineRule="exact"/>
        <w:rPr>
          <w:sz w:val="20"/>
          <w:szCs w:val="20"/>
          <w:color w:val="auto"/>
        </w:rPr>
      </w:pPr>
    </w:p>
    <w:p>
      <w:pPr>
        <w:ind w:right="220" w:firstLine="395"/>
        <w:spacing w:after="0" w:line="250" w:lineRule="auto"/>
        <w:rPr>
          <w:sz w:val="20"/>
          <w:szCs w:val="20"/>
          <w:color w:val="auto"/>
        </w:rPr>
      </w:pPr>
      <w:r>
        <w:rPr>
          <w:rFonts w:ascii="Arial" w:cs="Arial" w:eastAsia="Arial" w:hAnsi="Arial"/>
          <w:sz w:val="18"/>
          <w:szCs w:val="18"/>
          <w:color w:val="auto"/>
        </w:rPr>
        <w:t>OpCo and Westlake are parties to an exchange agreement, which had an initial term through August 1, 2015 and is continuing year to year thereafter, unless and until terminated by either party. Under the exchange agreement, OpCo may require Westlake to deliver up to 200 million pounds of ethylene for OpCo per year from the Site Leases to an ethylene hub in Mt. Belvieu, Texas, for which OpCo would be required to pay Westlake an exchange fee of $0.006 per pound.</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 Management Agreement</w:t>
      </w:r>
    </w:p>
    <w:p>
      <w:pPr>
        <w:spacing w:after="0" w:line="96" w:lineRule="exact"/>
        <w:rPr>
          <w:sz w:val="20"/>
          <w:szCs w:val="20"/>
          <w:color w:val="auto"/>
        </w:rPr>
      </w:pPr>
    </w:p>
    <w:p>
      <w:pPr>
        <w:jc w:val="both"/>
        <w:ind w:right="180" w:firstLine="395"/>
        <w:spacing w:after="0" w:line="299" w:lineRule="auto"/>
        <w:rPr>
          <w:sz w:val="20"/>
          <w:szCs w:val="20"/>
          <w:color w:val="auto"/>
        </w:rPr>
      </w:pPr>
      <w:r>
        <w:rPr>
          <w:rFonts w:ascii="Arial" w:cs="Arial" w:eastAsia="Arial" w:hAnsi="Arial"/>
          <w:sz w:val="16"/>
          <w:szCs w:val="16"/>
          <w:color w:val="auto"/>
        </w:rPr>
        <w:t>On August 1, 2017, we, OpCo and Westlake executed an Investment Management Agreement that authorizes Westlake to invest our and OpCo's excess cash with Westlake for durations of up to a maximum of nine months. Per the terms of the Investment Management Agreement, we earn a market return plus five basis points and Westlake provides daily availability of the invested cash to meet any liquidity needs of us or OpCo.</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92" w:name="page93"/>
    <w:bookmarkEnd w:id="9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Accountant Fees and Services</w:t>
      </w:r>
    </w:p>
    <w:p>
      <w:pPr>
        <w:spacing w:after="0" w:line="8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PricewaterhouseCoopers LLP serves as our independent registered public accounting firm.</w:t>
      </w:r>
    </w:p>
    <w:p>
      <w:pPr>
        <w:spacing w:after="0" w:line="161" w:lineRule="exact"/>
        <w:rPr>
          <w:sz w:val="20"/>
          <w:szCs w:val="20"/>
          <w:color w:val="auto"/>
        </w:rPr>
      </w:pPr>
    </w:p>
    <w:p>
      <w:pPr>
        <w:ind w:right="280" w:firstLine="395"/>
        <w:spacing w:after="0" w:line="324" w:lineRule="auto"/>
        <w:rPr>
          <w:sz w:val="20"/>
          <w:szCs w:val="20"/>
          <w:color w:val="auto"/>
        </w:rPr>
      </w:pPr>
      <w:r>
        <w:rPr>
          <w:rFonts w:ascii="Arial" w:cs="Arial" w:eastAsia="Arial" w:hAnsi="Arial"/>
          <w:sz w:val="16"/>
          <w:szCs w:val="16"/>
          <w:color w:val="auto"/>
        </w:rPr>
        <w:t>The following table presents fees for professional services rendered by PricewaterhouseCoopers LLP in connection with the 2022 and 2021 audits and fees billed by PricewaterhouseCoopers LLP for other services rendered in the years ended December 31, 2022 and December 31, 2021:</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8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40" w:type="dxa"/>
            <w:vAlign w:val="bottom"/>
            <w:gridSpan w:val="4"/>
          </w:tcPr>
          <w:p>
            <w:pPr>
              <w:jc w:val="right"/>
              <w:ind w:right="617"/>
              <w:spacing w:after="0"/>
              <w:rPr>
                <w:sz w:val="20"/>
                <w:szCs w:val="20"/>
                <w:color w:val="auto"/>
              </w:rPr>
            </w:pPr>
            <w:r>
              <w:rPr>
                <w:rFonts w:ascii="Arial" w:cs="Arial" w:eastAsia="Arial" w:hAnsi="Arial"/>
                <w:sz w:val="14"/>
                <w:szCs w:val="14"/>
                <w:b w:val="1"/>
                <w:bCs w:val="1"/>
                <w:color w:val="auto"/>
              </w:rPr>
              <w:t>Year Ended December 31,</w:t>
            </w:r>
          </w:p>
        </w:tc>
      </w:tr>
      <w:tr>
        <w:trPr>
          <w:trHeight w:val="24"/>
        </w:trPr>
        <w:tc>
          <w:tcPr>
            <w:tcW w:w="8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184"/>
        </w:trPr>
        <w:tc>
          <w:tcPr>
            <w:tcW w:w="826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2021</w:t>
            </w:r>
          </w:p>
        </w:tc>
      </w:tr>
      <w:tr>
        <w:trPr>
          <w:trHeight w:val="224"/>
        </w:trPr>
        <w:tc>
          <w:tcPr>
            <w:tcW w:w="8260" w:type="dxa"/>
            <w:vAlign w:val="bottom"/>
            <w:shd w:val="clear" w:color="auto" w:fill="CCEEFF"/>
          </w:tcPr>
          <w:p>
            <w:pPr>
              <w:ind w:left="20"/>
              <w:spacing w:after="0" w:line="224" w:lineRule="exact"/>
              <w:rPr>
                <w:sz w:val="20"/>
                <w:szCs w:val="20"/>
                <w:color w:val="auto"/>
              </w:rPr>
            </w:pPr>
            <w:r>
              <w:rPr>
                <w:rFonts w:ascii="Arial" w:cs="Arial" w:eastAsia="Arial" w:hAnsi="Arial"/>
                <w:sz w:val="18"/>
                <w:szCs w:val="18"/>
                <w:color w:val="auto"/>
              </w:rPr>
              <w:t xml:space="preserve">Audit fees </w:t>
            </w:r>
            <w:r>
              <w:rPr>
                <w:rFonts w:ascii="Arial" w:cs="Arial" w:eastAsia="Arial" w:hAnsi="Arial"/>
                <w:sz w:val="22"/>
                <w:szCs w:val="22"/>
                <w:color w:val="auto"/>
                <w:vertAlign w:val="superscript"/>
              </w:rPr>
              <w:t>(1)</w:t>
            </w: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840,000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765,000</w:t>
            </w:r>
          </w:p>
        </w:tc>
      </w:tr>
      <w:tr>
        <w:trPr>
          <w:trHeight w:val="224"/>
        </w:trPr>
        <w:tc>
          <w:tcPr>
            <w:tcW w:w="8260" w:type="dxa"/>
            <w:vAlign w:val="bottom"/>
            <w:tcBorders>
              <w:bottom w:val="single" w:sz="8" w:color="CCEEFF"/>
            </w:tcBorders>
          </w:tcPr>
          <w:p>
            <w:pPr>
              <w:ind w:left="20"/>
              <w:spacing w:after="0" w:line="224" w:lineRule="exact"/>
              <w:rPr>
                <w:sz w:val="20"/>
                <w:szCs w:val="20"/>
                <w:color w:val="auto"/>
              </w:rPr>
            </w:pPr>
            <w:r>
              <w:rPr>
                <w:rFonts w:ascii="Arial" w:cs="Arial" w:eastAsia="Arial" w:hAnsi="Arial"/>
                <w:sz w:val="18"/>
                <w:szCs w:val="18"/>
                <w:color w:val="auto"/>
              </w:rPr>
              <w:t xml:space="preserve">Tax fees </w:t>
            </w:r>
            <w:r>
              <w:rPr>
                <w:rFonts w:ascii="Arial" w:cs="Arial" w:eastAsia="Arial" w:hAnsi="Arial"/>
                <w:sz w:val="22"/>
                <w:szCs w:val="22"/>
                <w:color w:val="auto"/>
                <w:vertAlign w:val="superscript"/>
              </w:rPr>
              <w:t>(2)</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362,652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253,328</w:t>
            </w:r>
          </w:p>
        </w:tc>
      </w:tr>
      <w:tr>
        <w:trPr>
          <w:trHeight w:val="242"/>
        </w:trPr>
        <w:tc>
          <w:tcPr>
            <w:tcW w:w="8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1,202,652</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1,018,328</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81" w:lineRule="exact"/>
        <w:rPr>
          <w:sz w:val="20"/>
          <w:szCs w:val="20"/>
          <w:color w:val="auto"/>
        </w:rPr>
      </w:pPr>
    </w:p>
    <w:p>
      <w:pPr>
        <w:ind w:left="400" w:right="120" w:hanging="395"/>
        <w:spacing w:after="0" w:line="261" w:lineRule="auto"/>
        <w:tabs>
          <w:tab w:leader="none" w:pos="394" w:val="left"/>
        </w:tabs>
        <w:numPr>
          <w:ilvl w:val="0"/>
          <w:numId w:val="44"/>
        </w:numPr>
        <w:rPr>
          <w:rFonts w:ascii="Arial" w:cs="Arial" w:eastAsia="Arial" w:hAnsi="Arial"/>
          <w:sz w:val="18"/>
          <w:szCs w:val="18"/>
          <w:color w:val="auto"/>
        </w:rPr>
      </w:pPr>
      <w:r>
        <w:rPr>
          <w:rFonts w:ascii="Arial" w:cs="Arial" w:eastAsia="Arial" w:hAnsi="Arial"/>
          <w:sz w:val="18"/>
          <w:szCs w:val="18"/>
          <w:color w:val="auto"/>
        </w:rPr>
        <w:t>Audit fees represent fees billed for professional services rendered for the audits of our annual consolidated financial statements, audit of internal controls and quarterly review of our consolidated financial statements filed with the SEC.</w:t>
      </w:r>
    </w:p>
    <w:p>
      <w:pPr>
        <w:spacing w:after="0" w:line="62" w:lineRule="exact"/>
        <w:rPr>
          <w:rFonts w:ascii="Arial" w:cs="Arial" w:eastAsia="Arial" w:hAnsi="Arial"/>
          <w:sz w:val="18"/>
          <w:szCs w:val="18"/>
          <w:color w:val="auto"/>
        </w:rPr>
      </w:pPr>
    </w:p>
    <w:p>
      <w:pPr>
        <w:ind w:left="400" w:right="120" w:hanging="395"/>
        <w:spacing w:after="0" w:line="261" w:lineRule="auto"/>
        <w:tabs>
          <w:tab w:leader="none" w:pos="394"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Represents tax services with respect to the preparation of the Partnership's 2021 K-1 and K-3 statements in 2022, and the preparation of the Partnership's 2020 K-1 statements in 2021 and compliance services in 2022 and 2021, respectively.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 Pre-Approval Policy</w:t>
      </w:r>
    </w:p>
    <w:p>
      <w:pPr>
        <w:spacing w:after="0" w:line="96" w:lineRule="exact"/>
        <w:rPr>
          <w:sz w:val="20"/>
          <w:szCs w:val="20"/>
          <w:color w:val="auto"/>
        </w:rPr>
      </w:pPr>
    </w:p>
    <w:p>
      <w:pPr>
        <w:ind w:right="40" w:firstLine="395"/>
        <w:spacing w:after="0" w:line="287" w:lineRule="auto"/>
        <w:rPr>
          <w:sz w:val="20"/>
          <w:szCs w:val="20"/>
          <w:color w:val="auto"/>
        </w:rPr>
      </w:pPr>
      <w:r>
        <w:rPr>
          <w:rFonts w:ascii="Arial" w:cs="Arial" w:eastAsia="Arial" w:hAnsi="Arial"/>
          <w:sz w:val="16"/>
          <w:szCs w:val="16"/>
          <w:color w:val="auto"/>
        </w:rPr>
        <w:t xml:space="preserve">The charter of the audit committee of our general partner's board of directors, which is available on our website at </w:t>
      </w:r>
      <w:r>
        <w:rPr>
          <w:rFonts w:ascii="Arial" w:cs="Arial" w:eastAsia="Arial" w:hAnsi="Arial"/>
          <w:sz w:val="16"/>
          <w:szCs w:val="16"/>
          <w:i w:val="1"/>
          <w:iCs w:val="1"/>
          <w:color w:val="auto"/>
        </w:rPr>
        <w:t>www.wlkpartners.com</w:t>
      </w:r>
      <w:r>
        <w:rPr>
          <w:rFonts w:ascii="Arial" w:cs="Arial" w:eastAsia="Arial" w:hAnsi="Arial"/>
          <w:sz w:val="16"/>
          <w:szCs w:val="16"/>
          <w:color w:val="auto"/>
        </w:rPr>
        <w:t>, requires the audit committee to pre-approve all audit services and non-audit services (other than de minimis non-audit services as defined by the Sarbanes-Oxley Act of 2002) to be provided by our independent registered public accounting firm. The audit committee has adopted a pre-approval policy with respect to services that may be performed by the independent registered public accounting firm. The audit committee pre-approved all services provided by PricewaterhouseCoopers during the fiscal year ended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3" w:name="page94"/>
    <w:bookmarkEnd w:id="9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jc w:val="center"/>
        <w:ind w:right="-439"/>
        <w:spacing w:after="0"/>
        <w:rPr>
          <w:sz w:val="20"/>
          <w:szCs w:val="20"/>
          <w:color w:val="auto"/>
        </w:rPr>
      </w:pPr>
      <w:r>
        <w:rPr>
          <w:rFonts w:ascii="Arial" w:cs="Arial" w:eastAsia="Arial" w:hAnsi="Arial"/>
          <w:sz w:val="18"/>
          <w:szCs w:val="18"/>
          <w:b w:val="1"/>
          <w:bCs w:val="1"/>
          <w:color w:val="auto"/>
        </w:rPr>
        <w:t>PART IV</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and Financial Statement Schedules</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(a)(1) Financial Statements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See "Item 8. Financial Statements and Supplementary Data" contained elsewhere in this report.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(a)(2) Financial Statement Schedules</w:t>
      </w:r>
    </w:p>
    <w:p>
      <w:pPr>
        <w:spacing w:after="0" w:line="8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All schedules are omitted because the information is not applicable, not required, or has been furnished in the Consolidated Financial Statements or Notes thereto in Item 8 of this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0800"/>
          </w:cols>
          <w:pgMar w:left="320" w:top="121" w:right="779" w:bottom="1440" w:gutter="0" w:footer="0" w:header="0"/>
        </w:sectPr>
      </w:pPr>
    </w:p>
    <w:bookmarkStart w:id="94" w:name="page95"/>
    <w:bookmarkEnd w:id="9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(a)(3) Exhibits</w:t>
      </w:r>
    </w:p>
    <w:p>
      <w:pPr>
        <w:spacing w:after="0" w:line="15" w:lineRule="exact"/>
        <w:rPr>
          <w:sz w:val="20"/>
          <w:szCs w:val="20"/>
          <w:color w:val="auto"/>
        </w:rPr>
      </w:pPr>
    </w:p>
    <w:tbl>
      <w:tblPr>
        <w:tblLayout w:type="fixed"/>
        <w:tblInd w:w="20" w:type="dxa"/>
        <w:tblCellMar>
          <w:top w:w="0" w:type="dxa"/>
          <w:left w:w="0" w:type="dxa"/>
          <w:bottom w:w="0" w:type="dxa"/>
          <w:right w:w="0" w:type="dxa"/>
        </w:tblCellMar>
      </w:tblPr>
      <w:tr>
        <w:trPr>
          <w:trHeight w:val="228"/>
        </w:trPr>
        <w:tc>
          <w:tcPr>
            <w:tcW w:w="1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6760" w:type="dxa"/>
            <w:vAlign w:val="bottom"/>
            <w:gridSpan w:val="27"/>
          </w:tcPr>
          <w:p>
            <w:pPr>
              <w:ind w:left="560"/>
              <w:spacing w:after="0"/>
              <w:rPr>
                <w:sz w:val="20"/>
                <w:szCs w:val="20"/>
                <w:color w:val="auto"/>
              </w:rPr>
            </w:pPr>
            <w:r>
              <w:rPr>
                <w:rFonts w:ascii="Arial" w:cs="Arial" w:eastAsia="Arial" w:hAnsi="Arial"/>
                <w:sz w:val="18"/>
                <w:szCs w:val="18"/>
                <w:b w:val="1"/>
                <w:bCs w:val="1"/>
                <w:color w:val="auto"/>
              </w:rPr>
              <w:t>Exhibit Index***</w:t>
            </w:r>
          </w:p>
        </w:tc>
      </w:tr>
      <w:tr>
        <w:trPr>
          <w:trHeight w:val="305"/>
        </w:trPr>
        <w:tc>
          <w:tcPr>
            <w:tcW w:w="1520" w:type="dxa"/>
            <w:vAlign w:val="bottom"/>
          </w:tcPr>
          <w:p>
            <w:pPr>
              <w:jc w:val="right"/>
              <w:ind w:right="353"/>
              <w:spacing w:after="0"/>
              <w:rPr>
                <w:sz w:val="20"/>
                <w:szCs w:val="20"/>
                <w:color w:val="auto"/>
              </w:rPr>
            </w:pPr>
            <w:r>
              <w:rPr>
                <w:rFonts w:ascii="Arial" w:cs="Arial" w:eastAsia="Arial" w:hAnsi="Arial"/>
                <w:sz w:val="16"/>
                <w:szCs w:val="16"/>
                <w:b w:val="1"/>
                <w:bCs w:val="1"/>
                <w:color w:val="auto"/>
              </w:rPr>
              <w:t>Exhibit No.</w:t>
            </w:r>
          </w:p>
        </w:tc>
        <w:tc>
          <w:tcPr>
            <w:tcW w:w="9640" w:type="dxa"/>
            <w:vAlign w:val="bottom"/>
            <w:gridSpan w:val="29"/>
          </w:tcPr>
          <w:p>
            <w:pPr>
              <w:ind w:left="120"/>
              <w:spacing w:after="0"/>
              <w:rPr>
                <w:sz w:val="20"/>
                <w:szCs w:val="20"/>
                <w:color w:val="auto"/>
              </w:rPr>
            </w:pPr>
            <w:r>
              <w:rPr>
                <w:rFonts w:ascii="Arial" w:cs="Arial" w:eastAsia="Arial" w:hAnsi="Arial"/>
                <w:sz w:val="16"/>
                <w:szCs w:val="16"/>
                <w:b w:val="1"/>
                <w:bCs w:val="1"/>
                <w:color w:val="auto"/>
              </w:rPr>
              <w:t>Description</w:t>
            </w:r>
          </w:p>
        </w:tc>
      </w:tr>
      <w:tr>
        <w:trPr>
          <w:trHeight w:val="243"/>
        </w:trPr>
        <w:tc>
          <w:tcPr>
            <w:tcW w:w="1520" w:type="dxa"/>
            <w:vAlign w:val="bottom"/>
          </w:tcPr>
          <w:p>
            <w:pPr>
              <w:jc w:val="right"/>
              <w:ind w:right="1213"/>
              <w:spacing w:after="0"/>
              <w:rPr>
                <w:sz w:val="20"/>
                <w:szCs w:val="20"/>
                <w:color w:val="auto"/>
              </w:rPr>
            </w:pPr>
            <w:r>
              <w:rPr>
                <w:rFonts w:ascii="Arial" w:cs="Arial" w:eastAsia="Arial" w:hAnsi="Arial"/>
                <w:sz w:val="18"/>
                <w:szCs w:val="18"/>
                <w:color w:val="auto"/>
                <w:w w:val="79"/>
              </w:rPr>
              <w:t>3.1</w:t>
            </w:r>
          </w:p>
        </w:tc>
        <w:tc>
          <w:tcPr>
            <w:tcW w:w="9640" w:type="dxa"/>
            <w:vAlign w:val="bottom"/>
            <w:gridSpan w:val="29"/>
          </w:tcPr>
          <w:p>
            <w:pPr>
              <w:spacing w:after="0"/>
              <w:rPr>
                <w:rFonts w:ascii="Arial" w:cs="Arial" w:eastAsia="Arial" w:hAnsi="Arial"/>
                <w:sz w:val="18"/>
                <w:szCs w:val="18"/>
                <w:color w:val="0000FF"/>
                <w:w w:val="92"/>
              </w:rPr>
            </w:pPr>
            <w:hyperlink r:id="rId131">
              <w:r>
                <w:rPr>
                  <w:rFonts w:ascii="Arial" w:cs="Arial" w:eastAsia="Arial" w:hAnsi="Arial"/>
                  <w:sz w:val="18"/>
                  <w:szCs w:val="18"/>
                  <w:color w:val="0000FF"/>
                  <w:w w:val="92"/>
                </w:rPr>
                <w:t>Certificate of Limited Partnership of Westlake Chemical Partners LP (incorporated by reference to Exhibit 3.1 to Westlake Chemical</w:t>
              </w:r>
            </w:hyperlink>
          </w:p>
        </w:tc>
      </w:tr>
      <w:tr>
        <w:trPr>
          <w:trHeight w:val="151"/>
        </w:trPr>
        <w:tc>
          <w:tcPr>
            <w:tcW w:w="1520" w:type="dxa"/>
            <w:vAlign w:val="bottom"/>
          </w:tcPr>
          <w:p>
            <w:pPr>
              <w:spacing w:after="0"/>
              <w:rPr>
                <w:sz w:val="13"/>
                <w:szCs w:val="13"/>
                <w:color w:val="auto"/>
              </w:rPr>
            </w:pPr>
          </w:p>
        </w:tc>
        <w:tc>
          <w:tcPr>
            <w:tcW w:w="6940" w:type="dxa"/>
            <w:vAlign w:val="bottom"/>
            <w:tcBorders>
              <w:top w:val="single" w:sz="8" w:color="0000FF"/>
              <w:bottom w:val="single" w:sz="8" w:color="0000FF"/>
            </w:tcBorders>
            <w:gridSpan w:val="6"/>
          </w:tcPr>
          <w:p>
            <w:pPr>
              <w:spacing w:after="0" w:line="152" w:lineRule="exact"/>
              <w:rPr>
                <w:rFonts w:ascii="Arial" w:cs="Arial" w:eastAsia="Arial" w:hAnsi="Arial"/>
                <w:sz w:val="16"/>
                <w:szCs w:val="16"/>
                <w:color w:val="0000FF"/>
              </w:rPr>
            </w:pPr>
            <w:hyperlink r:id="rId131">
              <w:r>
                <w:rPr>
                  <w:rFonts w:ascii="Arial" w:cs="Arial" w:eastAsia="Arial" w:hAnsi="Arial"/>
                  <w:sz w:val="16"/>
                  <w:szCs w:val="16"/>
                  <w:color w:val="0000FF"/>
                </w:rPr>
                <w:t>Partners LP's Registration Statement on Form S-1 (File No. 333-195551), filed on April 29, 2014).</w:t>
              </w:r>
            </w:hyperlink>
          </w:p>
        </w:tc>
        <w:tc>
          <w:tcPr>
            <w:tcW w:w="2380" w:type="dxa"/>
            <w:vAlign w:val="bottom"/>
            <w:tcBorders>
              <w:top w:val="single" w:sz="8" w:color="0000FF"/>
            </w:tcBorders>
            <w:gridSpan w:val="1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9"/>
        </w:trPr>
        <w:tc>
          <w:tcPr>
            <w:tcW w:w="1520" w:type="dxa"/>
            <w:vAlign w:val="bottom"/>
          </w:tcPr>
          <w:p>
            <w:pPr>
              <w:jc w:val="right"/>
              <w:ind w:right="1213"/>
              <w:spacing w:after="0"/>
              <w:rPr>
                <w:sz w:val="20"/>
                <w:szCs w:val="20"/>
                <w:color w:val="auto"/>
              </w:rPr>
            </w:pPr>
            <w:r>
              <w:rPr>
                <w:rFonts w:ascii="Arial" w:cs="Arial" w:eastAsia="Arial" w:hAnsi="Arial"/>
                <w:sz w:val="18"/>
                <w:szCs w:val="18"/>
                <w:color w:val="auto"/>
                <w:w w:val="79"/>
              </w:rPr>
              <w:t>3.2</w:t>
            </w:r>
          </w:p>
        </w:tc>
        <w:tc>
          <w:tcPr>
            <w:tcW w:w="9640" w:type="dxa"/>
            <w:vAlign w:val="bottom"/>
            <w:gridSpan w:val="29"/>
          </w:tcPr>
          <w:p>
            <w:pPr>
              <w:spacing w:after="0"/>
              <w:rPr>
                <w:rFonts w:ascii="Arial" w:cs="Arial" w:eastAsia="Arial" w:hAnsi="Arial"/>
                <w:sz w:val="18"/>
                <w:szCs w:val="18"/>
                <w:color w:val="0000FF"/>
                <w:w w:val="89"/>
              </w:rPr>
            </w:pPr>
            <w:hyperlink r:id="rId132">
              <w:r>
                <w:rPr>
                  <w:rFonts w:ascii="Arial" w:cs="Arial" w:eastAsia="Arial" w:hAnsi="Arial"/>
                  <w:sz w:val="18"/>
                  <w:szCs w:val="18"/>
                  <w:color w:val="0000FF"/>
                  <w:w w:val="89"/>
                </w:rPr>
                <w:t>First Amended and Restated Agreement of Limited Partnership of Westlake Chemical Partners LP (incorporated by reference to Exhibit</w:t>
              </w:r>
            </w:hyperlink>
          </w:p>
        </w:tc>
      </w:tr>
      <w:tr>
        <w:trPr>
          <w:trHeight w:val="151"/>
        </w:trPr>
        <w:tc>
          <w:tcPr>
            <w:tcW w:w="1520" w:type="dxa"/>
            <w:vAlign w:val="bottom"/>
          </w:tcPr>
          <w:p>
            <w:pPr>
              <w:spacing w:after="0"/>
              <w:rPr>
                <w:sz w:val="13"/>
                <w:szCs w:val="13"/>
                <w:color w:val="auto"/>
              </w:rPr>
            </w:pPr>
          </w:p>
        </w:tc>
        <w:tc>
          <w:tcPr>
            <w:tcW w:w="9580" w:type="dxa"/>
            <w:vAlign w:val="bottom"/>
            <w:tcBorders>
              <w:top w:val="single" w:sz="8" w:color="0000FF"/>
            </w:tcBorders>
            <w:gridSpan w:val="26"/>
          </w:tcPr>
          <w:p>
            <w:pPr>
              <w:spacing w:after="0" w:line="152" w:lineRule="exact"/>
              <w:rPr>
                <w:rFonts w:ascii="Arial" w:cs="Arial" w:eastAsia="Arial" w:hAnsi="Arial"/>
                <w:sz w:val="16"/>
                <w:szCs w:val="16"/>
                <w:color w:val="0000FF"/>
              </w:rPr>
            </w:pPr>
            <w:hyperlink r:id="rId132">
              <w:r>
                <w:rPr>
                  <w:rFonts w:ascii="Arial" w:cs="Arial" w:eastAsia="Arial" w:hAnsi="Arial"/>
                  <w:sz w:val="16"/>
                  <w:szCs w:val="16"/>
                  <w:color w:val="0000FF"/>
                </w:rPr>
                <w:t>3.</w:t>
              </w:r>
              <w:r>
                <w:rPr>
                  <w:rFonts w:ascii="Arial" w:cs="Arial" w:eastAsia="Arial" w:hAnsi="Arial"/>
                  <w:sz w:val="16"/>
                  <w:szCs w:val="16"/>
                  <w:u w:val="single" w:color="auto"/>
                  <w:color w:val="0000FF"/>
                </w:rPr>
                <w:t>1</w:t>
              </w:r>
              <w:r>
                <w:rPr>
                  <w:rFonts w:ascii="Arial" w:cs="Arial" w:eastAsia="Arial" w:hAnsi="Arial"/>
                  <w:sz w:val="16"/>
                  <w:szCs w:val="16"/>
                  <w:color w:val="0000FF"/>
                </w:rPr>
                <w:t xml:space="preserve"> to Westlake Chemical Partners LP's Current Report on Form 8-K (File No. 001-36567) filed on August 8, 2014).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2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1000" w:type="dxa"/>
            <w:vAlign w:val="bottom"/>
            <w:gridSpan w:val="2"/>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9"/>
        </w:trPr>
        <w:tc>
          <w:tcPr>
            <w:tcW w:w="1520" w:type="dxa"/>
            <w:vAlign w:val="bottom"/>
          </w:tcPr>
          <w:p>
            <w:pPr>
              <w:jc w:val="right"/>
              <w:ind w:right="1213"/>
              <w:spacing w:after="0"/>
              <w:rPr>
                <w:sz w:val="20"/>
                <w:szCs w:val="20"/>
                <w:color w:val="auto"/>
              </w:rPr>
            </w:pPr>
            <w:r>
              <w:rPr>
                <w:rFonts w:ascii="Arial" w:cs="Arial" w:eastAsia="Arial" w:hAnsi="Arial"/>
                <w:sz w:val="18"/>
                <w:szCs w:val="18"/>
                <w:color w:val="auto"/>
                <w:w w:val="79"/>
              </w:rPr>
              <w:t>3.3</w:t>
            </w:r>
          </w:p>
        </w:tc>
        <w:tc>
          <w:tcPr>
            <w:tcW w:w="9500" w:type="dxa"/>
            <w:vAlign w:val="bottom"/>
            <w:tcBorders>
              <w:bottom w:val="single" w:sz="8" w:color="0000FF"/>
            </w:tcBorders>
            <w:gridSpan w:val="24"/>
          </w:tcPr>
          <w:p>
            <w:pPr>
              <w:spacing w:after="0"/>
              <w:rPr>
                <w:rFonts w:ascii="Arial" w:cs="Arial" w:eastAsia="Arial" w:hAnsi="Arial"/>
                <w:sz w:val="18"/>
                <w:szCs w:val="18"/>
                <w:color w:val="0000FF"/>
                <w:w w:val="88"/>
              </w:rPr>
            </w:pPr>
            <w:hyperlink r:id="rId133">
              <w:r>
                <w:rPr>
                  <w:rFonts w:ascii="Arial" w:cs="Arial" w:eastAsia="Arial" w:hAnsi="Arial"/>
                  <w:sz w:val="18"/>
                  <w:szCs w:val="18"/>
                  <w:color w:val="0000FF"/>
                  <w:w w:val="88"/>
                </w:rPr>
                <w:t>Amendment No. 1 to the First Amended and Restated Agreement of Limited Partnership of Westlake Chemical Partners LP dated as of</w:t>
              </w:r>
            </w:hyperlink>
          </w:p>
        </w:tc>
        <w:tc>
          <w:tcPr>
            <w:tcW w:w="140" w:type="dxa"/>
            <w:vAlign w:val="bottom"/>
            <w:gridSpan w:val="5"/>
          </w:tcPr>
          <w:p>
            <w:pPr>
              <w:spacing w:after="0"/>
              <w:rPr>
                <w:sz w:val="23"/>
                <w:szCs w:val="23"/>
                <w:color w:val="auto"/>
              </w:rPr>
            </w:pPr>
          </w:p>
        </w:tc>
      </w:tr>
      <w:tr>
        <w:trPr>
          <w:trHeight w:val="151"/>
        </w:trPr>
        <w:tc>
          <w:tcPr>
            <w:tcW w:w="1520" w:type="dxa"/>
            <w:vAlign w:val="bottom"/>
          </w:tcPr>
          <w:p>
            <w:pPr>
              <w:spacing w:after="0"/>
              <w:rPr>
                <w:sz w:val="13"/>
                <w:szCs w:val="13"/>
                <w:color w:val="auto"/>
              </w:rPr>
            </w:pPr>
          </w:p>
        </w:tc>
        <w:tc>
          <w:tcPr>
            <w:tcW w:w="9640" w:type="dxa"/>
            <w:vAlign w:val="bottom"/>
            <w:gridSpan w:val="29"/>
          </w:tcPr>
          <w:p>
            <w:pPr>
              <w:spacing w:after="0" w:line="152" w:lineRule="exact"/>
              <w:rPr>
                <w:rFonts w:ascii="Arial" w:cs="Arial" w:eastAsia="Arial" w:hAnsi="Arial"/>
                <w:sz w:val="16"/>
                <w:szCs w:val="16"/>
                <w:color w:val="0000FF"/>
              </w:rPr>
            </w:pPr>
            <w:hyperlink r:id="rId133">
              <w:r>
                <w:rPr>
                  <w:rFonts w:ascii="Arial" w:cs="Arial" w:eastAsia="Arial" w:hAnsi="Arial"/>
                  <w:sz w:val="16"/>
                  <w:szCs w:val="16"/>
                  <w:color w:val="0000FF"/>
                </w:rPr>
                <w:t>November 16, 2017 (incorporated by Reference to Exhibit 3.1 to Westlake Chemical Partners LP's Current Report on Form 8-K, filed on</w:t>
              </w:r>
            </w:hyperlink>
          </w:p>
        </w:tc>
      </w:tr>
      <w:tr>
        <w:trPr>
          <w:trHeight w:val="151"/>
        </w:trPr>
        <w:tc>
          <w:tcPr>
            <w:tcW w:w="1520" w:type="dxa"/>
            <w:vAlign w:val="bottom"/>
          </w:tcPr>
          <w:p>
            <w:pPr>
              <w:spacing w:after="0"/>
              <w:rPr>
                <w:sz w:val="13"/>
                <w:szCs w:val="13"/>
                <w:color w:val="auto"/>
              </w:rPr>
            </w:pPr>
          </w:p>
        </w:tc>
        <w:tc>
          <w:tcPr>
            <w:tcW w:w="9600" w:type="dxa"/>
            <w:vAlign w:val="bottom"/>
            <w:tcBorders>
              <w:top w:val="single" w:sz="8" w:color="0000FF"/>
            </w:tcBorders>
            <w:gridSpan w:val="27"/>
          </w:tcPr>
          <w:p>
            <w:pPr>
              <w:spacing w:after="0" w:line="152" w:lineRule="exact"/>
              <w:rPr>
                <w:rFonts w:ascii="Arial" w:cs="Arial" w:eastAsia="Arial" w:hAnsi="Arial"/>
                <w:sz w:val="16"/>
                <w:szCs w:val="16"/>
                <w:color w:val="0000FF"/>
              </w:rPr>
            </w:pPr>
            <w:hyperlink r:id="rId133">
              <w:r>
                <w:rPr>
                  <w:rFonts w:ascii="Arial" w:cs="Arial" w:eastAsia="Arial" w:hAnsi="Arial"/>
                  <w:sz w:val="16"/>
                  <w:szCs w:val="16"/>
                  <w:color w:val="0000FF"/>
                </w:rPr>
                <w:t>November 16, 2017, File No. 01-36567).</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2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9"/>
        </w:trPr>
        <w:tc>
          <w:tcPr>
            <w:tcW w:w="1520" w:type="dxa"/>
            <w:vAlign w:val="bottom"/>
          </w:tcPr>
          <w:p>
            <w:pPr>
              <w:jc w:val="right"/>
              <w:ind w:right="1213"/>
              <w:spacing w:after="0"/>
              <w:rPr>
                <w:sz w:val="20"/>
                <w:szCs w:val="20"/>
                <w:color w:val="auto"/>
              </w:rPr>
            </w:pPr>
            <w:r>
              <w:rPr>
                <w:rFonts w:ascii="Arial" w:cs="Arial" w:eastAsia="Arial" w:hAnsi="Arial"/>
                <w:sz w:val="18"/>
                <w:szCs w:val="18"/>
                <w:color w:val="auto"/>
                <w:w w:val="79"/>
              </w:rPr>
              <w:t>3.4</w:t>
            </w:r>
          </w:p>
        </w:tc>
        <w:tc>
          <w:tcPr>
            <w:tcW w:w="9640" w:type="dxa"/>
            <w:vAlign w:val="bottom"/>
            <w:gridSpan w:val="29"/>
          </w:tcPr>
          <w:p>
            <w:pPr>
              <w:spacing w:after="0"/>
              <w:rPr>
                <w:rFonts w:ascii="Arial" w:cs="Arial" w:eastAsia="Arial" w:hAnsi="Arial"/>
                <w:sz w:val="18"/>
                <w:szCs w:val="18"/>
                <w:color w:val="0000FF"/>
                <w:w w:val="98"/>
              </w:rPr>
            </w:pPr>
            <w:hyperlink r:id="rId134">
              <w:r>
                <w:rPr>
                  <w:rFonts w:ascii="Arial" w:cs="Arial" w:eastAsia="Arial" w:hAnsi="Arial"/>
                  <w:sz w:val="18"/>
                  <w:szCs w:val="18"/>
                  <w:color w:val="0000FF"/>
                  <w:w w:val="98"/>
                </w:rPr>
                <w:t>Amendment No. 2 to the First Amended and Restated Agreement of Limited Partnership of Westlake Chemical Partners LP</w:t>
              </w:r>
            </w:hyperlink>
          </w:p>
        </w:tc>
      </w:tr>
      <w:tr>
        <w:trPr>
          <w:trHeight w:val="151"/>
        </w:trPr>
        <w:tc>
          <w:tcPr>
            <w:tcW w:w="1520" w:type="dxa"/>
            <w:vAlign w:val="bottom"/>
          </w:tcPr>
          <w:p>
            <w:pPr>
              <w:spacing w:after="0"/>
              <w:rPr>
                <w:sz w:val="13"/>
                <w:szCs w:val="13"/>
                <w:color w:val="auto"/>
              </w:rPr>
            </w:pPr>
          </w:p>
        </w:tc>
        <w:tc>
          <w:tcPr>
            <w:tcW w:w="8700" w:type="dxa"/>
            <w:vAlign w:val="bottom"/>
            <w:tcBorders>
              <w:top w:val="single" w:sz="8" w:color="0000FF"/>
            </w:tcBorders>
            <w:gridSpan w:val="10"/>
          </w:tcPr>
          <w:p>
            <w:pPr>
              <w:spacing w:after="0" w:line="152" w:lineRule="exact"/>
              <w:rPr>
                <w:rFonts w:ascii="Arial" w:cs="Arial" w:eastAsia="Arial" w:hAnsi="Arial"/>
                <w:sz w:val="16"/>
                <w:szCs w:val="16"/>
                <w:color w:val="0000FF"/>
              </w:rPr>
            </w:pPr>
            <w:hyperlink r:id="rId134">
              <w:r>
                <w:rPr>
                  <w:rFonts w:ascii="Arial" w:cs="Arial" w:eastAsia="Arial" w:hAnsi="Arial"/>
                  <w:sz w:val="16"/>
                  <w:szCs w:val="16"/>
                  <w:color w:val="0000FF"/>
                </w:rPr>
                <w:t>(incorporated by reference to Exhibit 3.1 to Westlake Chemical Partners LP's Current Report on Form 8-K filed on July 30,</w:t>
              </w:r>
            </w:hyperlink>
          </w:p>
        </w:tc>
        <w:tc>
          <w:tcPr>
            <w:tcW w:w="940" w:type="dxa"/>
            <w:vAlign w:val="bottom"/>
            <w:gridSpan w:val="19"/>
          </w:tcPr>
          <w:p>
            <w:pPr>
              <w:spacing w:after="0" w:line="152" w:lineRule="exact"/>
              <w:rPr>
                <w:rFonts w:ascii="Arial" w:cs="Arial" w:eastAsia="Arial" w:hAnsi="Arial"/>
                <w:sz w:val="16"/>
                <w:szCs w:val="16"/>
                <w:color w:val="0000FF"/>
              </w:rPr>
            </w:pPr>
            <w:hyperlink r:id="rId134">
              <w:r>
                <w:rPr>
                  <w:rFonts w:ascii="Arial" w:cs="Arial" w:eastAsia="Arial" w:hAnsi="Arial"/>
                  <w:sz w:val="16"/>
                  <w:szCs w:val="16"/>
                  <w:color w:val="0000FF"/>
                </w:rPr>
                <w:t>2018 (File</w:t>
              </w:r>
            </w:hyperlink>
          </w:p>
        </w:tc>
      </w:tr>
      <w:tr>
        <w:trPr>
          <w:trHeight w:val="151"/>
        </w:trPr>
        <w:tc>
          <w:tcPr>
            <w:tcW w:w="1520" w:type="dxa"/>
            <w:vAlign w:val="bottom"/>
          </w:tcPr>
          <w:p>
            <w:pPr>
              <w:spacing w:after="0"/>
              <w:rPr>
                <w:sz w:val="13"/>
                <w:szCs w:val="13"/>
                <w:color w:val="auto"/>
              </w:rPr>
            </w:pPr>
          </w:p>
        </w:tc>
        <w:tc>
          <w:tcPr>
            <w:tcW w:w="9440" w:type="dxa"/>
            <w:vAlign w:val="bottom"/>
            <w:tcBorders>
              <w:top w:val="single" w:sz="8" w:color="0000FF"/>
            </w:tcBorders>
            <w:gridSpan w:val="23"/>
          </w:tcPr>
          <w:p>
            <w:pPr>
              <w:spacing w:after="0" w:line="152" w:lineRule="exact"/>
              <w:rPr>
                <w:rFonts w:ascii="Arial" w:cs="Arial" w:eastAsia="Arial" w:hAnsi="Arial"/>
                <w:sz w:val="16"/>
                <w:szCs w:val="16"/>
                <w:color w:val="0000FF"/>
              </w:rPr>
            </w:pPr>
            <w:hyperlink r:id="rId134">
              <w:r>
                <w:rPr>
                  <w:rFonts w:ascii="Arial" w:cs="Arial" w:eastAsia="Arial" w:hAnsi="Arial"/>
                  <w:sz w:val="16"/>
                  <w:szCs w:val="16"/>
                  <w:color w:val="0000FF"/>
                </w:rPr>
                <w:t>No. 01-36567)).</w:t>
              </w:r>
            </w:hyperlink>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2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9"/>
        </w:trPr>
        <w:tc>
          <w:tcPr>
            <w:tcW w:w="1520" w:type="dxa"/>
            <w:vAlign w:val="bottom"/>
          </w:tcPr>
          <w:p>
            <w:pPr>
              <w:jc w:val="right"/>
              <w:ind w:right="1213"/>
              <w:spacing w:after="0"/>
              <w:rPr>
                <w:sz w:val="20"/>
                <w:szCs w:val="20"/>
                <w:color w:val="auto"/>
              </w:rPr>
            </w:pPr>
            <w:r>
              <w:rPr>
                <w:rFonts w:ascii="Arial" w:cs="Arial" w:eastAsia="Arial" w:hAnsi="Arial"/>
                <w:sz w:val="18"/>
                <w:szCs w:val="18"/>
                <w:color w:val="auto"/>
                <w:w w:val="79"/>
              </w:rPr>
              <w:t>3.5</w:t>
            </w:r>
          </w:p>
        </w:tc>
        <w:tc>
          <w:tcPr>
            <w:tcW w:w="9640" w:type="dxa"/>
            <w:vAlign w:val="bottom"/>
            <w:gridSpan w:val="29"/>
          </w:tcPr>
          <w:p>
            <w:pPr>
              <w:spacing w:after="0"/>
              <w:rPr>
                <w:rFonts w:ascii="Arial" w:cs="Arial" w:eastAsia="Arial" w:hAnsi="Arial"/>
                <w:sz w:val="18"/>
                <w:szCs w:val="18"/>
                <w:color w:val="0000FF"/>
                <w:w w:val="91"/>
              </w:rPr>
            </w:pPr>
            <w:hyperlink r:id="rId135">
              <w:r>
                <w:rPr>
                  <w:rFonts w:ascii="Arial" w:cs="Arial" w:eastAsia="Arial" w:hAnsi="Arial"/>
                  <w:sz w:val="18"/>
                  <w:szCs w:val="18"/>
                  <w:color w:val="0000FF"/>
                  <w:w w:val="91"/>
                </w:rPr>
                <w:t>Amended and Restated Limited Partnership Agreement of Westlake Chemical OpCo LP (incorporated by reference to Exhibit 10.7 to</w:t>
              </w:r>
            </w:hyperlink>
          </w:p>
        </w:tc>
      </w:tr>
      <w:tr>
        <w:trPr>
          <w:trHeight w:val="151"/>
        </w:trPr>
        <w:tc>
          <w:tcPr>
            <w:tcW w:w="1520" w:type="dxa"/>
            <w:vAlign w:val="bottom"/>
          </w:tcPr>
          <w:p>
            <w:pPr>
              <w:spacing w:after="0"/>
              <w:rPr>
                <w:sz w:val="13"/>
                <w:szCs w:val="13"/>
                <w:color w:val="auto"/>
              </w:rPr>
            </w:pPr>
          </w:p>
        </w:tc>
        <w:tc>
          <w:tcPr>
            <w:tcW w:w="7740" w:type="dxa"/>
            <w:vAlign w:val="bottom"/>
            <w:tcBorders>
              <w:top w:val="single" w:sz="8" w:color="0000FF"/>
              <w:bottom w:val="single" w:sz="8" w:color="0000FF"/>
            </w:tcBorders>
            <w:gridSpan w:val="7"/>
          </w:tcPr>
          <w:p>
            <w:pPr>
              <w:spacing w:after="0" w:line="152" w:lineRule="exact"/>
              <w:rPr>
                <w:rFonts w:ascii="Arial" w:cs="Arial" w:eastAsia="Arial" w:hAnsi="Arial"/>
                <w:sz w:val="16"/>
                <w:szCs w:val="16"/>
                <w:color w:val="0000FF"/>
              </w:rPr>
            </w:pPr>
            <w:hyperlink r:id="rId135">
              <w:r>
                <w:rPr>
                  <w:rFonts w:ascii="Arial" w:cs="Arial" w:eastAsia="Arial" w:hAnsi="Arial"/>
                  <w:sz w:val="16"/>
                  <w:szCs w:val="16"/>
                  <w:color w:val="0000FF"/>
                </w:rPr>
                <w:t>Westlake Chemical Partners LP's Current Report on Form 8-K (File No. 001-36567) filed on August 8, 2014).</w:t>
              </w:r>
            </w:hyperlink>
          </w:p>
        </w:tc>
        <w:tc>
          <w:tcPr>
            <w:tcW w:w="1640" w:type="dxa"/>
            <w:vAlign w:val="bottom"/>
            <w:tcBorders>
              <w:top w:val="single" w:sz="8" w:color="0000FF"/>
            </w:tcBorders>
            <w:gridSpan w:val="14"/>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309"/>
        </w:trPr>
        <w:tc>
          <w:tcPr>
            <w:tcW w:w="1520" w:type="dxa"/>
            <w:vAlign w:val="bottom"/>
          </w:tcPr>
          <w:p>
            <w:pPr>
              <w:jc w:val="right"/>
              <w:ind w:right="1213"/>
              <w:spacing w:after="0"/>
              <w:rPr>
                <w:sz w:val="20"/>
                <w:szCs w:val="20"/>
                <w:color w:val="auto"/>
              </w:rPr>
            </w:pPr>
            <w:r>
              <w:rPr>
                <w:rFonts w:ascii="Arial" w:cs="Arial" w:eastAsia="Arial" w:hAnsi="Arial"/>
                <w:sz w:val="18"/>
                <w:szCs w:val="18"/>
                <w:color w:val="auto"/>
                <w:w w:val="79"/>
              </w:rPr>
              <w:t>3.6</w:t>
            </w:r>
          </w:p>
        </w:tc>
        <w:tc>
          <w:tcPr>
            <w:tcW w:w="9640" w:type="dxa"/>
            <w:vAlign w:val="bottom"/>
            <w:gridSpan w:val="29"/>
          </w:tcPr>
          <w:p>
            <w:pPr>
              <w:spacing w:after="0"/>
              <w:rPr>
                <w:rFonts w:ascii="Arial" w:cs="Arial" w:eastAsia="Arial" w:hAnsi="Arial"/>
                <w:sz w:val="18"/>
                <w:szCs w:val="18"/>
                <w:color w:val="0000FF"/>
                <w:w w:val="91"/>
              </w:rPr>
            </w:pPr>
            <w:hyperlink r:id="rId136">
              <w:r>
                <w:rPr>
                  <w:rFonts w:ascii="Arial" w:cs="Arial" w:eastAsia="Arial" w:hAnsi="Arial"/>
                  <w:sz w:val="18"/>
                  <w:szCs w:val="18"/>
                  <w:color w:val="0000FF"/>
                  <w:w w:val="91"/>
                </w:rPr>
                <w:t>Amendment No. 1 to the First Amended and Restated Agreement of Limited Partnership of Westlake Chemical OpCo LP dated as of</w:t>
              </w:r>
            </w:hyperlink>
          </w:p>
        </w:tc>
      </w:tr>
      <w:tr>
        <w:trPr>
          <w:trHeight w:val="151"/>
        </w:trPr>
        <w:tc>
          <w:tcPr>
            <w:tcW w:w="1520" w:type="dxa"/>
            <w:vAlign w:val="bottom"/>
          </w:tcPr>
          <w:p>
            <w:pPr>
              <w:spacing w:after="0"/>
              <w:rPr>
                <w:sz w:val="13"/>
                <w:szCs w:val="13"/>
                <w:color w:val="auto"/>
              </w:rPr>
            </w:pPr>
          </w:p>
        </w:tc>
        <w:tc>
          <w:tcPr>
            <w:tcW w:w="9340" w:type="dxa"/>
            <w:vAlign w:val="bottom"/>
            <w:tcBorders>
              <w:top w:val="single" w:sz="8" w:color="0000FF"/>
            </w:tcBorders>
            <w:gridSpan w:val="19"/>
          </w:tcPr>
          <w:p>
            <w:pPr>
              <w:spacing w:after="0" w:line="152" w:lineRule="exact"/>
              <w:rPr>
                <w:rFonts w:ascii="Arial" w:cs="Arial" w:eastAsia="Arial" w:hAnsi="Arial"/>
                <w:sz w:val="16"/>
                <w:szCs w:val="16"/>
                <w:color w:val="0000FF"/>
              </w:rPr>
            </w:pPr>
            <w:hyperlink r:id="rId136">
              <w:r>
                <w:rPr>
                  <w:rFonts w:ascii="Arial" w:cs="Arial" w:eastAsia="Arial" w:hAnsi="Arial"/>
                  <w:sz w:val="16"/>
                  <w:szCs w:val="16"/>
                  <w:color w:val="0000FF"/>
                </w:rPr>
                <w:t>December 1, 2017 (File No. 01-36567) (incorporated by reference to Exhibit 3.4 to Westlake Chemical Partners LP's Annual Report</w:t>
              </w:r>
            </w:hyperlink>
          </w:p>
        </w:tc>
        <w:tc>
          <w:tcPr>
            <w:tcW w:w="300" w:type="dxa"/>
            <w:vAlign w:val="bottom"/>
            <w:gridSpan w:val="10"/>
          </w:tcPr>
          <w:p>
            <w:pPr>
              <w:spacing w:after="0" w:line="152" w:lineRule="exact"/>
              <w:rPr>
                <w:rFonts w:ascii="Arial" w:cs="Arial" w:eastAsia="Arial" w:hAnsi="Arial"/>
                <w:sz w:val="16"/>
                <w:szCs w:val="16"/>
                <w:color w:val="0000FF"/>
              </w:rPr>
            </w:pPr>
            <w:hyperlink r:id="rId136">
              <w:r>
                <w:rPr>
                  <w:rFonts w:ascii="Arial" w:cs="Arial" w:eastAsia="Arial" w:hAnsi="Arial"/>
                  <w:sz w:val="16"/>
                  <w:szCs w:val="16"/>
                  <w:color w:val="0000FF"/>
                </w:rPr>
                <w:t>on</w:t>
              </w:r>
            </w:hyperlink>
          </w:p>
        </w:tc>
      </w:tr>
      <w:tr>
        <w:trPr>
          <w:trHeight w:val="151"/>
        </w:trPr>
        <w:tc>
          <w:tcPr>
            <w:tcW w:w="1520" w:type="dxa"/>
            <w:vAlign w:val="bottom"/>
          </w:tcPr>
          <w:p>
            <w:pPr>
              <w:spacing w:after="0"/>
              <w:rPr>
                <w:sz w:val="13"/>
                <w:szCs w:val="13"/>
                <w:color w:val="auto"/>
              </w:rPr>
            </w:pPr>
          </w:p>
        </w:tc>
        <w:tc>
          <w:tcPr>
            <w:tcW w:w="6740" w:type="dxa"/>
            <w:vAlign w:val="bottom"/>
            <w:tcBorders>
              <w:top w:val="single" w:sz="8" w:color="0000FF"/>
              <w:bottom w:val="single" w:sz="8" w:color="0000FF"/>
            </w:tcBorders>
            <w:gridSpan w:val="5"/>
          </w:tcPr>
          <w:p>
            <w:pPr>
              <w:spacing w:after="0" w:line="152" w:lineRule="exact"/>
              <w:rPr>
                <w:rFonts w:ascii="Arial" w:cs="Arial" w:eastAsia="Arial" w:hAnsi="Arial"/>
                <w:sz w:val="16"/>
                <w:szCs w:val="16"/>
                <w:color w:val="0000FF"/>
              </w:rPr>
            </w:pPr>
            <w:hyperlink r:id="rId136">
              <w:r>
                <w:rPr>
                  <w:rFonts w:ascii="Arial" w:cs="Arial" w:eastAsia="Arial" w:hAnsi="Arial"/>
                  <w:sz w:val="16"/>
                  <w:szCs w:val="16"/>
                  <w:color w:val="0000FF"/>
                </w:rPr>
                <w:t>Form 10-K for the year ended December 31, 2017 (File No. 01-36567) filed on March 1, 2018).</w:t>
              </w:r>
            </w:hyperlink>
          </w:p>
        </w:tc>
        <w:tc>
          <w:tcPr>
            <w:tcW w:w="2760" w:type="dxa"/>
            <w:vAlign w:val="bottom"/>
            <w:tcBorders>
              <w:top w:val="single" w:sz="8" w:color="0000FF"/>
            </w:tcBorders>
            <w:gridSpan w:val="19"/>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r>
      <w:tr>
        <w:trPr>
          <w:trHeight w:val="269"/>
        </w:trPr>
        <w:tc>
          <w:tcPr>
            <w:tcW w:w="1520" w:type="dxa"/>
            <w:vAlign w:val="bottom"/>
          </w:tcPr>
          <w:p>
            <w:pPr>
              <w:jc w:val="right"/>
              <w:ind w:right="1213"/>
              <w:spacing w:after="0"/>
              <w:rPr>
                <w:sz w:val="20"/>
                <w:szCs w:val="20"/>
                <w:color w:val="auto"/>
              </w:rPr>
            </w:pPr>
            <w:r>
              <w:rPr>
                <w:rFonts w:ascii="Arial" w:cs="Arial" w:eastAsia="Arial" w:hAnsi="Arial"/>
                <w:sz w:val="18"/>
                <w:szCs w:val="18"/>
                <w:color w:val="auto"/>
                <w:w w:val="79"/>
              </w:rPr>
              <w:t>4.1</w:t>
            </w:r>
          </w:p>
        </w:tc>
        <w:tc>
          <w:tcPr>
            <w:tcW w:w="9640" w:type="dxa"/>
            <w:vAlign w:val="bottom"/>
            <w:gridSpan w:val="29"/>
          </w:tcPr>
          <w:p>
            <w:pPr>
              <w:spacing w:after="0"/>
              <w:rPr>
                <w:rFonts w:ascii="Arial" w:cs="Arial" w:eastAsia="Arial" w:hAnsi="Arial"/>
                <w:sz w:val="18"/>
                <w:szCs w:val="18"/>
                <w:color w:val="0000FF"/>
                <w:w w:val="88"/>
              </w:rPr>
            </w:pPr>
            <w:hyperlink r:id="rId137">
              <w:r>
                <w:rPr>
                  <w:rFonts w:ascii="Arial" w:cs="Arial" w:eastAsia="Arial" w:hAnsi="Arial"/>
                  <w:sz w:val="18"/>
                  <w:szCs w:val="18"/>
                  <w:color w:val="0000FF"/>
                  <w:w w:val="88"/>
                </w:rPr>
                <w:t>Description of Securities Registered Pursuant to Section 12 of the Securities Exchange Act of 1934 (incorporated by reference to Exhibit</w:t>
              </w:r>
            </w:hyperlink>
          </w:p>
        </w:tc>
      </w:tr>
      <w:tr>
        <w:trPr>
          <w:trHeight w:val="151"/>
        </w:trPr>
        <w:tc>
          <w:tcPr>
            <w:tcW w:w="1520" w:type="dxa"/>
            <w:vAlign w:val="bottom"/>
          </w:tcPr>
          <w:p>
            <w:pPr>
              <w:spacing w:after="0"/>
              <w:rPr>
                <w:sz w:val="13"/>
                <w:szCs w:val="13"/>
                <w:color w:val="auto"/>
              </w:rPr>
            </w:pPr>
          </w:p>
        </w:tc>
        <w:tc>
          <w:tcPr>
            <w:tcW w:w="8900" w:type="dxa"/>
            <w:vAlign w:val="bottom"/>
            <w:tcBorders>
              <w:top w:val="single" w:sz="8" w:color="0000FF"/>
              <w:bottom w:val="single" w:sz="8" w:color="0000FF"/>
            </w:tcBorders>
            <w:gridSpan w:val="11"/>
          </w:tcPr>
          <w:p>
            <w:pPr>
              <w:spacing w:after="0" w:line="152" w:lineRule="exact"/>
              <w:rPr>
                <w:rFonts w:ascii="Arial" w:cs="Arial" w:eastAsia="Arial" w:hAnsi="Arial"/>
                <w:sz w:val="16"/>
                <w:szCs w:val="16"/>
                <w:color w:val="0000FF"/>
                <w:w w:val="99"/>
              </w:rPr>
            </w:pPr>
            <w:hyperlink r:id="rId137">
              <w:r>
                <w:rPr>
                  <w:rFonts w:ascii="Arial" w:cs="Arial" w:eastAsia="Arial" w:hAnsi="Arial"/>
                  <w:sz w:val="16"/>
                  <w:szCs w:val="16"/>
                  <w:color w:val="0000FF"/>
                  <w:w w:val="99"/>
                </w:rPr>
                <w:t>4.</w:t>
              </w:r>
              <w:r>
                <w:rPr>
                  <w:rFonts w:ascii="Arial" w:cs="Arial" w:eastAsia="Arial" w:hAnsi="Arial"/>
                  <w:sz w:val="16"/>
                  <w:szCs w:val="16"/>
                  <w:u w:val="single" w:color="auto"/>
                  <w:color w:val="0000FF"/>
                  <w:w w:val="99"/>
                </w:rPr>
                <w:t>1</w:t>
              </w:r>
              <w:r>
                <w:rPr>
                  <w:rFonts w:ascii="Arial" w:cs="Arial" w:eastAsia="Arial" w:hAnsi="Arial"/>
                  <w:sz w:val="16"/>
                  <w:szCs w:val="16"/>
                  <w:color w:val="0000FF"/>
                  <w:w w:val="99"/>
                </w:rPr>
                <w:t xml:space="preserve"> to Westlake Chemical Partners' Annual Report on Form 10-K for the year ended December 31, 2019, File No. 001-36567).</w:t>
              </w:r>
            </w:hyperlink>
          </w:p>
        </w:tc>
        <w:tc>
          <w:tcPr>
            <w:tcW w:w="720" w:type="dxa"/>
            <w:vAlign w:val="bottom"/>
            <w:tcBorders>
              <w:top w:val="single" w:sz="8" w:color="0000FF"/>
            </w:tcBorders>
            <w:gridSpan w:val="17"/>
          </w:tcPr>
          <w:p>
            <w:pPr>
              <w:spacing w:after="0"/>
              <w:rPr>
                <w:sz w:val="13"/>
                <w:szCs w:val="13"/>
                <w:color w:val="auto"/>
              </w:rPr>
            </w:pPr>
          </w:p>
        </w:tc>
        <w:tc>
          <w:tcPr>
            <w:tcW w:w="20" w:type="dxa"/>
            <w:vAlign w:val="bottom"/>
          </w:tcPr>
          <w:p>
            <w:pPr>
              <w:spacing w:after="0"/>
              <w:rPr>
                <w:sz w:val="13"/>
                <w:szCs w:val="13"/>
                <w:color w:val="auto"/>
              </w:rPr>
            </w:pPr>
          </w:p>
        </w:tc>
      </w:tr>
      <w:tr>
        <w:trPr>
          <w:trHeight w:val="269"/>
        </w:trPr>
        <w:tc>
          <w:tcPr>
            <w:tcW w:w="1520" w:type="dxa"/>
            <w:vAlign w:val="bottom"/>
          </w:tcPr>
          <w:p>
            <w:pPr>
              <w:jc w:val="right"/>
              <w:ind w:right="1213"/>
              <w:spacing w:after="0"/>
              <w:rPr>
                <w:sz w:val="20"/>
                <w:szCs w:val="20"/>
                <w:color w:val="auto"/>
              </w:rPr>
            </w:pPr>
            <w:r>
              <w:rPr>
                <w:rFonts w:ascii="Arial" w:cs="Arial" w:eastAsia="Arial" w:hAnsi="Arial"/>
                <w:sz w:val="18"/>
                <w:szCs w:val="18"/>
                <w:color w:val="auto"/>
                <w:w w:val="79"/>
              </w:rPr>
              <w:t>4.2</w:t>
            </w:r>
          </w:p>
        </w:tc>
        <w:tc>
          <w:tcPr>
            <w:tcW w:w="9020" w:type="dxa"/>
            <w:vAlign w:val="bottom"/>
            <w:tcBorders>
              <w:bottom w:val="single" w:sz="8" w:color="0000FF"/>
            </w:tcBorders>
            <w:gridSpan w:val="12"/>
          </w:tcPr>
          <w:p>
            <w:pPr>
              <w:spacing w:after="0"/>
              <w:rPr>
                <w:rFonts w:ascii="Arial" w:cs="Arial" w:eastAsia="Arial" w:hAnsi="Arial"/>
                <w:sz w:val="18"/>
                <w:szCs w:val="18"/>
                <w:color w:val="0000FF"/>
                <w:w w:val="87"/>
              </w:rPr>
            </w:pPr>
            <w:hyperlink r:id="rId138">
              <w:r>
                <w:rPr>
                  <w:rFonts w:ascii="Arial" w:cs="Arial" w:eastAsia="Arial" w:hAnsi="Arial"/>
                  <w:sz w:val="18"/>
                  <w:szCs w:val="18"/>
                  <w:color w:val="0000FF"/>
                  <w:w w:val="87"/>
                </w:rPr>
                <w:t>Indenture dated as of January 1, 2006 by and among Westlake Corporation, the potential subsidiary guarantors listed therein and</w:t>
              </w:r>
            </w:hyperlink>
          </w:p>
        </w:tc>
        <w:tc>
          <w:tcPr>
            <w:tcW w:w="620" w:type="dxa"/>
            <w:vAlign w:val="bottom"/>
            <w:gridSpan w:val="17"/>
          </w:tcPr>
          <w:p>
            <w:pPr>
              <w:spacing w:after="0"/>
              <w:rPr>
                <w:sz w:val="23"/>
                <w:szCs w:val="23"/>
                <w:color w:val="auto"/>
              </w:rPr>
            </w:pPr>
          </w:p>
        </w:tc>
      </w:tr>
      <w:tr>
        <w:trPr>
          <w:trHeight w:val="151"/>
        </w:trPr>
        <w:tc>
          <w:tcPr>
            <w:tcW w:w="1520" w:type="dxa"/>
            <w:vAlign w:val="bottom"/>
          </w:tcPr>
          <w:p>
            <w:pPr>
              <w:spacing w:after="0"/>
              <w:rPr>
                <w:sz w:val="13"/>
                <w:szCs w:val="13"/>
                <w:color w:val="auto"/>
              </w:rPr>
            </w:pPr>
          </w:p>
        </w:tc>
        <w:tc>
          <w:tcPr>
            <w:tcW w:w="9640" w:type="dxa"/>
            <w:vAlign w:val="bottom"/>
            <w:gridSpan w:val="29"/>
          </w:tcPr>
          <w:p>
            <w:pPr>
              <w:spacing w:after="0" w:line="152" w:lineRule="exact"/>
              <w:rPr>
                <w:rFonts w:ascii="Arial" w:cs="Arial" w:eastAsia="Arial" w:hAnsi="Arial"/>
                <w:sz w:val="16"/>
                <w:szCs w:val="16"/>
                <w:color w:val="0000FF"/>
              </w:rPr>
            </w:pPr>
            <w:hyperlink r:id="rId138">
              <w:r>
                <w:rPr>
                  <w:rFonts w:ascii="Arial" w:cs="Arial" w:eastAsia="Arial" w:hAnsi="Arial"/>
                  <w:sz w:val="16"/>
                  <w:szCs w:val="16"/>
                  <w:color w:val="0000FF"/>
                </w:rPr>
                <w:t>JPMorgan Chase Bank, National Association, as trustee (incorporated by reference to Exhibit 4.1 to Westlake Corporation's Current</w:t>
              </w:r>
            </w:hyperlink>
          </w:p>
        </w:tc>
      </w:tr>
      <w:tr>
        <w:trPr>
          <w:trHeight w:val="151"/>
        </w:trPr>
        <w:tc>
          <w:tcPr>
            <w:tcW w:w="1520" w:type="dxa"/>
            <w:vAlign w:val="bottom"/>
          </w:tcPr>
          <w:p>
            <w:pPr>
              <w:spacing w:after="0"/>
              <w:rPr>
                <w:sz w:val="13"/>
                <w:szCs w:val="13"/>
                <w:color w:val="auto"/>
              </w:rPr>
            </w:pPr>
          </w:p>
        </w:tc>
        <w:tc>
          <w:tcPr>
            <w:tcW w:w="4720" w:type="dxa"/>
            <w:vAlign w:val="bottom"/>
            <w:tcBorders>
              <w:top w:val="single" w:sz="8" w:color="0000FF"/>
              <w:bottom w:val="single" w:sz="8" w:color="0000FF"/>
            </w:tcBorders>
            <w:gridSpan w:val="3"/>
          </w:tcPr>
          <w:p>
            <w:pPr>
              <w:spacing w:after="0" w:line="152" w:lineRule="exact"/>
              <w:rPr>
                <w:rFonts w:ascii="Arial" w:cs="Arial" w:eastAsia="Arial" w:hAnsi="Arial"/>
                <w:sz w:val="16"/>
                <w:szCs w:val="16"/>
                <w:color w:val="0000FF"/>
              </w:rPr>
            </w:pPr>
            <w:hyperlink r:id="rId138">
              <w:r>
                <w:rPr>
                  <w:rFonts w:ascii="Arial" w:cs="Arial" w:eastAsia="Arial" w:hAnsi="Arial"/>
                  <w:sz w:val="16"/>
                  <w:szCs w:val="16"/>
                  <w:color w:val="0000FF"/>
                </w:rPr>
                <w:t>Report on Form 8-K, filed on January 13, 2006, File No. 1-32260).</w:t>
              </w:r>
            </w:hyperlink>
          </w:p>
        </w:tc>
        <w:tc>
          <w:tcPr>
            <w:tcW w:w="4540" w:type="dxa"/>
            <w:vAlign w:val="bottom"/>
            <w:tcBorders>
              <w:top w:val="single" w:sz="8" w:color="0000FF"/>
            </w:tcBorders>
            <w:gridSpan w:val="14"/>
          </w:tcPr>
          <w:p>
            <w:pPr>
              <w:spacing w:after="0"/>
              <w:rPr>
                <w:sz w:val="13"/>
                <w:szCs w:val="13"/>
                <w:color w:val="auto"/>
              </w:rPr>
            </w:pPr>
          </w:p>
        </w:tc>
        <w:tc>
          <w:tcPr>
            <w:tcW w:w="10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1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r>
      <w:tr>
        <w:trPr>
          <w:trHeight w:val="269"/>
        </w:trPr>
        <w:tc>
          <w:tcPr>
            <w:tcW w:w="1520" w:type="dxa"/>
            <w:vAlign w:val="bottom"/>
          </w:tcPr>
          <w:p>
            <w:pPr>
              <w:jc w:val="right"/>
              <w:ind w:right="1213"/>
              <w:spacing w:after="0"/>
              <w:rPr>
                <w:sz w:val="20"/>
                <w:szCs w:val="20"/>
                <w:color w:val="auto"/>
              </w:rPr>
            </w:pPr>
            <w:r>
              <w:rPr>
                <w:rFonts w:ascii="Arial" w:cs="Arial" w:eastAsia="Arial" w:hAnsi="Arial"/>
                <w:sz w:val="18"/>
                <w:szCs w:val="18"/>
                <w:color w:val="auto"/>
                <w:w w:val="79"/>
              </w:rPr>
              <w:t>4.3</w:t>
            </w:r>
          </w:p>
        </w:tc>
        <w:tc>
          <w:tcPr>
            <w:tcW w:w="9640" w:type="dxa"/>
            <w:vAlign w:val="bottom"/>
            <w:gridSpan w:val="29"/>
          </w:tcPr>
          <w:p>
            <w:pPr>
              <w:spacing w:after="0"/>
              <w:rPr>
                <w:rFonts w:ascii="Arial" w:cs="Arial" w:eastAsia="Arial" w:hAnsi="Arial"/>
                <w:sz w:val="18"/>
                <w:szCs w:val="18"/>
                <w:color w:val="0000FF"/>
                <w:w w:val="89"/>
              </w:rPr>
            </w:pPr>
            <w:hyperlink r:id="rId139">
              <w:r>
                <w:rPr>
                  <w:rFonts w:ascii="Arial" w:cs="Arial" w:eastAsia="Arial" w:hAnsi="Arial"/>
                  <w:sz w:val="18"/>
                  <w:szCs w:val="18"/>
                  <w:color w:val="0000FF"/>
                  <w:w w:val="89"/>
                </w:rPr>
                <w:t>Sixth Supplemental Indenture, dated as of July 17, 2012, among Westlake Corporation, the Subsidiary Guarantors (as defined therein)</w:t>
              </w:r>
            </w:hyperlink>
          </w:p>
        </w:tc>
      </w:tr>
      <w:tr>
        <w:trPr>
          <w:trHeight w:val="151"/>
        </w:trPr>
        <w:tc>
          <w:tcPr>
            <w:tcW w:w="1520" w:type="dxa"/>
            <w:vAlign w:val="bottom"/>
          </w:tcPr>
          <w:p>
            <w:pPr>
              <w:spacing w:after="0"/>
              <w:rPr>
                <w:sz w:val="13"/>
                <w:szCs w:val="13"/>
                <w:color w:val="auto"/>
              </w:rPr>
            </w:pPr>
          </w:p>
        </w:tc>
        <w:tc>
          <w:tcPr>
            <w:tcW w:w="9400" w:type="dxa"/>
            <w:vAlign w:val="bottom"/>
            <w:tcBorders>
              <w:top w:val="single" w:sz="8" w:color="0000FF"/>
              <w:bottom w:val="single" w:sz="8" w:color="0000FF"/>
            </w:tcBorders>
            <w:gridSpan w:val="22"/>
          </w:tcPr>
          <w:p>
            <w:pPr>
              <w:spacing w:after="0" w:line="152" w:lineRule="exact"/>
              <w:rPr>
                <w:rFonts w:ascii="Arial" w:cs="Arial" w:eastAsia="Arial" w:hAnsi="Arial"/>
                <w:sz w:val="16"/>
                <w:szCs w:val="16"/>
                <w:color w:val="0000FF"/>
                <w:w w:val="98"/>
              </w:rPr>
            </w:pPr>
            <w:hyperlink r:id="rId139">
              <w:r>
                <w:rPr>
                  <w:rFonts w:ascii="Arial" w:cs="Arial" w:eastAsia="Arial" w:hAnsi="Arial"/>
                  <w:sz w:val="16"/>
                  <w:szCs w:val="16"/>
                  <w:color w:val="0000FF"/>
                  <w:w w:val="98"/>
                </w:rPr>
                <w:t>and The Bank of New York Mellon Trust Company, N.A., as trustee (incorporated by reference to Exhibit 4.2 to Westlake Corporation's</w:t>
              </w:r>
            </w:hyperlink>
          </w:p>
        </w:tc>
        <w:tc>
          <w:tcPr>
            <w:tcW w:w="160" w:type="dxa"/>
            <w:vAlign w:val="bottom"/>
            <w:tcBorders>
              <w:bottom w:val="single" w:sz="8" w:color="0000FF"/>
            </w:tcBorders>
            <w:gridSpan w:val="3"/>
          </w:tcPr>
          <w:p>
            <w:pPr>
              <w:spacing w:after="0"/>
              <w:rPr>
                <w:sz w:val="13"/>
                <w:szCs w:val="13"/>
                <w:color w:val="auto"/>
              </w:rPr>
            </w:pPr>
          </w:p>
        </w:tc>
        <w:tc>
          <w:tcPr>
            <w:tcW w:w="80" w:type="dxa"/>
            <w:vAlign w:val="bottom"/>
            <w:gridSpan w:val="4"/>
          </w:tcPr>
          <w:p>
            <w:pPr>
              <w:spacing w:after="0"/>
              <w:rPr>
                <w:sz w:val="13"/>
                <w:szCs w:val="13"/>
                <w:color w:val="auto"/>
              </w:rPr>
            </w:pPr>
          </w:p>
        </w:tc>
      </w:tr>
      <w:tr>
        <w:trPr>
          <w:trHeight w:val="151"/>
        </w:trPr>
        <w:tc>
          <w:tcPr>
            <w:tcW w:w="1520" w:type="dxa"/>
            <w:vAlign w:val="bottom"/>
          </w:tcPr>
          <w:p>
            <w:pPr>
              <w:spacing w:after="0"/>
              <w:rPr>
                <w:sz w:val="13"/>
                <w:szCs w:val="13"/>
                <w:color w:val="auto"/>
              </w:rPr>
            </w:pPr>
          </w:p>
        </w:tc>
        <w:tc>
          <w:tcPr>
            <w:tcW w:w="9560" w:type="dxa"/>
            <w:vAlign w:val="bottom"/>
            <w:gridSpan w:val="25"/>
          </w:tcPr>
          <w:p>
            <w:pPr>
              <w:spacing w:after="0" w:line="152" w:lineRule="exact"/>
              <w:rPr>
                <w:rFonts w:ascii="Arial" w:cs="Arial" w:eastAsia="Arial" w:hAnsi="Arial"/>
                <w:sz w:val="16"/>
                <w:szCs w:val="16"/>
                <w:color w:val="0000FF"/>
              </w:rPr>
            </w:pPr>
            <w:hyperlink r:id="rId139">
              <w:r>
                <w:rPr>
                  <w:rFonts w:ascii="Arial" w:cs="Arial" w:eastAsia="Arial" w:hAnsi="Arial"/>
                  <w:sz w:val="16"/>
                  <w:szCs w:val="16"/>
                  <w:color w:val="0000FF"/>
                </w:rPr>
                <w:t>Current Report on Form 8-K, filed on July 16, 2012, File No. 1-32260).</w:t>
              </w:r>
            </w:hyperlink>
          </w:p>
        </w:tc>
        <w:tc>
          <w:tcPr>
            <w:tcW w:w="80" w:type="dxa"/>
            <w:vAlign w:val="bottom"/>
            <w:gridSpan w:val="4"/>
          </w:tcPr>
          <w:p>
            <w:pPr>
              <w:spacing w:after="0"/>
              <w:rPr>
                <w:sz w:val="13"/>
                <w:szCs w:val="13"/>
                <w:color w:val="auto"/>
              </w:rPr>
            </w:pPr>
          </w:p>
        </w:tc>
      </w:tr>
      <w:tr>
        <w:trPr>
          <w:trHeight w:val="20"/>
        </w:trPr>
        <w:tc>
          <w:tcPr>
            <w:tcW w:w="1520" w:type="dxa"/>
            <w:vAlign w:val="bottom"/>
          </w:tcPr>
          <w:p>
            <w:pPr>
              <w:spacing w:after="0" w:line="20" w:lineRule="exact"/>
              <w:rPr>
                <w:sz w:val="1"/>
                <w:szCs w:val="1"/>
                <w:color w:val="auto"/>
              </w:rPr>
            </w:pPr>
          </w:p>
        </w:tc>
        <w:tc>
          <w:tcPr>
            <w:tcW w:w="5040" w:type="dxa"/>
            <w:vAlign w:val="bottom"/>
            <w:gridSpan w:val="4"/>
            <w:shd w:val="clear" w:color="auto" w:fill="0000FF"/>
          </w:tcPr>
          <w:p>
            <w:pPr>
              <w:spacing w:after="0" w:line="20" w:lineRule="exact"/>
              <w:rPr>
                <w:sz w:val="1"/>
                <w:szCs w:val="1"/>
                <w:color w:val="auto"/>
              </w:rPr>
            </w:pPr>
          </w:p>
        </w:tc>
        <w:tc>
          <w:tcPr>
            <w:tcW w:w="3060" w:type="dxa"/>
            <w:vAlign w:val="bottom"/>
            <w:gridSpan w:val="4"/>
          </w:tcPr>
          <w:p>
            <w:pPr>
              <w:spacing w:after="0" w:line="20" w:lineRule="exact"/>
              <w:rPr>
                <w:sz w:val="1"/>
                <w:szCs w:val="1"/>
                <w:color w:val="auto"/>
              </w:rPr>
            </w:pPr>
          </w:p>
        </w:tc>
        <w:tc>
          <w:tcPr>
            <w:tcW w:w="9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80" w:type="dxa"/>
            <w:vAlign w:val="bottom"/>
            <w:gridSpan w:val="9"/>
          </w:tcPr>
          <w:p>
            <w:pPr>
              <w:spacing w:after="0" w:line="20" w:lineRule="exact"/>
              <w:rPr>
                <w:sz w:val="1"/>
                <w:szCs w:val="1"/>
                <w:color w:val="auto"/>
              </w:rPr>
            </w:pPr>
          </w:p>
        </w:tc>
      </w:tr>
      <w:tr>
        <w:trPr>
          <w:trHeight w:val="269"/>
        </w:trPr>
        <w:tc>
          <w:tcPr>
            <w:tcW w:w="1520" w:type="dxa"/>
            <w:vAlign w:val="bottom"/>
          </w:tcPr>
          <w:p>
            <w:pPr>
              <w:jc w:val="right"/>
              <w:ind w:right="1213"/>
              <w:spacing w:after="0"/>
              <w:rPr>
                <w:sz w:val="20"/>
                <w:szCs w:val="20"/>
                <w:color w:val="auto"/>
              </w:rPr>
            </w:pPr>
            <w:r>
              <w:rPr>
                <w:rFonts w:ascii="Arial" w:cs="Arial" w:eastAsia="Arial" w:hAnsi="Arial"/>
                <w:sz w:val="18"/>
                <w:szCs w:val="18"/>
                <w:color w:val="auto"/>
                <w:w w:val="79"/>
              </w:rPr>
              <w:t>4.4</w:t>
            </w:r>
          </w:p>
        </w:tc>
        <w:tc>
          <w:tcPr>
            <w:tcW w:w="9640" w:type="dxa"/>
            <w:vAlign w:val="bottom"/>
            <w:gridSpan w:val="29"/>
          </w:tcPr>
          <w:p>
            <w:pPr>
              <w:spacing w:after="0"/>
              <w:rPr>
                <w:rFonts w:ascii="Arial" w:cs="Arial" w:eastAsia="Arial" w:hAnsi="Arial"/>
                <w:sz w:val="18"/>
                <w:szCs w:val="18"/>
                <w:color w:val="0000FF"/>
                <w:w w:val="89"/>
              </w:rPr>
            </w:pPr>
            <w:hyperlink r:id="rId140">
              <w:r>
                <w:rPr>
                  <w:rFonts w:ascii="Arial" w:cs="Arial" w:eastAsia="Arial" w:hAnsi="Arial"/>
                  <w:sz w:val="18"/>
                  <w:szCs w:val="18"/>
                  <w:color w:val="0000FF"/>
                  <w:w w:val="89"/>
                </w:rPr>
                <w:t>Seventh Supplemental Indenture, dated as of February 12, 2013, among Westlake Corporation, the Subsidiary Guarantors (as defined</w:t>
              </w:r>
            </w:hyperlink>
          </w:p>
        </w:tc>
      </w:tr>
      <w:tr>
        <w:trPr>
          <w:trHeight w:val="151"/>
        </w:trPr>
        <w:tc>
          <w:tcPr>
            <w:tcW w:w="1520" w:type="dxa"/>
            <w:vAlign w:val="bottom"/>
          </w:tcPr>
          <w:p>
            <w:pPr>
              <w:spacing w:after="0"/>
              <w:rPr>
                <w:sz w:val="13"/>
                <w:szCs w:val="13"/>
                <w:color w:val="auto"/>
              </w:rPr>
            </w:pPr>
          </w:p>
        </w:tc>
        <w:tc>
          <w:tcPr>
            <w:tcW w:w="9360" w:type="dxa"/>
            <w:vAlign w:val="bottom"/>
            <w:tcBorders>
              <w:top w:val="single" w:sz="8" w:color="0000FF"/>
            </w:tcBorders>
            <w:gridSpan w:val="20"/>
          </w:tcPr>
          <w:p>
            <w:pPr>
              <w:spacing w:after="0" w:line="152" w:lineRule="exact"/>
              <w:rPr>
                <w:rFonts w:ascii="Arial" w:cs="Arial" w:eastAsia="Arial" w:hAnsi="Arial"/>
                <w:sz w:val="16"/>
                <w:szCs w:val="16"/>
                <w:color w:val="0000FF"/>
              </w:rPr>
            </w:pPr>
            <w:hyperlink r:id="rId140">
              <w:r>
                <w:rPr>
                  <w:rFonts w:ascii="Arial" w:cs="Arial" w:eastAsia="Arial" w:hAnsi="Arial"/>
                  <w:sz w:val="16"/>
                  <w:szCs w:val="16"/>
                  <w:color w:val="0000FF"/>
                </w:rPr>
                <w:t>therein) and The Bank of New York Mellon Trust Company, N.A., as trustee (incorporated by reference to Exhibit 4.16 to Westlake</w:t>
              </w:r>
            </w:hyperlink>
          </w:p>
        </w:tc>
        <w:tc>
          <w:tcPr>
            <w:tcW w:w="280" w:type="dxa"/>
            <w:vAlign w:val="bottom"/>
            <w:gridSpan w:val="9"/>
          </w:tcPr>
          <w:p>
            <w:pPr>
              <w:spacing w:after="0"/>
              <w:rPr>
                <w:sz w:val="13"/>
                <w:szCs w:val="13"/>
                <w:color w:val="auto"/>
              </w:rPr>
            </w:pPr>
          </w:p>
        </w:tc>
      </w:tr>
      <w:tr>
        <w:trPr>
          <w:trHeight w:val="151"/>
        </w:trPr>
        <w:tc>
          <w:tcPr>
            <w:tcW w:w="1520" w:type="dxa"/>
            <w:vAlign w:val="bottom"/>
          </w:tcPr>
          <w:p>
            <w:pPr>
              <w:spacing w:after="0"/>
              <w:rPr>
                <w:sz w:val="13"/>
                <w:szCs w:val="13"/>
                <w:color w:val="auto"/>
              </w:rPr>
            </w:pPr>
          </w:p>
        </w:tc>
        <w:tc>
          <w:tcPr>
            <w:tcW w:w="9180" w:type="dxa"/>
            <w:vAlign w:val="bottom"/>
            <w:tcBorders>
              <w:top w:val="single" w:sz="8" w:color="0000FF"/>
              <w:bottom w:val="single" w:sz="8" w:color="0000FF"/>
            </w:tcBorders>
            <w:gridSpan w:val="15"/>
          </w:tcPr>
          <w:p>
            <w:pPr>
              <w:spacing w:after="0" w:line="152" w:lineRule="exact"/>
              <w:rPr>
                <w:rFonts w:ascii="Arial" w:cs="Arial" w:eastAsia="Arial" w:hAnsi="Arial"/>
                <w:sz w:val="16"/>
                <w:szCs w:val="16"/>
                <w:color w:val="0000FF"/>
              </w:rPr>
            </w:pPr>
            <w:hyperlink r:id="rId140">
              <w:r>
                <w:rPr>
                  <w:rFonts w:ascii="Arial" w:cs="Arial" w:eastAsia="Arial" w:hAnsi="Arial"/>
                  <w:sz w:val="16"/>
                  <w:szCs w:val="16"/>
                  <w:color w:val="0000FF"/>
                </w:rPr>
                <w:t>Corporation's Annual Report on Form 10-K for the year ended December 31, 2012, filed on February 22, 2013, File No. 1-32260).</w:t>
              </w:r>
            </w:hyperlink>
          </w:p>
        </w:tc>
        <w:tc>
          <w:tcPr>
            <w:tcW w:w="60" w:type="dxa"/>
            <w:vAlign w:val="bottom"/>
            <w:tcBorders>
              <w:top w:val="single" w:sz="8" w:color="0000FF"/>
            </w:tcBorders>
          </w:tcPr>
          <w:p>
            <w:pPr>
              <w:spacing w:after="0"/>
              <w:rPr>
                <w:sz w:val="13"/>
                <w:szCs w:val="13"/>
                <w:color w:val="auto"/>
              </w:rPr>
            </w:pPr>
          </w:p>
        </w:tc>
        <w:tc>
          <w:tcPr>
            <w:tcW w:w="400" w:type="dxa"/>
            <w:vAlign w:val="bottom"/>
            <w:gridSpan w:val="13"/>
          </w:tcPr>
          <w:p>
            <w:pPr>
              <w:spacing w:after="0"/>
              <w:rPr>
                <w:sz w:val="13"/>
                <w:szCs w:val="13"/>
                <w:color w:val="auto"/>
              </w:rPr>
            </w:pPr>
          </w:p>
        </w:tc>
      </w:tr>
      <w:tr>
        <w:trPr>
          <w:trHeight w:val="269"/>
        </w:trPr>
        <w:tc>
          <w:tcPr>
            <w:tcW w:w="1520" w:type="dxa"/>
            <w:vAlign w:val="bottom"/>
          </w:tcPr>
          <w:p>
            <w:pPr>
              <w:jc w:val="right"/>
              <w:ind w:right="1213"/>
              <w:spacing w:after="0"/>
              <w:rPr>
                <w:sz w:val="20"/>
                <w:szCs w:val="20"/>
                <w:color w:val="auto"/>
              </w:rPr>
            </w:pPr>
            <w:r>
              <w:rPr>
                <w:rFonts w:ascii="Arial" w:cs="Arial" w:eastAsia="Arial" w:hAnsi="Arial"/>
                <w:sz w:val="18"/>
                <w:szCs w:val="18"/>
                <w:color w:val="auto"/>
                <w:w w:val="79"/>
              </w:rPr>
              <w:t>4.5</w:t>
            </w:r>
          </w:p>
        </w:tc>
        <w:tc>
          <w:tcPr>
            <w:tcW w:w="9640" w:type="dxa"/>
            <w:vAlign w:val="bottom"/>
            <w:gridSpan w:val="29"/>
          </w:tcPr>
          <w:p>
            <w:pPr>
              <w:spacing w:after="0"/>
              <w:rPr>
                <w:rFonts w:ascii="Arial" w:cs="Arial" w:eastAsia="Arial" w:hAnsi="Arial"/>
                <w:sz w:val="18"/>
                <w:szCs w:val="18"/>
                <w:color w:val="0000FF"/>
                <w:w w:val="94"/>
              </w:rPr>
            </w:pPr>
            <w:hyperlink r:id="rId141">
              <w:r>
                <w:rPr>
                  <w:rFonts w:ascii="Arial" w:cs="Arial" w:eastAsia="Arial" w:hAnsi="Arial"/>
                  <w:sz w:val="18"/>
                  <w:szCs w:val="18"/>
                  <w:color w:val="0000FF"/>
                  <w:w w:val="94"/>
                </w:rPr>
                <w:t>Eighth Supplemental Indenture (including the form of the Notes), dated as of August 10, 2016, among Westlake Corporation, the</w:t>
              </w:r>
            </w:hyperlink>
          </w:p>
        </w:tc>
      </w:tr>
      <w:tr>
        <w:trPr>
          <w:trHeight w:val="20"/>
        </w:trPr>
        <w:tc>
          <w:tcPr>
            <w:tcW w:w="1520" w:type="dxa"/>
            <w:vAlign w:val="bottom"/>
          </w:tcPr>
          <w:p>
            <w:pPr>
              <w:spacing w:after="0" w:line="20" w:lineRule="exact"/>
              <w:rPr>
                <w:sz w:val="1"/>
                <w:szCs w:val="1"/>
                <w:color w:val="auto"/>
              </w:rPr>
            </w:pPr>
          </w:p>
        </w:tc>
        <w:tc>
          <w:tcPr>
            <w:tcW w:w="8100" w:type="dxa"/>
            <w:vAlign w:val="bottom"/>
            <w:gridSpan w:val="8"/>
            <w:shd w:val="clear" w:color="auto" w:fill="0000FF"/>
          </w:tcPr>
          <w:p>
            <w:pPr>
              <w:spacing w:after="0" w:line="20" w:lineRule="exact"/>
              <w:rPr>
                <w:sz w:val="1"/>
                <w:szCs w:val="1"/>
                <w:color w:val="auto"/>
              </w:rPr>
            </w:pPr>
          </w:p>
        </w:tc>
        <w:tc>
          <w:tcPr>
            <w:tcW w:w="960" w:type="dxa"/>
            <w:vAlign w:val="bottom"/>
            <w:gridSpan w:val="5"/>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15"/>
          </w:tcPr>
          <w:p>
            <w:pPr>
              <w:spacing w:after="0" w:line="20" w:lineRule="exact"/>
              <w:rPr>
                <w:sz w:val="1"/>
                <w:szCs w:val="1"/>
                <w:color w:val="auto"/>
              </w:rPr>
            </w:pPr>
          </w:p>
        </w:tc>
      </w:tr>
      <w:tr>
        <w:trPr>
          <w:trHeight w:val="151"/>
        </w:trPr>
        <w:tc>
          <w:tcPr>
            <w:tcW w:w="1520" w:type="dxa"/>
            <w:vAlign w:val="bottom"/>
          </w:tcPr>
          <w:p>
            <w:pPr>
              <w:spacing w:after="0"/>
              <w:rPr>
                <w:sz w:val="13"/>
                <w:szCs w:val="13"/>
                <w:color w:val="auto"/>
              </w:rPr>
            </w:pPr>
          </w:p>
        </w:tc>
        <w:tc>
          <w:tcPr>
            <w:tcW w:w="9640" w:type="dxa"/>
            <w:vAlign w:val="bottom"/>
            <w:gridSpan w:val="29"/>
          </w:tcPr>
          <w:p>
            <w:pPr>
              <w:spacing w:after="0" w:line="152" w:lineRule="exact"/>
              <w:rPr>
                <w:rFonts w:ascii="Arial" w:cs="Arial" w:eastAsia="Arial" w:hAnsi="Arial"/>
                <w:sz w:val="16"/>
                <w:szCs w:val="16"/>
                <w:color w:val="0000FF"/>
              </w:rPr>
            </w:pPr>
            <w:hyperlink r:id="rId141">
              <w:r>
                <w:rPr>
                  <w:rFonts w:ascii="Arial" w:cs="Arial" w:eastAsia="Arial" w:hAnsi="Arial"/>
                  <w:sz w:val="16"/>
                  <w:szCs w:val="16"/>
                  <w:color w:val="0000FF"/>
                </w:rPr>
                <w:t>Guarantors (as defined therein) and The Bank of New York Mellon Trust Company, N.A., as trustee (incorporated by reference to</w:t>
              </w:r>
            </w:hyperlink>
          </w:p>
        </w:tc>
      </w:tr>
      <w:tr>
        <w:trPr>
          <w:trHeight w:val="151"/>
        </w:trPr>
        <w:tc>
          <w:tcPr>
            <w:tcW w:w="1520" w:type="dxa"/>
            <w:vAlign w:val="bottom"/>
          </w:tcPr>
          <w:p>
            <w:pPr>
              <w:spacing w:after="0"/>
              <w:rPr>
                <w:sz w:val="13"/>
                <w:szCs w:val="13"/>
                <w:color w:val="auto"/>
              </w:rPr>
            </w:pPr>
          </w:p>
        </w:tc>
        <w:tc>
          <w:tcPr>
            <w:tcW w:w="9100" w:type="dxa"/>
            <w:vAlign w:val="bottom"/>
            <w:tcBorders>
              <w:top w:val="single" w:sz="8" w:color="0000FF"/>
            </w:tcBorders>
            <w:gridSpan w:val="14"/>
          </w:tcPr>
          <w:p>
            <w:pPr>
              <w:spacing w:after="0" w:line="152" w:lineRule="exact"/>
              <w:rPr>
                <w:rFonts w:ascii="Arial" w:cs="Arial" w:eastAsia="Arial" w:hAnsi="Arial"/>
                <w:sz w:val="16"/>
                <w:szCs w:val="16"/>
                <w:color w:val="0000FF"/>
              </w:rPr>
            </w:pPr>
            <w:hyperlink r:id="rId141">
              <w:r>
                <w:rPr>
                  <w:rFonts w:ascii="Arial" w:cs="Arial" w:eastAsia="Arial" w:hAnsi="Arial"/>
                  <w:sz w:val="16"/>
                  <w:szCs w:val="16"/>
                  <w:color w:val="0000FF"/>
                </w:rPr>
                <w:t>Exhibit 4.2 to Westlake Corporation's Current Report on Form 8-K, filed on August 10, 2016, File No. 001-32260).</w:t>
              </w:r>
            </w:hyperlink>
          </w:p>
        </w:tc>
        <w:tc>
          <w:tcPr>
            <w:tcW w:w="540" w:type="dxa"/>
            <w:vAlign w:val="bottom"/>
            <w:gridSpan w:val="15"/>
          </w:tcPr>
          <w:p>
            <w:pPr>
              <w:spacing w:after="0"/>
              <w:rPr>
                <w:sz w:val="13"/>
                <w:szCs w:val="13"/>
                <w:color w:val="auto"/>
              </w:rPr>
            </w:pPr>
          </w:p>
        </w:tc>
      </w:tr>
      <w:tr>
        <w:trPr>
          <w:trHeight w:val="20"/>
        </w:trPr>
        <w:tc>
          <w:tcPr>
            <w:tcW w:w="1520" w:type="dxa"/>
            <w:vAlign w:val="bottom"/>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18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93"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spacing w:after="0"/>
        <w:rPr>
          <w:sz w:val="20"/>
          <w:szCs w:val="20"/>
          <w:color w:val="auto"/>
        </w:rPr>
      </w:pPr>
      <w:r>
        <w:rPr>
          <w:rFonts w:ascii="Arial" w:cs="Arial" w:eastAsia="Arial" w:hAnsi="Arial"/>
          <w:sz w:val="15"/>
          <w:szCs w:val="15"/>
          <w:color w:val="auto"/>
        </w:rPr>
        <w:t>4.6</w:t>
      </w:r>
    </w:p>
    <w:p>
      <w:pPr>
        <w:spacing w:after="0" w:line="200" w:lineRule="exact"/>
        <w:rPr>
          <w:sz w:val="20"/>
          <w:szCs w:val="20"/>
          <w:color w:val="auto"/>
        </w:rPr>
      </w:pPr>
    </w:p>
    <w:p>
      <w:pPr>
        <w:spacing w:after="0" w:line="338" w:lineRule="exact"/>
        <w:rPr>
          <w:sz w:val="20"/>
          <w:szCs w:val="20"/>
          <w:color w:val="auto"/>
        </w:rPr>
      </w:pPr>
    </w:p>
    <w:p>
      <w:pPr>
        <w:ind w:left="20"/>
        <w:spacing w:after="0"/>
        <w:rPr>
          <w:sz w:val="20"/>
          <w:szCs w:val="20"/>
          <w:color w:val="auto"/>
        </w:rPr>
      </w:pPr>
      <w:r>
        <w:rPr>
          <w:rFonts w:ascii="Arial" w:cs="Arial" w:eastAsia="Arial" w:hAnsi="Arial"/>
          <w:sz w:val="15"/>
          <w:szCs w:val="15"/>
          <w:color w:val="auto"/>
        </w:rPr>
        <w:t>4.7</w:t>
      </w:r>
    </w:p>
    <w:p>
      <w:pPr>
        <w:spacing w:after="0" w:line="200" w:lineRule="exact"/>
        <w:rPr>
          <w:sz w:val="20"/>
          <w:szCs w:val="20"/>
          <w:color w:val="auto"/>
        </w:rPr>
      </w:pPr>
    </w:p>
    <w:p>
      <w:pPr>
        <w:spacing w:after="0" w:line="338" w:lineRule="exact"/>
        <w:rPr>
          <w:sz w:val="20"/>
          <w:szCs w:val="20"/>
          <w:color w:val="auto"/>
        </w:rPr>
      </w:pPr>
    </w:p>
    <w:p>
      <w:pPr>
        <w:ind w:left="20"/>
        <w:spacing w:after="0"/>
        <w:rPr>
          <w:sz w:val="20"/>
          <w:szCs w:val="20"/>
          <w:color w:val="auto"/>
        </w:rPr>
      </w:pPr>
      <w:r>
        <w:rPr>
          <w:rFonts w:ascii="Arial" w:cs="Arial" w:eastAsia="Arial" w:hAnsi="Arial"/>
          <w:sz w:val="15"/>
          <w:szCs w:val="15"/>
          <w:color w:val="auto"/>
        </w:rPr>
        <w:t>4.8</w:t>
      </w:r>
    </w:p>
    <w:p>
      <w:pPr>
        <w:spacing w:after="0" w:line="20" w:lineRule="exact"/>
        <w:rPr>
          <w:sz w:val="20"/>
          <w:szCs w:val="20"/>
          <w:color w:val="auto"/>
        </w:rPr>
      </w:pPr>
      <w:r>
        <w:rPr>
          <w:sz w:val="20"/>
          <w:szCs w:val="20"/>
          <w:color w:val="auto"/>
        </w:rPr>
        <w:br w:type="column"/>
      </w:r>
    </w:p>
    <w:p>
      <w:pPr>
        <w:ind w:right="480"/>
        <w:spacing w:after="0" w:line="309" w:lineRule="auto"/>
        <w:rPr>
          <w:rFonts w:ascii="Arial" w:cs="Arial" w:eastAsia="Arial" w:hAnsi="Arial"/>
          <w:sz w:val="15"/>
          <w:szCs w:val="15"/>
          <w:color w:val="0000FF"/>
        </w:rPr>
      </w:pPr>
      <w:hyperlink r:id="rId142">
        <w:r>
          <w:rPr>
            <w:rFonts w:ascii="Arial" w:cs="Arial" w:eastAsia="Arial" w:hAnsi="Arial"/>
            <w:sz w:val="15"/>
            <w:szCs w:val="15"/>
            <w:u w:val="single" w:color="auto"/>
            <w:color w:val="0000FF"/>
          </w:rPr>
          <w:t>Tenth Supplemental Indenture (including the form of the Notes), dated as of November 29, 2017, among Westlake Corporation, the</w:t>
        </w:r>
      </w:hyperlink>
      <w:r>
        <w:rPr>
          <w:rFonts w:ascii="Arial" w:cs="Arial" w:eastAsia="Arial" w:hAnsi="Arial"/>
          <w:sz w:val="15"/>
          <w:szCs w:val="15"/>
          <w:u w:val="single" w:color="auto"/>
          <w:color w:val="0000FF"/>
        </w:rPr>
        <w:t xml:space="preserve"> </w:t>
      </w:r>
      <w:hyperlink r:id="rId142">
        <w:r>
          <w:rPr>
            <w:rFonts w:ascii="Arial" w:cs="Arial" w:eastAsia="Arial" w:hAnsi="Arial"/>
            <w:sz w:val="15"/>
            <w:szCs w:val="15"/>
            <w:u w:val="single" w:color="auto"/>
            <w:color w:val="0000FF"/>
          </w:rPr>
          <w:t>Subsidiary Guarantors (as defined therein) and The Bank of New York Mellon Trust Company, N.A., as trustee (incorporated by</w:t>
        </w:r>
      </w:hyperlink>
      <w:r>
        <w:rPr>
          <w:rFonts w:ascii="Arial" w:cs="Arial" w:eastAsia="Arial" w:hAnsi="Arial"/>
          <w:sz w:val="15"/>
          <w:szCs w:val="15"/>
          <w:u w:val="single" w:color="auto"/>
          <w:color w:val="0000FF"/>
        </w:rPr>
        <w:t xml:space="preserve"> </w:t>
      </w:r>
      <w:hyperlink r:id="rId142">
        <w:r>
          <w:rPr>
            <w:rFonts w:ascii="Arial" w:cs="Arial" w:eastAsia="Arial" w:hAnsi="Arial"/>
            <w:sz w:val="15"/>
            <w:szCs w:val="15"/>
            <w:u w:val="single" w:color="auto"/>
            <w:color w:val="0000FF"/>
          </w:rPr>
          <w:t>reference to Exhibit 4.2 to Westlake Corporation's Current Report on Form 8-K, filed on November 28, 2017, File No. 001-32260)</w:t>
        </w:r>
      </w:hyperlink>
      <w:r>
        <w:rPr>
          <w:rFonts w:ascii="Arial" w:cs="Arial" w:eastAsia="Arial" w:hAnsi="Arial"/>
          <w:sz w:val="15"/>
          <w:szCs w:val="15"/>
          <w:color w:val="000000"/>
        </w:rPr>
        <w:t>.</w:t>
      </w:r>
    </w:p>
    <w:p>
      <w:pPr>
        <w:spacing w:after="0" w:line="44" w:lineRule="exact"/>
        <w:rPr>
          <w:rFonts w:ascii="Arial" w:cs="Arial" w:eastAsia="Arial" w:hAnsi="Arial"/>
          <w:sz w:val="15"/>
          <w:szCs w:val="15"/>
          <w:u w:val="single" w:color="auto"/>
          <w:color w:val="0000FF"/>
        </w:rPr>
      </w:pPr>
    </w:p>
    <w:p>
      <w:pPr>
        <w:ind w:right="240"/>
        <w:spacing w:after="0" w:line="282" w:lineRule="auto"/>
        <w:rPr>
          <w:rFonts w:ascii="Arial" w:cs="Arial" w:eastAsia="Arial" w:hAnsi="Arial"/>
          <w:sz w:val="16"/>
          <w:szCs w:val="16"/>
          <w:color w:val="0000FF"/>
        </w:rPr>
      </w:pPr>
      <w:hyperlink r:id="rId143">
        <w:r>
          <w:rPr>
            <w:rFonts w:ascii="Arial" w:cs="Arial" w:eastAsia="Arial" w:hAnsi="Arial"/>
            <w:sz w:val="16"/>
            <w:szCs w:val="16"/>
            <w:u w:val="single" w:color="auto"/>
            <w:color w:val="0000FF"/>
          </w:rPr>
          <w:t>Eleventh Supplemental Indenture (including the form of the Notes), dated as of November 28, 2017, among Westlake Corporation, the</w:t>
        </w:r>
      </w:hyperlink>
      <w:r>
        <w:rPr>
          <w:rFonts w:ascii="Arial" w:cs="Arial" w:eastAsia="Arial" w:hAnsi="Arial"/>
          <w:sz w:val="16"/>
          <w:szCs w:val="16"/>
          <w:u w:val="single" w:color="auto"/>
          <w:color w:val="0000FF"/>
        </w:rPr>
        <w:t xml:space="preserve"> </w:t>
      </w:r>
      <w:hyperlink r:id="rId143">
        <w:r>
          <w:rPr>
            <w:rFonts w:ascii="Arial" w:cs="Arial" w:eastAsia="Arial" w:hAnsi="Arial"/>
            <w:sz w:val="16"/>
            <w:szCs w:val="16"/>
            <w:u w:val="single" w:color="auto"/>
            <w:color w:val="0000FF"/>
          </w:rPr>
          <w:t>Subsidiary Guarantors (as defined therein) and The Bank of New York Mellon Trust Company, N.A., as trustee (incorporated by</w:t>
        </w:r>
      </w:hyperlink>
      <w:r>
        <w:rPr>
          <w:rFonts w:ascii="Arial" w:cs="Arial" w:eastAsia="Arial" w:hAnsi="Arial"/>
          <w:sz w:val="16"/>
          <w:szCs w:val="16"/>
          <w:u w:val="single" w:color="auto"/>
          <w:color w:val="0000FF"/>
        </w:rPr>
        <w:t xml:space="preserve"> </w:t>
      </w:r>
      <w:hyperlink r:id="rId143">
        <w:r>
          <w:rPr>
            <w:rFonts w:ascii="Arial" w:cs="Arial" w:eastAsia="Arial" w:hAnsi="Arial"/>
            <w:sz w:val="16"/>
            <w:szCs w:val="16"/>
            <w:u w:val="single" w:color="auto"/>
            <w:color w:val="0000FF"/>
          </w:rPr>
          <w:t>reference to Exhibit 4.3 to Westlake Corporation's Current Report on Form 8-K, filed on November 28, 2017, File No. 001-32260)</w:t>
        </w:r>
      </w:hyperlink>
      <w:r>
        <w:rPr>
          <w:rFonts w:ascii="Arial" w:cs="Arial" w:eastAsia="Arial" w:hAnsi="Arial"/>
          <w:sz w:val="16"/>
          <w:szCs w:val="16"/>
          <w:color w:val="000000"/>
        </w:rPr>
        <w:t>.</w:t>
      </w:r>
    </w:p>
    <w:p>
      <w:pPr>
        <w:spacing w:after="0" w:line="49" w:lineRule="exact"/>
        <w:rPr>
          <w:rFonts w:ascii="Arial" w:cs="Arial" w:eastAsia="Arial" w:hAnsi="Arial"/>
          <w:sz w:val="16"/>
          <w:szCs w:val="16"/>
          <w:u w:val="single" w:color="auto"/>
          <w:color w:val="0000FF"/>
        </w:rPr>
      </w:pPr>
    </w:p>
    <w:p>
      <w:pPr>
        <w:jc w:val="both"/>
        <w:ind w:right="420"/>
        <w:spacing w:after="0" w:line="218" w:lineRule="auto"/>
        <w:rPr>
          <w:rFonts w:ascii="Arial" w:cs="Arial" w:eastAsia="Arial" w:hAnsi="Arial"/>
          <w:sz w:val="18"/>
          <w:szCs w:val="18"/>
          <w:u w:val="single" w:color="auto"/>
          <w:color w:val="0000FF"/>
        </w:rPr>
      </w:pPr>
      <w:hyperlink r:id="rId144">
        <w:r>
          <w:rPr>
            <w:rFonts w:ascii="Arial" w:cs="Arial" w:eastAsia="Arial" w:hAnsi="Arial"/>
            <w:sz w:val="18"/>
            <w:szCs w:val="18"/>
            <w:u w:val="single" w:color="auto"/>
            <w:color w:val="0000FF"/>
          </w:rPr>
          <w:t>Registration Rights Agreement by and among Westlake Chemical Partners LP and the persons named therein, dated as of March 29,</w:t>
        </w:r>
      </w:hyperlink>
      <w:r>
        <w:rPr>
          <w:rFonts w:ascii="Arial" w:cs="Arial" w:eastAsia="Arial" w:hAnsi="Arial"/>
          <w:sz w:val="18"/>
          <w:szCs w:val="18"/>
          <w:u w:val="single" w:color="auto"/>
          <w:color w:val="0000FF"/>
        </w:rPr>
        <w:t xml:space="preserve"> </w:t>
      </w:r>
      <w:hyperlink r:id="rId144">
        <w:r>
          <w:rPr>
            <w:rFonts w:ascii="Arial" w:cs="Arial" w:eastAsia="Arial" w:hAnsi="Arial"/>
            <w:sz w:val="18"/>
            <w:szCs w:val="18"/>
            <w:u w:val="single" w:color="auto"/>
            <w:color w:val="0000FF"/>
          </w:rPr>
          <w:t>2019 (incorporated by reference to Exhibit 4.1 to Westlake Chemical Partners LP's Current Report on Form 8-K, filed on March 29,</w:t>
        </w:r>
      </w:hyperlink>
      <w:r>
        <w:rPr>
          <w:rFonts w:ascii="Arial" w:cs="Arial" w:eastAsia="Arial" w:hAnsi="Arial"/>
          <w:sz w:val="18"/>
          <w:szCs w:val="18"/>
          <w:u w:val="single" w:color="auto"/>
          <w:color w:val="0000FF"/>
        </w:rPr>
        <w:t xml:space="preserve"> </w:t>
      </w:r>
      <w:hyperlink r:id="rId144">
        <w:r>
          <w:rPr>
            <w:rFonts w:ascii="Arial" w:cs="Arial" w:eastAsia="Arial" w:hAnsi="Arial"/>
            <w:sz w:val="18"/>
            <w:szCs w:val="18"/>
            <w:u w:val="single" w:color="auto"/>
            <w:color w:val="0000FF"/>
          </w:rPr>
          <w:t>2019, File No. 001-36567).</w:t>
        </w:r>
      </w:hyperlink>
    </w:p>
    <w:p>
      <w:pPr>
        <w:spacing w:after="0" w:line="44" w:lineRule="exact"/>
        <w:rPr>
          <w:rFonts w:ascii="Arial" w:cs="Arial" w:eastAsia="Arial" w:hAnsi="Arial"/>
          <w:sz w:val="18"/>
          <w:szCs w:val="18"/>
          <w:u w:val="single" w:color="auto"/>
          <w:color w:val="0000FF"/>
        </w:rPr>
      </w:pPr>
    </w:p>
    <w:p>
      <w:pPr>
        <w:sectPr>
          <w:pgSz w:w="11900" w:h="16838" w:orient="portrait"/>
          <w:cols w:equalWidth="0" w:num="2">
            <w:col w:w="820" w:space="720"/>
            <w:col w:w="970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1540" w:type="dxa"/>
            <w:vAlign w:val="bottom"/>
          </w:tcPr>
          <w:p>
            <w:pPr>
              <w:jc w:val="right"/>
              <w:ind w:right="1212"/>
              <w:spacing w:after="0"/>
              <w:rPr>
                <w:sz w:val="20"/>
                <w:szCs w:val="20"/>
                <w:color w:val="auto"/>
              </w:rPr>
            </w:pPr>
            <w:r>
              <w:rPr>
                <w:rFonts w:ascii="Arial" w:cs="Arial" w:eastAsia="Arial" w:hAnsi="Arial"/>
                <w:sz w:val="18"/>
                <w:szCs w:val="18"/>
                <w:color w:val="auto"/>
                <w:w w:val="87"/>
              </w:rPr>
              <w:t>4.9</w:t>
            </w:r>
          </w:p>
        </w:tc>
        <w:tc>
          <w:tcPr>
            <w:tcW w:w="9700" w:type="dxa"/>
            <w:vAlign w:val="bottom"/>
            <w:gridSpan w:val="4"/>
          </w:tcPr>
          <w:p>
            <w:pPr>
              <w:spacing w:after="0"/>
              <w:rPr>
                <w:rFonts w:ascii="Arial" w:cs="Arial" w:eastAsia="Arial" w:hAnsi="Arial"/>
                <w:sz w:val="18"/>
                <w:szCs w:val="18"/>
                <w:color w:val="0000FF"/>
                <w:w w:val="91"/>
              </w:rPr>
            </w:pPr>
            <w:hyperlink r:id="rId145">
              <w:r>
                <w:rPr>
                  <w:rFonts w:ascii="Arial" w:cs="Arial" w:eastAsia="Arial" w:hAnsi="Arial"/>
                  <w:sz w:val="18"/>
                  <w:szCs w:val="18"/>
                  <w:color w:val="0000FF"/>
                  <w:w w:val="91"/>
                </w:rPr>
                <w:t>Twelfth Supplemental Indenture (including the form of the Notes), dated as of July 17, 2019, between Westlake Corporation and The</w:t>
              </w:r>
            </w:hyperlink>
          </w:p>
        </w:tc>
      </w:tr>
      <w:tr>
        <w:trPr>
          <w:trHeight w:val="151"/>
        </w:trPr>
        <w:tc>
          <w:tcPr>
            <w:tcW w:w="1540" w:type="dxa"/>
            <w:vAlign w:val="bottom"/>
          </w:tcPr>
          <w:p>
            <w:pPr>
              <w:spacing w:after="0"/>
              <w:rPr>
                <w:sz w:val="13"/>
                <w:szCs w:val="13"/>
                <w:color w:val="auto"/>
              </w:rPr>
            </w:pPr>
          </w:p>
        </w:tc>
        <w:tc>
          <w:tcPr>
            <w:tcW w:w="9340" w:type="dxa"/>
            <w:vAlign w:val="bottom"/>
            <w:tcBorders>
              <w:top w:val="single" w:sz="8" w:color="0000FF"/>
              <w:bottom w:val="single" w:sz="8" w:color="0000FF"/>
            </w:tcBorders>
            <w:gridSpan w:val="2"/>
          </w:tcPr>
          <w:p>
            <w:pPr>
              <w:spacing w:after="0" w:line="152" w:lineRule="exact"/>
              <w:rPr>
                <w:rFonts w:ascii="Arial" w:cs="Arial" w:eastAsia="Arial" w:hAnsi="Arial"/>
                <w:sz w:val="16"/>
                <w:szCs w:val="16"/>
                <w:color w:val="0000FF"/>
                <w:w w:val="99"/>
              </w:rPr>
            </w:pPr>
            <w:hyperlink r:id="rId145">
              <w:r>
                <w:rPr>
                  <w:rFonts w:ascii="Arial" w:cs="Arial" w:eastAsia="Arial" w:hAnsi="Arial"/>
                  <w:sz w:val="16"/>
                  <w:szCs w:val="16"/>
                  <w:color w:val="0000FF"/>
                  <w:w w:val="99"/>
                </w:rPr>
                <w:t>Bank of New York Mellon Trust Company, N.A., as trustee (incorporated by reference to Exhibit 4.2 to Westlake's Current Report on</w:t>
              </w:r>
            </w:hyperlink>
          </w:p>
        </w:tc>
        <w:tc>
          <w:tcPr>
            <w:tcW w:w="20" w:type="dxa"/>
            <w:vAlign w:val="bottom"/>
            <w:tcBorders>
              <w:bottom w:val="single" w:sz="8" w:color="0000FF"/>
            </w:tcBorders>
          </w:tcPr>
          <w:p>
            <w:pPr>
              <w:spacing w:after="0"/>
              <w:rPr>
                <w:sz w:val="13"/>
                <w:szCs w:val="13"/>
                <w:color w:val="auto"/>
              </w:rPr>
            </w:pPr>
          </w:p>
        </w:tc>
        <w:tc>
          <w:tcPr>
            <w:tcW w:w="340" w:type="dxa"/>
            <w:vAlign w:val="bottom"/>
          </w:tcPr>
          <w:p>
            <w:pPr>
              <w:spacing w:after="0"/>
              <w:rPr>
                <w:sz w:val="13"/>
                <w:szCs w:val="13"/>
                <w:color w:val="auto"/>
              </w:rPr>
            </w:pPr>
          </w:p>
        </w:tc>
      </w:tr>
      <w:tr>
        <w:trPr>
          <w:trHeight w:val="151"/>
        </w:trPr>
        <w:tc>
          <w:tcPr>
            <w:tcW w:w="1540" w:type="dxa"/>
            <w:vAlign w:val="bottom"/>
          </w:tcPr>
          <w:p>
            <w:pPr>
              <w:spacing w:after="0"/>
              <w:rPr>
                <w:sz w:val="13"/>
                <w:szCs w:val="13"/>
                <w:color w:val="auto"/>
              </w:rPr>
            </w:pPr>
          </w:p>
        </w:tc>
        <w:tc>
          <w:tcPr>
            <w:tcW w:w="9360" w:type="dxa"/>
            <w:vAlign w:val="bottom"/>
            <w:gridSpan w:val="3"/>
          </w:tcPr>
          <w:p>
            <w:pPr>
              <w:spacing w:after="0" w:line="152" w:lineRule="exact"/>
              <w:rPr>
                <w:rFonts w:ascii="Arial" w:cs="Arial" w:eastAsia="Arial" w:hAnsi="Arial"/>
                <w:sz w:val="16"/>
                <w:szCs w:val="16"/>
                <w:color w:val="0000FF"/>
              </w:rPr>
            </w:pPr>
            <w:hyperlink r:id="rId145">
              <w:r>
                <w:rPr>
                  <w:rFonts w:ascii="Arial" w:cs="Arial" w:eastAsia="Arial" w:hAnsi="Arial"/>
                  <w:sz w:val="16"/>
                  <w:szCs w:val="16"/>
                  <w:color w:val="0000FF"/>
                </w:rPr>
                <w:t>Form 8-K filed on July 17, 2019, File No. 1-32260)</w:t>
              </w:r>
              <w:r>
                <w:rPr>
                  <w:rFonts w:ascii="Arial" w:cs="Arial" w:eastAsia="Arial" w:hAnsi="Arial"/>
                  <w:sz w:val="16"/>
                  <w:szCs w:val="16"/>
                  <w:color w:val="000000"/>
                </w:rPr>
                <w:t>.</w:t>
              </w:r>
            </w:hyperlink>
          </w:p>
        </w:tc>
        <w:tc>
          <w:tcPr>
            <w:tcW w:w="340" w:type="dxa"/>
            <w:vAlign w:val="bottom"/>
          </w:tcPr>
          <w:p>
            <w:pPr>
              <w:spacing w:after="0"/>
              <w:rPr>
                <w:sz w:val="13"/>
                <w:szCs w:val="13"/>
                <w:color w:val="auto"/>
              </w:rPr>
            </w:pPr>
          </w:p>
        </w:tc>
      </w:tr>
      <w:tr>
        <w:trPr>
          <w:trHeight w:val="914"/>
        </w:trPr>
        <w:tc>
          <w:tcPr>
            <w:tcW w:w="1540" w:type="dxa"/>
            <w:vAlign w:val="bottom"/>
          </w:tcPr>
          <w:p>
            <w:pPr>
              <w:spacing w:after="0"/>
              <w:rPr>
                <w:sz w:val="24"/>
                <w:szCs w:val="24"/>
                <w:color w:val="auto"/>
              </w:rPr>
            </w:pPr>
          </w:p>
        </w:tc>
        <w:tc>
          <w:tcPr>
            <w:tcW w:w="3640" w:type="dxa"/>
            <w:vAlign w:val="bottom"/>
            <w:tcBorders>
              <w:top w:val="single" w:sz="8" w:color="0000FF"/>
            </w:tcBorders>
          </w:tcPr>
          <w:p>
            <w:pPr>
              <w:spacing w:after="0"/>
              <w:rPr>
                <w:sz w:val="24"/>
                <w:szCs w:val="24"/>
                <w:color w:val="auto"/>
              </w:rPr>
            </w:pPr>
          </w:p>
        </w:tc>
        <w:tc>
          <w:tcPr>
            <w:tcW w:w="5700" w:type="dxa"/>
            <w:vAlign w:val="bottom"/>
          </w:tcPr>
          <w:p>
            <w:pPr>
              <w:jc w:val="right"/>
              <w:ind w:right="5072"/>
              <w:spacing w:after="0"/>
              <w:rPr>
                <w:sz w:val="20"/>
                <w:szCs w:val="20"/>
                <w:color w:val="auto"/>
              </w:rPr>
            </w:pPr>
            <w:r>
              <w:rPr>
                <w:rFonts w:ascii="Arial" w:cs="Arial" w:eastAsia="Arial" w:hAnsi="Arial"/>
                <w:sz w:val="18"/>
                <w:szCs w:val="18"/>
                <w:color w:val="auto"/>
              </w:rPr>
              <w:t>89</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112"/>
        </w:trPr>
        <w:tc>
          <w:tcPr>
            <w:tcW w:w="1540" w:type="dxa"/>
            <w:vAlign w:val="bottom"/>
            <w:tcBorders>
              <w:bottom w:val="single" w:sz="8" w:color="9A9A9A"/>
            </w:tcBorders>
          </w:tcPr>
          <w:p>
            <w:pPr>
              <w:spacing w:after="0"/>
              <w:rPr>
                <w:sz w:val="9"/>
                <w:szCs w:val="9"/>
                <w:color w:val="auto"/>
              </w:rPr>
            </w:pPr>
          </w:p>
        </w:tc>
        <w:tc>
          <w:tcPr>
            <w:tcW w:w="3640" w:type="dxa"/>
            <w:vAlign w:val="bottom"/>
            <w:tcBorders>
              <w:bottom w:val="single" w:sz="8" w:color="9A9A9A"/>
            </w:tcBorders>
          </w:tcPr>
          <w:p>
            <w:pPr>
              <w:spacing w:after="0"/>
              <w:rPr>
                <w:sz w:val="9"/>
                <w:szCs w:val="9"/>
                <w:color w:val="auto"/>
              </w:rPr>
            </w:pPr>
          </w:p>
        </w:tc>
        <w:tc>
          <w:tcPr>
            <w:tcW w:w="57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3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5" w:name="page96"/>
    <w:bookmarkEnd w:id="9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540" w:type="dxa"/>
            <w:vAlign w:val="bottom"/>
          </w:tcPr>
          <w:p>
            <w:pPr>
              <w:ind w:left="320"/>
              <w:spacing w:after="0"/>
              <w:rPr>
                <w:sz w:val="20"/>
                <w:szCs w:val="20"/>
                <w:color w:val="auto"/>
              </w:rPr>
            </w:pPr>
            <w:r>
              <w:rPr>
                <w:rFonts w:ascii="Arial" w:cs="Arial" w:eastAsia="Arial" w:hAnsi="Arial"/>
                <w:sz w:val="16"/>
                <w:szCs w:val="16"/>
                <w:b w:val="1"/>
                <w:bCs w:val="1"/>
                <w:color w:val="auto"/>
              </w:rPr>
              <w:t>Exhibit No.</w:t>
            </w:r>
          </w:p>
        </w:tc>
        <w:tc>
          <w:tcPr>
            <w:tcW w:w="9700" w:type="dxa"/>
            <w:vAlign w:val="bottom"/>
            <w:gridSpan w:val="43"/>
          </w:tcPr>
          <w:p>
            <w:pPr>
              <w:ind w:left="120"/>
              <w:spacing w:after="0"/>
              <w:rPr>
                <w:sz w:val="20"/>
                <w:szCs w:val="20"/>
                <w:color w:val="auto"/>
              </w:rPr>
            </w:pPr>
            <w:r>
              <w:rPr>
                <w:rFonts w:ascii="Arial" w:cs="Arial" w:eastAsia="Arial" w:hAnsi="Arial"/>
                <w:sz w:val="16"/>
                <w:szCs w:val="16"/>
                <w:b w:val="1"/>
                <w:bCs w:val="1"/>
                <w:color w:val="auto"/>
              </w:rPr>
              <w:t>Description</w:t>
            </w:r>
          </w:p>
        </w:tc>
      </w:tr>
      <w:tr>
        <w:trPr>
          <w:trHeight w:val="191"/>
        </w:trPr>
        <w:tc>
          <w:tcPr>
            <w:tcW w:w="1540" w:type="dxa"/>
            <w:vAlign w:val="bottom"/>
          </w:tcPr>
          <w:p>
            <w:pPr>
              <w:ind w:left="20"/>
              <w:spacing w:after="0" w:line="191" w:lineRule="exact"/>
              <w:rPr>
                <w:sz w:val="20"/>
                <w:szCs w:val="20"/>
                <w:color w:val="auto"/>
              </w:rPr>
            </w:pPr>
            <w:r>
              <w:rPr>
                <w:rFonts w:ascii="Arial" w:cs="Arial" w:eastAsia="Arial" w:hAnsi="Arial"/>
                <w:sz w:val="18"/>
                <w:szCs w:val="18"/>
                <w:color w:val="auto"/>
              </w:rPr>
              <w:t>4.10</w:t>
            </w:r>
          </w:p>
        </w:tc>
        <w:tc>
          <w:tcPr>
            <w:tcW w:w="9120" w:type="dxa"/>
            <w:vAlign w:val="bottom"/>
            <w:tcBorders>
              <w:bottom w:val="single" w:sz="8" w:color="0000FF"/>
            </w:tcBorders>
            <w:gridSpan w:val="17"/>
          </w:tcPr>
          <w:p>
            <w:pPr>
              <w:spacing w:after="0" w:line="191" w:lineRule="exact"/>
              <w:rPr>
                <w:rFonts w:ascii="Arial" w:cs="Arial" w:eastAsia="Arial" w:hAnsi="Arial"/>
                <w:sz w:val="18"/>
                <w:szCs w:val="18"/>
                <w:color w:val="0000FF"/>
                <w:w w:val="88"/>
              </w:rPr>
            </w:pPr>
            <w:hyperlink r:id="rId148">
              <w:r>
                <w:rPr>
                  <w:rFonts w:ascii="Arial" w:cs="Arial" w:eastAsia="Arial" w:hAnsi="Arial"/>
                  <w:sz w:val="18"/>
                  <w:szCs w:val="18"/>
                  <w:color w:val="0000FF"/>
                  <w:w w:val="88"/>
                </w:rPr>
                <w:t>Paying Agency Agreement dated as of July 17, 2019, between Westlake Corporation and The Bank of New York Mellon, London</w:t>
              </w:r>
            </w:hyperlink>
          </w:p>
        </w:tc>
        <w:tc>
          <w:tcPr>
            <w:tcW w:w="580" w:type="dxa"/>
            <w:vAlign w:val="bottom"/>
            <w:gridSpan w:val="26"/>
          </w:tcPr>
          <w:p>
            <w:pPr>
              <w:spacing w:after="0"/>
              <w:rPr>
                <w:sz w:val="16"/>
                <w:szCs w:val="16"/>
                <w:color w:val="auto"/>
              </w:rPr>
            </w:pPr>
          </w:p>
        </w:tc>
      </w:tr>
      <w:tr>
        <w:trPr>
          <w:trHeight w:val="151"/>
        </w:trPr>
        <w:tc>
          <w:tcPr>
            <w:tcW w:w="1540" w:type="dxa"/>
            <w:vAlign w:val="bottom"/>
          </w:tcPr>
          <w:p>
            <w:pPr>
              <w:spacing w:after="0"/>
              <w:rPr>
                <w:sz w:val="13"/>
                <w:szCs w:val="13"/>
                <w:color w:val="auto"/>
              </w:rPr>
            </w:pPr>
          </w:p>
        </w:tc>
        <w:tc>
          <w:tcPr>
            <w:tcW w:w="9700" w:type="dxa"/>
            <w:vAlign w:val="bottom"/>
            <w:gridSpan w:val="43"/>
          </w:tcPr>
          <w:p>
            <w:pPr>
              <w:spacing w:after="0" w:line="152" w:lineRule="exact"/>
              <w:rPr>
                <w:rFonts w:ascii="Arial" w:cs="Arial" w:eastAsia="Arial" w:hAnsi="Arial"/>
                <w:sz w:val="16"/>
                <w:szCs w:val="16"/>
                <w:color w:val="0000FF"/>
              </w:rPr>
            </w:pPr>
            <w:hyperlink r:id="rId148">
              <w:r>
                <w:rPr>
                  <w:rFonts w:ascii="Arial" w:cs="Arial" w:eastAsia="Arial" w:hAnsi="Arial"/>
                  <w:sz w:val="16"/>
                  <w:szCs w:val="16"/>
                  <w:color w:val="0000FF"/>
                </w:rPr>
                <w:t>Branch, as paying agent (incorporated by reference to Exhibit 4.4 to Westlake's Current Report on Form 8-K, filed on July 17, 2019, File</w:t>
              </w:r>
            </w:hyperlink>
          </w:p>
        </w:tc>
      </w:tr>
      <w:tr>
        <w:trPr>
          <w:trHeight w:val="151"/>
        </w:trPr>
        <w:tc>
          <w:tcPr>
            <w:tcW w:w="1540" w:type="dxa"/>
            <w:vAlign w:val="bottom"/>
          </w:tcPr>
          <w:p>
            <w:pPr>
              <w:spacing w:after="0"/>
              <w:rPr>
                <w:sz w:val="13"/>
                <w:szCs w:val="13"/>
                <w:color w:val="auto"/>
              </w:rPr>
            </w:pPr>
          </w:p>
        </w:tc>
        <w:tc>
          <w:tcPr>
            <w:tcW w:w="1000" w:type="dxa"/>
            <w:vAlign w:val="bottom"/>
            <w:tcBorders>
              <w:top w:val="single" w:sz="8" w:color="0000FF"/>
              <w:bottom w:val="single" w:sz="8" w:color="0000FF"/>
            </w:tcBorders>
            <w:gridSpan w:val="2"/>
          </w:tcPr>
          <w:p>
            <w:pPr>
              <w:spacing w:after="0" w:line="152" w:lineRule="exact"/>
              <w:rPr>
                <w:rFonts w:ascii="Arial" w:cs="Arial" w:eastAsia="Arial" w:hAnsi="Arial"/>
                <w:sz w:val="16"/>
                <w:szCs w:val="16"/>
                <w:color w:val="0000FF"/>
              </w:rPr>
            </w:pPr>
            <w:hyperlink r:id="rId148">
              <w:r>
                <w:rPr>
                  <w:rFonts w:ascii="Arial" w:cs="Arial" w:eastAsia="Arial" w:hAnsi="Arial"/>
                  <w:sz w:val="16"/>
                  <w:szCs w:val="16"/>
                  <w:color w:val="0000FF"/>
                </w:rPr>
                <w:t>No. 1-32260).</w:t>
              </w:r>
            </w:hyperlink>
          </w:p>
        </w:tc>
        <w:tc>
          <w:tcPr>
            <w:tcW w:w="8620" w:type="dxa"/>
            <w:vAlign w:val="bottom"/>
            <w:tcBorders>
              <w:top w:val="single" w:sz="8" w:color="0000FF"/>
            </w:tcBorders>
            <w:gridSpan w:val="37"/>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9"/>
        </w:trPr>
        <w:tc>
          <w:tcPr>
            <w:tcW w:w="1540" w:type="dxa"/>
            <w:vAlign w:val="bottom"/>
          </w:tcPr>
          <w:p>
            <w:pPr>
              <w:ind w:left="20"/>
              <w:spacing w:after="0"/>
              <w:rPr>
                <w:sz w:val="20"/>
                <w:szCs w:val="20"/>
                <w:color w:val="auto"/>
              </w:rPr>
            </w:pPr>
            <w:r>
              <w:rPr>
                <w:rFonts w:ascii="Arial" w:cs="Arial" w:eastAsia="Arial" w:hAnsi="Arial"/>
                <w:sz w:val="18"/>
                <w:szCs w:val="18"/>
                <w:color w:val="auto"/>
              </w:rPr>
              <w:t>4.11</w:t>
            </w:r>
          </w:p>
        </w:tc>
        <w:tc>
          <w:tcPr>
            <w:tcW w:w="9700" w:type="dxa"/>
            <w:vAlign w:val="bottom"/>
            <w:gridSpan w:val="43"/>
          </w:tcPr>
          <w:p>
            <w:pPr>
              <w:spacing w:after="0"/>
              <w:rPr>
                <w:rFonts w:ascii="Arial" w:cs="Arial" w:eastAsia="Arial" w:hAnsi="Arial"/>
                <w:sz w:val="18"/>
                <w:szCs w:val="18"/>
                <w:color w:val="0000FF"/>
                <w:w w:val="91"/>
              </w:rPr>
            </w:pPr>
            <w:hyperlink r:id="rId149">
              <w:r>
                <w:rPr>
                  <w:rFonts w:ascii="Arial" w:cs="Arial" w:eastAsia="Arial" w:hAnsi="Arial"/>
                  <w:sz w:val="18"/>
                  <w:szCs w:val="18"/>
                  <w:color w:val="0000FF"/>
                  <w:w w:val="91"/>
                </w:rPr>
                <w:t>Thirteenth Supplemental Indenture (including the form of Notes), dated as of June 12, 2020, between Westlake Corporation and The</w:t>
              </w:r>
            </w:hyperlink>
          </w:p>
        </w:tc>
      </w:tr>
      <w:tr>
        <w:trPr>
          <w:trHeight w:val="151"/>
        </w:trPr>
        <w:tc>
          <w:tcPr>
            <w:tcW w:w="1540" w:type="dxa"/>
            <w:vAlign w:val="bottom"/>
          </w:tcPr>
          <w:p>
            <w:pPr>
              <w:spacing w:after="0"/>
              <w:rPr>
                <w:sz w:val="13"/>
                <w:szCs w:val="13"/>
                <w:color w:val="auto"/>
              </w:rPr>
            </w:pPr>
          </w:p>
        </w:tc>
        <w:tc>
          <w:tcPr>
            <w:tcW w:w="9300" w:type="dxa"/>
            <w:vAlign w:val="bottom"/>
            <w:tcBorders>
              <w:top w:val="single" w:sz="8" w:color="0000FF"/>
            </w:tcBorders>
            <w:gridSpan w:val="23"/>
          </w:tcPr>
          <w:p>
            <w:pPr>
              <w:spacing w:after="0" w:line="152" w:lineRule="exact"/>
              <w:rPr>
                <w:rFonts w:ascii="Arial" w:cs="Arial" w:eastAsia="Arial" w:hAnsi="Arial"/>
                <w:sz w:val="16"/>
                <w:szCs w:val="16"/>
                <w:color w:val="0000FF"/>
                <w:w w:val="99"/>
              </w:rPr>
            </w:pPr>
            <w:hyperlink r:id="rId149">
              <w:r>
                <w:rPr>
                  <w:rFonts w:ascii="Arial" w:cs="Arial" w:eastAsia="Arial" w:hAnsi="Arial"/>
                  <w:sz w:val="16"/>
                  <w:szCs w:val="16"/>
                  <w:color w:val="0000FF"/>
                  <w:w w:val="99"/>
                </w:rPr>
                <w:t>Bank of New Mellon Trust Company, N.A., as trustee (incorporated by reference to Westlake Corporation's Current Report on Form</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gridSpan w:val="16"/>
          </w:tcPr>
          <w:p>
            <w:pPr>
              <w:spacing w:after="0" w:line="152" w:lineRule="exact"/>
              <w:rPr>
                <w:rFonts w:ascii="Arial" w:cs="Arial" w:eastAsia="Arial" w:hAnsi="Arial"/>
                <w:sz w:val="16"/>
                <w:szCs w:val="16"/>
                <w:color w:val="0000FF"/>
              </w:rPr>
            </w:pPr>
            <w:hyperlink r:id="rId149">
              <w:r>
                <w:rPr>
                  <w:rFonts w:ascii="Arial" w:cs="Arial" w:eastAsia="Arial" w:hAnsi="Arial"/>
                  <w:sz w:val="16"/>
                  <w:szCs w:val="16"/>
                  <w:color w:val="0000FF"/>
                </w:rPr>
                <w:t>8-K</w:t>
              </w:r>
            </w:hyperlink>
          </w:p>
        </w:tc>
      </w:tr>
      <w:tr>
        <w:trPr>
          <w:trHeight w:val="151"/>
        </w:trPr>
        <w:tc>
          <w:tcPr>
            <w:tcW w:w="1540" w:type="dxa"/>
            <w:vAlign w:val="bottom"/>
          </w:tcPr>
          <w:p>
            <w:pPr>
              <w:spacing w:after="0"/>
              <w:rPr>
                <w:sz w:val="13"/>
                <w:szCs w:val="13"/>
                <w:color w:val="auto"/>
              </w:rPr>
            </w:pPr>
          </w:p>
        </w:tc>
        <w:tc>
          <w:tcPr>
            <w:tcW w:w="9640" w:type="dxa"/>
            <w:vAlign w:val="bottom"/>
            <w:tcBorders>
              <w:top w:val="single" w:sz="8" w:color="0000FF"/>
            </w:tcBorders>
            <w:gridSpan w:val="40"/>
          </w:tcPr>
          <w:p>
            <w:pPr>
              <w:spacing w:after="0" w:line="152" w:lineRule="exact"/>
              <w:rPr>
                <w:rFonts w:ascii="Arial" w:cs="Arial" w:eastAsia="Arial" w:hAnsi="Arial"/>
                <w:sz w:val="16"/>
                <w:szCs w:val="16"/>
                <w:color w:val="0000FF"/>
              </w:rPr>
            </w:pPr>
            <w:hyperlink r:id="rId149">
              <w:r>
                <w:rPr>
                  <w:rFonts w:ascii="Arial" w:cs="Arial" w:eastAsia="Arial" w:hAnsi="Arial"/>
                  <w:sz w:val="16"/>
                  <w:szCs w:val="16"/>
                  <w:color w:val="0000FF"/>
                </w:rPr>
                <w:t>filed on June 12, 2020, File No. 1-32260).</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2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9"/>
        </w:trPr>
        <w:tc>
          <w:tcPr>
            <w:tcW w:w="1540" w:type="dxa"/>
            <w:vAlign w:val="bottom"/>
          </w:tcPr>
          <w:p>
            <w:pPr>
              <w:ind w:left="20"/>
              <w:spacing w:after="0"/>
              <w:rPr>
                <w:sz w:val="20"/>
                <w:szCs w:val="20"/>
                <w:color w:val="auto"/>
              </w:rPr>
            </w:pPr>
            <w:r>
              <w:rPr>
                <w:rFonts w:ascii="Arial" w:cs="Arial" w:eastAsia="Arial" w:hAnsi="Arial"/>
                <w:sz w:val="18"/>
                <w:szCs w:val="18"/>
                <w:color w:val="auto"/>
              </w:rPr>
              <w:t>4.12</w:t>
            </w:r>
          </w:p>
        </w:tc>
        <w:tc>
          <w:tcPr>
            <w:tcW w:w="9580" w:type="dxa"/>
            <w:vAlign w:val="bottom"/>
            <w:tcBorders>
              <w:bottom w:val="single" w:sz="8" w:color="0000FF"/>
            </w:tcBorders>
            <w:gridSpan w:val="37"/>
          </w:tcPr>
          <w:p>
            <w:pPr>
              <w:spacing w:after="0"/>
              <w:rPr>
                <w:rFonts w:ascii="Arial" w:cs="Arial" w:eastAsia="Arial" w:hAnsi="Arial"/>
                <w:sz w:val="18"/>
                <w:szCs w:val="18"/>
                <w:color w:val="0000FF"/>
                <w:w w:val="88"/>
              </w:rPr>
            </w:pPr>
            <w:hyperlink r:id="rId150">
              <w:r>
                <w:rPr>
                  <w:rFonts w:ascii="Arial" w:cs="Arial" w:eastAsia="Arial" w:hAnsi="Arial"/>
                  <w:sz w:val="18"/>
                  <w:szCs w:val="18"/>
                  <w:color w:val="0000FF"/>
                  <w:w w:val="88"/>
                </w:rPr>
                <w:t>Fourteenth Supplemental Indenture (including the form of Notes), dated as of August 19, 2021, between Westlake Corporation and The</w:t>
              </w:r>
            </w:hyperlink>
          </w:p>
        </w:tc>
        <w:tc>
          <w:tcPr>
            <w:tcW w:w="120" w:type="dxa"/>
            <w:vAlign w:val="bottom"/>
            <w:gridSpan w:val="6"/>
          </w:tcPr>
          <w:p>
            <w:pPr>
              <w:spacing w:after="0"/>
              <w:rPr>
                <w:sz w:val="23"/>
                <w:szCs w:val="23"/>
                <w:color w:val="auto"/>
              </w:rPr>
            </w:pPr>
          </w:p>
        </w:tc>
      </w:tr>
      <w:tr>
        <w:trPr>
          <w:trHeight w:val="151"/>
        </w:trPr>
        <w:tc>
          <w:tcPr>
            <w:tcW w:w="1540" w:type="dxa"/>
            <w:vAlign w:val="bottom"/>
          </w:tcPr>
          <w:p>
            <w:pPr>
              <w:spacing w:after="0"/>
              <w:rPr>
                <w:sz w:val="13"/>
                <w:szCs w:val="13"/>
                <w:color w:val="auto"/>
              </w:rPr>
            </w:pPr>
          </w:p>
        </w:tc>
        <w:tc>
          <w:tcPr>
            <w:tcW w:w="9700" w:type="dxa"/>
            <w:vAlign w:val="bottom"/>
            <w:gridSpan w:val="43"/>
          </w:tcPr>
          <w:p>
            <w:pPr>
              <w:spacing w:after="0" w:line="152" w:lineRule="exact"/>
              <w:rPr>
                <w:rFonts w:ascii="Arial" w:cs="Arial" w:eastAsia="Arial" w:hAnsi="Arial"/>
                <w:sz w:val="16"/>
                <w:szCs w:val="16"/>
                <w:color w:val="0000FF"/>
              </w:rPr>
            </w:pPr>
            <w:hyperlink r:id="rId150">
              <w:r>
                <w:rPr>
                  <w:rFonts w:ascii="Arial" w:cs="Arial" w:eastAsia="Arial" w:hAnsi="Arial"/>
                  <w:sz w:val="16"/>
                  <w:szCs w:val="16"/>
                  <w:color w:val="0000FF"/>
                </w:rPr>
                <w:t>Bank of New Mellon Trust Company, N.A., as trustee (incorporated by reference to Westlake Corporation's Current Report on Form 8-K</w:t>
              </w:r>
            </w:hyperlink>
          </w:p>
        </w:tc>
      </w:tr>
      <w:tr>
        <w:trPr>
          <w:trHeight w:val="151"/>
        </w:trPr>
        <w:tc>
          <w:tcPr>
            <w:tcW w:w="1540" w:type="dxa"/>
            <w:vAlign w:val="bottom"/>
          </w:tcPr>
          <w:p>
            <w:pPr>
              <w:spacing w:after="0"/>
              <w:rPr>
                <w:sz w:val="13"/>
                <w:szCs w:val="13"/>
                <w:color w:val="auto"/>
              </w:rPr>
            </w:pPr>
          </w:p>
        </w:tc>
        <w:tc>
          <w:tcPr>
            <w:tcW w:w="3160" w:type="dxa"/>
            <w:vAlign w:val="bottom"/>
            <w:tcBorders>
              <w:top w:val="single" w:sz="8" w:color="0000FF"/>
              <w:bottom w:val="single" w:sz="8" w:color="0000FF"/>
            </w:tcBorders>
            <w:gridSpan w:val="7"/>
          </w:tcPr>
          <w:p>
            <w:pPr>
              <w:spacing w:after="0" w:line="152" w:lineRule="exact"/>
              <w:rPr>
                <w:rFonts w:ascii="Arial" w:cs="Arial" w:eastAsia="Arial" w:hAnsi="Arial"/>
                <w:sz w:val="16"/>
                <w:szCs w:val="16"/>
                <w:color w:val="0000FF"/>
              </w:rPr>
            </w:pPr>
            <w:hyperlink r:id="rId150">
              <w:r>
                <w:rPr>
                  <w:rFonts w:ascii="Arial" w:cs="Arial" w:eastAsia="Arial" w:hAnsi="Arial"/>
                  <w:sz w:val="16"/>
                  <w:szCs w:val="16"/>
                  <w:color w:val="0000FF"/>
                </w:rPr>
                <w:t>filed on August 19, 2021, File No. 1-32260).</w:t>
              </w:r>
            </w:hyperlink>
          </w:p>
        </w:tc>
        <w:tc>
          <w:tcPr>
            <w:tcW w:w="6480" w:type="dxa"/>
            <w:vAlign w:val="bottom"/>
            <w:tcBorders>
              <w:top w:val="single" w:sz="8" w:color="0000FF"/>
            </w:tcBorders>
            <w:gridSpan w:val="3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9"/>
        </w:trPr>
        <w:tc>
          <w:tcPr>
            <w:tcW w:w="1540" w:type="dxa"/>
            <w:vAlign w:val="bottom"/>
          </w:tcPr>
          <w:p>
            <w:pPr>
              <w:ind w:left="20"/>
              <w:spacing w:after="0"/>
              <w:rPr>
                <w:sz w:val="20"/>
                <w:szCs w:val="20"/>
                <w:color w:val="auto"/>
              </w:rPr>
            </w:pPr>
            <w:r>
              <w:rPr>
                <w:rFonts w:ascii="Arial" w:cs="Arial" w:eastAsia="Arial" w:hAnsi="Arial"/>
                <w:sz w:val="18"/>
                <w:szCs w:val="18"/>
                <w:color w:val="auto"/>
              </w:rPr>
              <w:t>10.1</w:t>
            </w:r>
          </w:p>
        </w:tc>
        <w:tc>
          <w:tcPr>
            <w:tcW w:w="9700" w:type="dxa"/>
            <w:vAlign w:val="bottom"/>
            <w:gridSpan w:val="43"/>
          </w:tcPr>
          <w:p>
            <w:pPr>
              <w:spacing w:after="0"/>
              <w:rPr>
                <w:rFonts w:ascii="Arial" w:cs="Arial" w:eastAsia="Arial" w:hAnsi="Arial"/>
                <w:sz w:val="18"/>
                <w:szCs w:val="18"/>
                <w:color w:val="0000FF"/>
                <w:w w:val="90"/>
              </w:rPr>
            </w:pPr>
            <w:hyperlink r:id="rId151">
              <w:r>
                <w:rPr>
                  <w:rFonts w:ascii="Arial" w:cs="Arial" w:eastAsia="Arial" w:hAnsi="Arial"/>
                  <w:sz w:val="18"/>
                  <w:szCs w:val="18"/>
                  <w:color w:val="0000FF"/>
                  <w:w w:val="90"/>
                </w:rPr>
                <w:t>Omnibus Agreement among Westlake Management Services, Inc., Westlake Vinyls Corporation, Westlake Chemical Partners GP LLC,</w:t>
              </w:r>
            </w:hyperlink>
          </w:p>
        </w:tc>
      </w:tr>
      <w:tr>
        <w:trPr>
          <w:trHeight w:val="151"/>
        </w:trPr>
        <w:tc>
          <w:tcPr>
            <w:tcW w:w="1540" w:type="dxa"/>
            <w:vAlign w:val="bottom"/>
          </w:tcPr>
          <w:p>
            <w:pPr>
              <w:spacing w:after="0"/>
              <w:rPr>
                <w:sz w:val="13"/>
                <w:szCs w:val="13"/>
                <w:color w:val="auto"/>
              </w:rPr>
            </w:pPr>
          </w:p>
        </w:tc>
        <w:tc>
          <w:tcPr>
            <w:tcW w:w="9560" w:type="dxa"/>
            <w:vAlign w:val="bottom"/>
            <w:tcBorders>
              <w:top w:val="single" w:sz="8" w:color="0000FF"/>
            </w:tcBorders>
            <w:gridSpan w:val="36"/>
          </w:tcPr>
          <w:p>
            <w:pPr>
              <w:spacing w:after="0" w:line="152" w:lineRule="exact"/>
              <w:rPr>
                <w:rFonts w:ascii="Arial" w:cs="Arial" w:eastAsia="Arial" w:hAnsi="Arial"/>
                <w:sz w:val="16"/>
                <w:szCs w:val="16"/>
                <w:color w:val="0000FF"/>
              </w:rPr>
            </w:pPr>
            <w:hyperlink r:id="rId151">
              <w:r>
                <w:rPr>
                  <w:rFonts w:ascii="Arial" w:cs="Arial" w:eastAsia="Arial" w:hAnsi="Arial"/>
                  <w:sz w:val="16"/>
                  <w:szCs w:val="16"/>
                  <w:color w:val="0000FF"/>
                </w:rPr>
                <w:t>Westlake Chemical Partners LP, WPT LLC, Westlake Petrochemicals LLC, Westlake Vinyls, Inc., Westlake Longview Corporation,</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1540" w:type="dxa"/>
            <w:vAlign w:val="bottom"/>
          </w:tcPr>
          <w:p>
            <w:pPr>
              <w:spacing w:after="0"/>
              <w:rPr>
                <w:sz w:val="13"/>
                <w:szCs w:val="13"/>
                <w:color w:val="auto"/>
              </w:rPr>
            </w:pPr>
          </w:p>
        </w:tc>
        <w:tc>
          <w:tcPr>
            <w:tcW w:w="9260" w:type="dxa"/>
            <w:vAlign w:val="bottom"/>
            <w:tcBorders>
              <w:top w:val="single" w:sz="8" w:color="0000FF"/>
              <w:bottom w:val="single" w:sz="8" w:color="0000FF"/>
            </w:tcBorders>
            <w:gridSpan w:val="21"/>
          </w:tcPr>
          <w:p>
            <w:pPr>
              <w:spacing w:after="0" w:line="152" w:lineRule="exact"/>
              <w:rPr>
                <w:rFonts w:ascii="Arial" w:cs="Arial" w:eastAsia="Arial" w:hAnsi="Arial"/>
                <w:sz w:val="16"/>
                <w:szCs w:val="16"/>
                <w:color w:val="0000FF"/>
                <w:w w:val="99"/>
              </w:rPr>
            </w:pPr>
            <w:hyperlink r:id="rId151">
              <w:r>
                <w:rPr>
                  <w:rFonts w:ascii="Arial" w:cs="Arial" w:eastAsia="Arial" w:hAnsi="Arial"/>
                  <w:sz w:val="16"/>
                  <w:szCs w:val="16"/>
                  <w:color w:val="0000FF"/>
                  <w:w w:val="99"/>
                </w:rPr>
                <w:t>Westlake Chemical OpCo GP LLC, Westlake Chemical OpCo LP, Westlake PVC Corporation, Westlake Styrene LLC and Westlake</w:t>
              </w:r>
            </w:hyperlink>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64"/>
        </w:trPr>
        <w:tc>
          <w:tcPr>
            <w:tcW w:w="1540" w:type="dxa"/>
            <w:vAlign w:val="bottom"/>
          </w:tcPr>
          <w:p>
            <w:pPr>
              <w:spacing w:after="0"/>
              <w:rPr>
                <w:sz w:val="14"/>
                <w:szCs w:val="14"/>
                <w:color w:val="auto"/>
              </w:rPr>
            </w:pPr>
          </w:p>
        </w:tc>
        <w:tc>
          <w:tcPr>
            <w:tcW w:w="9280" w:type="dxa"/>
            <w:vAlign w:val="bottom"/>
            <w:tcBorders>
              <w:bottom w:val="single" w:sz="8" w:color="0000FF"/>
            </w:tcBorders>
            <w:gridSpan w:val="22"/>
          </w:tcPr>
          <w:p>
            <w:pPr>
              <w:spacing w:after="0" w:line="164" w:lineRule="exact"/>
              <w:rPr>
                <w:rFonts w:ascii="Arial" w:cs="Arial" w:eastAsia="Arial" w:hAnsi="Arial"/>
                <w:sz w:val="18"/>
                <w:szCs w:val="18"/>
                <w:color w:val="0000FF"/>
                <w:w w:val="88"/>
              </w:rPr>
            </w:pPr>
            <w:hyperlink r:id="rId151">
              <w:r>
                <w:rPr>
                  <w:rFonts w:ascii="Arial" w:cs="Arial" w:eastAsia="Arial" w:hAnsi="Arial"/>
                  <w:sz w:val="18"/>
                  <w:szCs w:val="18"/>
                  <w:color w:val="0000FF"/>
                  <w:w w:val="88"/>
                </w:rPr>
                <w:t>Polymers LLC (incorporated by reference to Exhibit 10.1 to Westlake Chemical Partners LP's Current Report on Form 8-K (File No.</w:t>
              </w:r>
            </w:hyperlink>
          </w:p>
        </w:tc>
        <w:tc>
          <w:tcPr>
            <w:tcW w:w="40" w:type="dxa"/>
            <w:vAlign w:val="bottom"/>
            <w:tcBorders>
              <w:bottom w:val="single" w:sz="8" w:color="0000FF"/>
            </w:tcBorders>
            <w:gridSpan w:val="2"/>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51"/>
        </w:trPr>
        <w:tc>
          <w:tcPr>
            <w:tcW w:w="1540" w:type="dxa"/>
            <w:vAlign w:val="bottom"/>
          </w:tcPr>
          <w:p>
            <w:pPr>
              <w:spacing w:after="0"/>
              <w:rPr>
                <w:sz w:val="13"/>
                <w:szCs w:val="13"/>
                <w:color w:val="auto"/>
              </w:rPr>
            </w:pPr>
          </w:p>
        </w:tc>
        <w:tc>
          <w:tcPr>
            <w:tcW w:w="2640" w:type="dxa"/>
            <w:vAlign w:val="bottom"/>
            <w:tcBorders>
              <w:bottom w:val="single" w:sz="8" w:color="0000FF"/>
            </w:tcBorders>
            <w:gridSpan w:val="4"/>
          </w:tcPr>
          <w:p>
            <w:pPr>
              <w:spacing w:after="0" w:line="152" w:lineRule="exact"/>
              <w:rPr>
                <w:rFonts w:ascii="Arial" w:cs="Arial" w:eastAsia="Arial" w:hAnsi="Arial"/>
                <w:sz w:val="16"/>
                <w:szCs w:val="16"/>
                <w:color w:val="0000FF"/>
              </w:rPr>
            </w:pPr>
            <w:hyperlink r:id="rId151">
              <w:r>
                <w:rPr>
                  <w:rFonts w:ascii="Arial" w:cs="Arial" w:eastAsia="Arial" w:hAnsi="Arial"/>
                  <w:sz w:val="16"/>
                  <w:szCs w:val="16"/>
                  <w:color w:val="0000FF"/>
                </w:rPr>
                <w:t>001-36567) filed on August 8, 2014).</w:t>
              </w:r>
            </w:hyperlink>
          </w:p>
        </w:tc>
        <w:tc>
          <w:tcPr>
            <w:tcW w:w="6740" w:type="dxa"/>
            <w:vAlign w:val="bottom"/>
            <w:gridSpan w:val="2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9"/>
        </w:trPr>
        <w:tc>
          <w:tcPr>
            <w:tcW w:w="1540" w:type="dxa"/>
            <w:vAlign w:val="bottom"/>
          </w:tcPr>
          <w:p>
            <w:pPr>
              <w:ind w:left="20"/>
              <w:spacing w:after="0"/>
              <w:rPr>
                <w:sz w:val="20"/>
                <w:szCs w:val="20"/>
                <w:color w:val="auto"/>
              </w:rPr>
            </w:pPr>
            <w:r>
              <w:rPr>
                <w:rFonts w:ascii="Arial" w:cs="Arial" w:eastAsia="Arial" w:hAnsi="Arial"/>
                <w:sz w:val="18"/>
                <w:szCs w:val="18"/>
                <w:color w:val="auto"/>
              </w:rPr>
              <w:t>10.2</w:t>
            </w:r>
          </w:p>
        </w:tc>
        <w:tc>
          <w:tcPr>
            <w:tcW w:w="9700" w:type="dxa"/>
            <w:vAlign w:val="bottom"/>
            <w:gridSpan w:val="43"/>
          </w:tcPr>
          <w:p>
            <w:pPr>
              <w:spacing w:after="0"/>
              <w:rPr>
                <w:rFonts w:ascii="Arial" w:cs="Arial" w:eastAsia="Arial" w:hAnsi="Arial"/>
                <w:sz w:val="18"/>
                <w:szCs w:val="18"/>
                <w:color w:val="0000FF"/>
                <w:w w:val="92"/>
              </w:rPr>
            </w:pPr>
            <w:hyperlink r:id="rId152">
              <w:r>
                <w:rPr>
                  <w:rFonts w:ascii="Arial" w:cs="Arial" w:eastAsia="Arial" w:hAnsi="Arial"/>
                  <w:sz w:val="18"/>
                  <w:szCs w:val="18"/>
                  <w:color w:val="0000FF"/>
                  <w:w w:val="92"/>
                </w:rPr>
                <w:t>Services and Secondment Agreement by and among Westlake Chemical OpCo LP, Westlake Management Services, Inc., Westlake</w:t>
              </w:r>
            </w:hyperlink>
          </w:p>
        </w:tc>
      </w:tr>
      <w:tr>
        <w:trPr>
          <w:trHeight w:val="20"/>
        </w:trPr>
        <w:tc>
          <w:tcPr>
            <w:tcW w:w="15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51"/>
        </w:trPr>
        <w:tc>
          <w:tcPr>
            <w:tcW w:w="1540" w:type="dxa"/>
            <w:vAlign w:val="bottom"/>
          </w:tcPr>
          <w:p>
            <w:pPr>
              <w:spacing w:after="0"/>
              <w:rPr>
                <w:sz w:val="13"/>
                <w:szCs w:val="13"/>
                <w:color w:val="auto"/>
              </w:rPr>
            </w:pPr>
          </w:p>
        </w:tc>
        <w:tc>
          <w:tcPr>
            <w:tcW w:w="9700" w:type="dxa"/>
            <w:vAlign w:val="bottom"/>
            <w:gridSpan w:val="43"/>
          </w:tcPr>
          <w:p>
            <w:pPr>
              <w:spacing w:after="0" w:line="152" w:lineRule="exact"/>
              <w:rPr>
                <w:rFonts w:ascii="Arial" w:cs="Arial" w:eastAsia="Arial" w:hAnsi="Arial"/>
                <w:sz w:val="16"/>
                <w:szCs w:val="16"/>
                <w:color w:val="0000FF"/>
              </w:rPr>
            </w:pPr>
            <w:hyperlink r:id="rId152">
              <w:r>
                <w:rPr>
                  <w:rFonts w:ascii="Arial" w:cs="Arial" w:eastAsia="Arial" w:hAnsi="Arial"/>
                  <w:sz w:val="16"/>
                  <w:szCs w:val="16"/>
                  <w:color w:val="0000FF"/>
                </w:rPr>
                <w:t>Vinyls, Inc., WPT LLC and Westlake Petrochemicals LLC (incorporated by reference to Exhibit 10.2 to Westlake Chemical Partners</w:t>
              </w:r>
            </w:hyperlink>
          </w:p>
        </w:tc>
      </w:tr>
      <w:tr>
        <w:trPr>
          <w:trHeight w:val="151"/>
        </w:trPr>
        <w:tc>
          <w:tcPr>
            <w:tcW w:w="1540" w:type="dxa"/>
            <w:vAlign w:val="bottom"/>
          </w:tcPr>
          <w:p>
            <w:pPr>
              <w:spacing w:after="0"/>
              <w:rPr>
                <w:sz w:val="13"/>
                <w:szCs w:val="13"/>
                <w:color w:val="auto"/>
              </w:rPr>
            </w:pPr>
          </w:p>
        </w:tc>
        <w:tc>
          <w:tcPr>
            <w:tcW w:w="9360" w:type="dxa"/>
            <w:vAlign w:val="bottom"/>
            <w:tcBorders>
              <w:top w:val="single" w:sz="8" w:color="0000FF"/>
            </w:tcBorders>
            <w:gridSpan w:val="26"/>
          </w:tcPr>
          <w:p>
            <w:pPr>
              <w:spacing w:after="0" w:line="152" w:lineRule="exact"/>
              <w:rPr>
                <w:rFonts w:ascii="Arial" w:cs="Arial" w:eastAsia="Arial" w:hAnsi="Arial"/>
                <w:sz w:val="16"/>
                <w:szCs w:val="16"/>
                <w:color w:val="0000FF"/>
              </w:rPr>
            </w:pPr>
            <w:hyperlink r:id="rId152">
              <w:r>
                <w:rPr>
                  <w:rFonts w:ascii="Arial" w:cs="Arial" w:eastAsia="Arial" w:hAnsi="Arial"/>
                  <w:sz w:val="16"/>
                  <w:szCs w:val="16"/>
                  <w:color w:val="0000FF"/>
                </w:rPr>
                <w:t>LP's Current Report on Form 8-K (File No. 001-36567) filed on August 8, 2014).</w:t>
              </w:r>
            </w:hyperlink>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9"/>
        </w:trPr>
        <w:tc>
          <w:tcPr>
            <w:tcW w:w="1540" w:type="dxa"/>
            <w:vAlign w:val="bottom"/>
          </w:tcPr>
          <w:p>
            <w:pPr>
              <w:ind w:left="20"/>
              <w:spacing w:after="0"/>
              <w:rPr>
                <w:sz w:val="20"/>
                <w:szCs w:val="20"/>
                <w:color w:val="auto"/>
              </w:rPr>
            </w:pPr>
            <w:r>
              <w:rPr>
                <w:rFonts w:ascii="Arial" w:cs="Arial" w:eastAsia="Arial" w:hAnsi="Arial"/>
                <w:sz w:val="18"/>
                <w:szCs w:val="18"/>
                <w:color w:val="auto"/>
              </w:rPr>
              <w:t>10.3</w:t>
            </w:r>
          </w:p>
        </w:tc>
        <w:tc>
          <w:tcPr>
            <w:tcW w:w="9700" w:type="dxa"/>
            <w:vAlign w:val="bottom"/>
            <w:gridSpan w:val="43"/>
          </w:tcPr>
          <w:p>
            <w:pPr>
              <w:spacing w:after="0"/>
              <w:rPr>
                <w:rFonts w:ascii="Arial" w:cs="Arial" w:eastAsia="Arial" w:hAnsi="Arial"/>
                <w:sz w:val="18"/>
                <w:szCs w:val="18"/>
                <w:color w:val="0000FF"/>
                <w:w w:val="91"/>
              </w:rPr>
            </w:pPr>
            <w:hyperlink r:id="rId153">
              <w:r>
                <w:rPr>
                  <w:rFonts w:ascii="Arial" w:cs="Arial" w:eastAsia="Arial" w:hAnsi="Arial"/>
                  <w:sz w:val="18"/>
                  <w:szCs w:val="18"/>
                  <w:color w:val="0000FF"/>
                  <w:w w:val="91"/>
                </w:rPr>
                <w:t>Feedstock Supply Agreement between Westlake Petrochemicals LLC and Westlake Chemical OpCo LP (incorporated by reference to</w:t>
              </w:r>
            </w:hyperlink>
          </w:p>
        </w:tc>
      </w:tr>
      <w:tr>
        <w:trPr>
          <w:trHeight w:val="151"/>
        </w:trPr>
        <w:tc>
          <w:tcPr>
            <w:tcW w:w="1540" w:type="dxa"/>
            <w:vAlign w:val="bottom"/>
          </w:tcPr>
          <w:p>
            <w:pPr>
              <w:spacing w:after="0"/>
              <w:rPr>
                <w:sz w:val="13"/>
                <w:szCs w:val="13"/>
                <w:color w:val="auto"/>
              </w:rPr>
            </w:pPr>
          </w:p>
        </w:tc>
        <w:tc>
          <w:tcPr>
            <w:tcW w:w="9420" w:type="dxa"/>
            <w:vAlign w:val="bottom"/>
            <w:tcBorders>
              <w:top w:val="single" w:sz="8" w:color="0000FF"/>
            </w:tcBorders>
            <w:gridSpan w:val="29"/>
          </w:tcPr>
          <w:p>
            <w:pPr>
              <w:spacing w:after="0" w:line="152" w:lineRule="exact"/>
              <w:rPr>
                <w:rFonts w:ascii="Arial" w:cs="Arial" w:eastAsia="Arial" w:hAnsi="Arial"/>
                <w:sz w:val="16"/>
                <w:szCs w:val="16"/>
                <w:color w:val="0000FF"/>
              </w:rPr>
            </w:pPr>
            <w:hyperlink r:id="rId153">
              <w:r>
                <w:rPr>
                  <w:rFonts w:ascii="Arial" w:cs="Arial" w:eastAsia="Arial" w:hAnsi="Arial"/>
                  <w:sz w:val="16"/>
                  <w:szCs w:val="16"/>
                  <w:color w:val="0000FF"/>
                </w:rPr>
                <w:t>Exhibit 10.3 to Westlake Chemical Partners LP's Current Report on Form 8-K (File No. 001-36567) filed on August 8, 2014).</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660" w:type="dxa"/>
            <w:vAlign w:val="bottom"/>
            <w:gridSpan w:val="2"/>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9"/>
        </w:trPr>
        <w:tc>
          <w:tcPr>
            <w:tcW w:w="1540" w:type="dxa"/>
            <w:vAlign w:val="bottom"/>
          </w:tcPr>
          <w:p>
            <w:pPr>
              <w:ind w:left="20"/>
              <w:spacing w:after="0"/>
              <w:rPr>
                <w:sz w:val="20"/>
                <w:szCs w:val="20"/>
                <w:color w:val="auto"/>
              </w:rPr>
            </w:pPr>
            <w:r>
              <w:rPr>
                <w:rFonts w:ascii="Arial" w:cs="Arial" w:eastAsia="Arial" w:hAnsi="Arial"/>
                <w:sz w:val="18"/>
                <w:szCs w:val="18"/>
                <w:color w:val="auto"/>
              </w:rPr>
              <w:t>10.4††</w:t>
            </w:r>
          </w:p>
        </w:tc>
        <w:tc>
          <w:tcPr>
            <w:tcW w:w="9700" w:type="dxa"/>
            <w:vAlign w:val="bottom"/>
            <w:gridSpan w:val="43"/>
          </w:tcPr>
          <w:p>
            <w:pPr>
              <w:spacing w:after="0"/>
              <w:rPr>
                <w:rFonts w:ascii="Arial" w:cs="Arial" w:eastAsia="Arial" w:hAnsi="Arial"/>
                <w:sz w:val="18"/>
                <w:szCs w:val="18"/>
                <w:color w:val="0000FF"/>
                <w:w w:val="90"/>
              </w:rPr>
            </w:pPr>
            <w:hyperlink r:id="rId154">
              <w:r>
                <w:rPr>
                  <w:rFonts w:ascii="Arial" w:cs="Arial" w:eastAsia="Arial" w:hAnsi="Arial"/>
                  <w:sz w:val="18"/>
                  <w:szCs w:val="18"/>
                  <w:color w:val="0000FF"/>
                  <w:w w:val="90"/>
                </w:rPr>
                <w:t>Ethylene Sales Agreement between Westlake Chemical OpCo LP, WPT LLC, Westlake Vinyls, Inc. and Westlake Petrochemicals LLC</w:t>
              </w:r>
            </w:hyperlink>
          </w:p>
        </w:tc>
      </w:tr>
      <w:tr>
        <w:trPr>
          <w:trHeight w:val="151"/>
        </w:trPr>
        <w:tc>
          <w:tcPr>
            <w:tcW w:w="1540" w:type="dxa"/>
            <w:vAlign w:val="bottom"/>
          </w:tcPr>
          <w:p>
            <w:pPr>
              <w:spacing w:after="0"/>
              <w:rPr>
                <w:sz w:val="13"/>
                <w:szCs w:val="13"/>
                <w:color w:val="auto"/>
              </w:rPr>
            </w:pPr>
          </w:p>
        </w:tc>
        <w:tc>
          <w:tcPr>
            <w:tcW w:w="9520" w:type="dxa"/>
            <w:vAlign w:val="bottom"/>
            <w:tcBorders>
              <w:top w:val="single" w:sz="8" w:color="0000FF"/>
            </w:tcBorders>
            <w:gridSpan w:val="34"/>
          </w:tcPr>
          <w:p>
            <w:pPr>
              <w:spacing w:after="0" w:line="152" w:lineRule="exact"/>
              <w:rPr>
                <w:rFonts w:ascii="Arial" w:cs="Arial" w:eastAsia="Arial" w:hAnsi="Arial"/>
                <w:sz w:val="16"/>
                <w:szCs w:val="16"/>
                <w:color w:val="0000FF"/>
              </w:rPr>
            </w:pPr>
            <w:hyperlink r:id="rId154">
              <w:r>
                <w:rPr>
                  <w:rFonts w:ascii="Arial" w:cs="Arial" w:eastAsia="Arial" w:hAnsi="Arial"/>
                  <w:sz w:val="16"/>
                  <w:szCs w:val="16"/>
                  <w:color w:val="0000FF"/>
                </w:rPr>
                <w:t>(incorporated by reference to Exhibit 10.4 to Westlake Chemical Partners LP's Current Report on Form 8-K (File No. 001-36567) filed</w:t>
              </w:r>
            </w:hyperlink>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1540" w:type="dxa"/>
            <w:vAlign w:val="bottom"/>
          </w:tcPr>
          <w:p>
            <w:pPr>
              <w:spacing w:after="0"/>
              <w:rPr>
                <w:sz w:val="13"/>
                <w:szCs w:val="13"/>
                <w:color w:val="auto"/>
              </w:rPr>
            </w:pPr>
          </w:p>
        </w:tc>
        <w:tc>
          <w:tcPr>
            <w:tcW w:w="9500" w:type="dxa"/>
            <w:vAlign w:val="bottom"/>
            <w:tcBorders>
              <w:top w:val="single" w:sz="8" w:color="0000FF"/>
            </w:tcBorders>
            <w:gridSpan w:val="33"/>
          </w:tcPr>
          <w:p>
            <w:pPr>
              <w:spacing w:after="0" w:line="152" w:lineRule="exact"/>
              <w:rPr>
                <w:rFonts w:ascii="Arial" w:cs="Arial" w:eastAsia="Arial" w:hAnsi="Arial"/>
                <w:sz w:val="16"/>
                <w:szCs w:val="16"/>
                <w:color w:val="0000FF"/>
              </w:rPr>
            </w:pPr>
            <w:hyperlink r:id="rId154">
              <w:r>
                <w:rPr>
                  <w:rFonts w:ascii="Arial" w:cs="Arial" w:eastAsia="Arial" w:hAnsi="Arial"/>
                  <w:sz w:val="16"/>
                  <w:szCs w:val="16"/>
                  <w:color w:val="0000FF"/>
                </w:rPr>
                <w:t>on August 8, 2014).</w:t>
              </w:r>
            </w:hyperlink>
          </w:p>
        </w:tc>
        <w:tc>
          <w:tcPr>
            <w:tcW w:w="40" w:type="dxa"/>
            <w:vAlign w:val="bottom"/>
            <w:gridSpan w:val="2"/>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9"/>
        </w:trPr>
        <w:tc>
          <w:tcPr>
            <w:tcW w:w="1540" w:type="dxa"/>
            <w:vAlign w:val="bottom"/>
          </w:tcPr>
          <w:p>
            <w:pPr>
              <w:ind w:left="20"/>
              <w:spacing w:after="0"/>
              <w:rPr>
                <w:sz w:val="20"/>
                <w:szCs w:val="20"/>
                <w:color w:val="auto"/>
              </w:rPr>
            </w:pPr>
            <w:r>
              <w:rPr>
                <w:rFonts w:ascii="Arial" w:cs="Arial" w:eastAsia="Arial" w:hAnsi="Arial"/>
                <w:sz w:val="18"/>
                <w:szCs w:val="18"/>
                <w:color w:val="auto"/>
              </w:rPr>
              <w:t>10.5</w:t>
            </w:r>
          </w:p>
        </w:tc>
        <w:tc>
          <w:tcPr>
            <w:tcW w:w="9700" w:type="dxa"/>
            <w:vAlign w:val="bottom"/>
            <w:gridSpan w:val="43"/>
          </w:tcPr>
          <w:p>
            <w:pPr>
              <w:spacing w:after="0"/>
              <w:rPr>
                <w:rFonts w:ascii="Arial" w:cs="Arial" w:eastAsia="Arial" w:hAnsi="Arial"/>
                <w:sz w:val="18"/>
                <w:szCs w:val="18"/>
                <w:color w:val="0000FF"/>
                <w:w w:val="92"/>
              </w:rPr>
            </w:pPr>
            <w:hyperlink r:id="rId155">
              <w:r>
                <w:rPr>
                  <w:rFonts w:ascii="Arial" w:cs="Arial" w:eastAsia="Arial" w:hAnsi="Arial"/>
                  <w:sz w:val="18"/>
                  <w:szCs w:val="18"/>
                  <w:color w:val="0000FF"/>
                  <w:w w:val="92"/>
                </w:rPr>
                <w:t>Site Lease Agreement (Calvert City) between Westlake Vinyls, Inc. and Westlake Chemical OpCo LP (incorporated by reference to</w:t>
              </w:r>
            </w:hyperlink>
          </w:p>
        </w:tc>
      </w:tr>
      <w:tr>
        <w:trPr>
          <w:trHeight w:val="151"/>
        </w:trPr>
        <w:tc>
          <w:tcPr>
            <w:tcW w:w="1540" w:type="dxa"/>
            <w:vAlign w:val="bottom"/>
          </w:tcPr>
          <w:p>
            <w:pPr>
              <w:spacing w:after="0"/>
              <w:rPr>
                <w:sz w:val="13"/>
                <w:szCs w:val="13"/>
                <w:color w:val="auto"/>
              </w:rPr>
            </w:pPr>
          </w:p>
        </w:tc>
        <w:tc>
          <w:tcPr>
            <w:tcW w:w="9240" w:type="dxa"/>
            <w:vAlign w:val="bottom"/>
            <w:tcBorders>
              <w:top w:val="single" w:sz="8" w:color="0000FF"/>
            </w:tcBorders>
            <w:gridSpan w:val="20"/>
          </w:tcPr>
          <w:p>
            <w:pPr>
              <w:spacing w:after="0" w:line="152" w:lineRule="exact"/>
              <w:rPr>
                <w:rFonts w:ascii="Arial" w:cs="Arial" w:eastAsia="Arial" w:hAnsi="Arial"/>
                <w:sz w:val="16"/>
                <w:szCs w:val="16"/>
                <w:color w:val="0000FF"/>
              </w:rPr>
            </w:pPr>
            <w:hyperlink r:id="rId155">
              <w:r>
                <w:rPr>
                  <w:rFonts w:ascii="Arial" w:cs="Arial" w:eastAsia="Arial" w:hAnsi="Arial"/>
                  <w:sz w:val="16"/>
                  <w:szCs w:val="16"/>
                  <w:color w:val="0000FF"/>
                </w:rPr>
                <w:t>Exhibit 10.5 to Westlake Chemical Partners LP's Current Report on Form 8-K (File No. 001-36567) filed on August 8, 2014).</w:t>
              </w:r>
            </w:hyperlink>
          </w:p>
        </w:tc>
        <w:tc>
          <w:tcPr>
            <w:tcW w:w="8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340" w:type="dxa"/>
            <w:vAlign w:val="bottom"/>
            <w:gridSpan w:val="4"/>
            <w:shd w:val="clear" w:color="auto" w:fill="0000FF"/>
          </w:tcPr>
          <w:p>
            <w:pPr>
              <w:spacing w:after="0" w:line="20" w:lineRule="exact"/>
              <w:rPr>
                <w:sz w:val="1"/>
                <w:szCs w:val="1"/>
                <w:color w:val="auto"/>
              </w:rPr>
            </w:pPr>
          </w:p>
        </w:tc>
        <w:tc>
          <w:tcPr>
            <w:tcW w:w="520" w:type="dxa"/>
            <w:vAlign w:val="bottom"/>
            <w:gridSpan w:val="3"/>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2660" w:type="dxa"/>
            <w:vAlign w:val="bottom"/>
            <w:gridSpan w:val="2"/>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2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9"/>
        </w:trPr>
        <w:tc>
          <w:tcPr>
            <w:tcW w:w="1540" w:type="dxa"/>
            <w:vAlign w:val="bottom"/>
          </w:tcPr>
          <w:p>
            <w:pPr>
              <w:ind w:left="20"/>
              <w:spacing w:after="0"/>
              <w:rPr>
                <w:sz w:val="20"/>
                <w:szCs w:val="20"/>
                <w:color w:val="auto"/>
              </w:rPr>
            </w:pPr>
            <w:r>
              <w:rPr>
                <w:rFonts w:ascii="Arial" w:cs="Arial" w:eastAsia="Arial" w:hAnsi="Arial"/>
                <w:sz w:val="18"/>
                <w:szCs w:val="18"/>
                <w:color w:val="auto"/>
              </w:rPr>
              <w:t>10.6</w:t>
            </w:r>
          </w:p>
        </w:tc>
        <w:tc>
          <w:tcPr>
            <w:tcW w:w="9700" w:type="dxa"/>
            <w:vAlign w:val="bottom"/>
            <w:gridSpan w:val="43"/>
          </w:tcPr>
          <w:p>
            <w:pPr>
              <w:spacing w:after="0"/>
              <w:rPr>
                <w:rFonts w:ascii="Arial" w:cs="Arial" w:eastAsia="Arial" w:hAnsi="Arial"/>
                <w:sz w:val="18"/>
                <w:szCs w:val="18"/>
                <w:color w:val="0000FF"/>
                <w:w w:val="95"/>
              </w:rPr>
            </w:pPr>
            <w:hyperlink r:id="rId156">
              <w:r>
                <w:rPr>
                  <w:rFonts w:ascii="Arial" w:cs="Arial" w:eastAsia="Arial" w:hAnsi="Arial"/>
                  <w:sz w:val="18"/>
                  <w:szCs w:val="18"/>
                  <w:color w:val="0000FF"/>
                  <w:w w:val="95"/>
                </w:rPr>
                <w:t>Site Lease Agreement (Lake Charles) between Westlake Petrochemical LLC and Westlake Chemical OpCo LP (incorporated by</w:t>
              </w:r>
            </w:hyperlink>
          </w:p>
        </w:tc>
      </w:tr>
      <w:tr>
        <w:trPr>
          <w:trHeight w:val="151"/>
        </w:trPr>
        <w:tc>
          <w:tcPr>
            <w:tcW w:w="1540" w:type="dxa"/>
            <w:vAlign w:val="bottom"/>
          </w:tcPr>
          <w:p>
            <w:pPr>
              <w:spacing w:after="0"/>
              <w:rPr>
                <w:sz w:val="13"/>
                <w:szCs w:val="13"/>
                <w:color w:val="auto"/>
              </w:rPr>
            </w:pPr>
          </w:p>
        </w:tc>
        <w:tc>
          <w:tcPr>
            <w:tcW w:w="9000" w:type="dxa"/>
            <w:vAlign w:val="bottom"/>
            <w:tcBorders>
              <w:top w:val="single" w:sz="8" w:color="0000FF"/>
            </w:tcBorders>
            <w:gridSpan w:val="16"/>
          </w:tcPr>
          <w:p>
            <w:pPr>
              <w:spacing w:after="0" w:line="152" w:lineRule="exact"/>
              <w:rPr>
                <w:rFonts w:ascii="Arial" w:cs="Arial" w:eastAsia="Arial" w:hAnsi="Arial"/>
                <w:sz w:val="16"/>
                <w:szCs w:val="16"/>
                <w:color w:val="0000FF"/>
              </w:rPr>
            </w:pPr>
            <w:hyperlink r:id="rId156">
              <w:r>
                <w:rPr>
                  <w:rFonts w:ascii="Arial" w:cs="Arial" w:eastAsia="Arial" w:hAnsi="Arial"/>
                  <w:sz w:val="16"/>
                  <w:szCs w:val="16"/>
                  <w:color w:val="0000FF"/>
                </w:rPr>
                <w:t>reference to Exhibit 10.6 to Westlake Chemical Partners LP's Current Report on Form 8-K (File No. 001-36567) filed on August</w:t>
              </w:r>
            </w:hyperlink>
          </w:p>
        </w:tc>
        <w:tc>
          <w:tcPr>
            <w:tcW w:w="320" w:type="dxa"/>
            <w:vAlign w:val="bottom"/>
            <w:gridSpan w:val="8"/>
          </w:tcPr>
          <w:p>
            <w:pPr>
              <w:jc w:val="right"/>
              <w:ind w:right="120"/>
              <w:spacing w:after="0" w:line="152" w:lineRule="exact"/>
              <w:rPr>
                <w:rFonts w:ascii="Arial" w:cs="Arial" w:eastAsia="Arial" w:hAnsi="Arial"/>
                <w:sz w:val="16"/>
                <w:szCs w:val="16"/>
                <w:color w:val="0000FF"/>
              </w:rPr>
            </w:pPr>
            <w:hyperlink r:id="rId156">
              <w:r>
                <w:rPr>
                  <w:rFonts w:ascii="Arial" w:cs="Arial" w:eastAsia="Arial" w:hAnsi="Arial"/>
                  <w:sz w:val="16"/>
                  <w:szCs w:val="16"/>
                  <w:color w:val="0000FF"/>
                </w:rPr>
                <w:t>8,</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1540" w:type="dxa"/>
            <w:vAlign w:val="bottom"/>
          </w:tcPr>
          <w:p>
            <w:pPr>
              <w:spacing w:after="0"/>
              <w:rPr>
                <w:sz w:val="13"/>
                <w:szCs w:val="13"/>
                <w:color w:val="auto"/>
              </w:rPr>
            </w:pPr>
          </w:p>
        </w:tc>
        <w:tc>
          <w:tcPr>
            <w:tcW w:w="460" w:type="dxa"/>
            <w:vAlign w:val="bottom"/>
            <w:tcBorders>
              <w:top w:val="single" w:sz="8" w:color="0000FF"/>
              <w:bottom w:val="single" w:sz="8" w:color="0000FF"/>
            </w:tcBorders>
          </w:tcPr>
          <w:p>
            <w:pPr>
              <w:spacing w:after="0" w:line="152" w:lineRule="exact"/>
              <w:rPr>
                <w:rFonts w:ascii="Arial" w:cs="Arial" w:eastAsia="Arial" w:hAnsi="Arial"/>
                <w:sz w:val="16"/>
                <w:szCs w:val="16"/>
                <w:color w:val="0000FF"/>
                <w:w w:val="96"/>
              </w:rPr>
            </w:pPr>
            <w:hyperlink r:id="rId156">
              <w:r>
                <w:rPr>
                  <w:rFonts w:ascii="Arial" w:cs="Arial" w:eastAsia="Arial" w:hAnsi="Arial"/>
                  <w:sz w:val="16"/>
                  <w:szCs w:val="16"/>
                  <w:color w:val="0000FF"/>
                  <w:w w:val="96"/>
                </w:rPr>
                <w:t>2014).</w:t>
              </w:r>
            </w:hyperlink>
          </w:p>
        </w:tc>
        <w:tc>
          <w:tcPr>
            <w:tcW w:w="540" w:type="dxa"/>
            <w:vAlign w:val="bottom"/>
            <w:tcBorders>
              <w:top w:val="single" w:sz="8" w:color="0000FF"/>
            </w:tcBorders>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124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174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1280" w:type="dxa"/>
            <w:vAlign w:val="bottom"/>
            <w:tcBorders>
              <w:top w:val="single" w:sz="8" w:color="0000FF"/>
            </w:tcBorders>
          </w:tcPr>
          <w:p>
            <w:pPr>
              <w:spacing w:after="0"/>
              <w:rPr>
                <w:sz w:val="13"/>
                <w:szCs w:val="13"/>
                <w:color w:val="auto"/>
              </w:rPr>
            </w:pPr>
          </w:p>
        </w:tc>
        <w:tc>
          <w:tcPr>
            <w:tcW w:w="800" w:type="dxa"/>
            <w:vAlign w:val="bottom"/>
            <w:tcBorders>
              <w:top w:val="single" w:sz="8" w:color="0000FF"/>
            </w:tcBorders>
          </w:tcPr>
          <w:p>
            <w:pPr>
              <w:spacing w:after="0"/>
              <w:rPr>
                <w:sz w:val="13"/>
                <w:szCs w:val="13"/>
                <w:color w:val="auto"/>
              </w:rPr>
            </w:pPr>
          </w:p>
        </w:tc>
        <w:tc>
          <w:tcPr>
            <w:tcW w:w="10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1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9"/>
        </w:trPr>
        <w:tc>
          <w:tcPr>
            <w:tcW w:w="1540" w:type="dxa"/>
            <w:vAlign w:val="bottom"/>
          </w:tcPr>
          <w:p>
            <w:pPr>
              <w:ind w:left="20"/>
              <w:spacing w:after="0"/>
              <w:rPr>
                <w:sz w:val="20"/>
                <w:szCs w:val="20"/>
                <w:color w:val="auto"/>
              </w:rPr>
            </w:pPr>
            <w:r>
              <w:rPr>
                <w:rFonts w:ascii="Arial" w:cs="Arial" w:eastAsia="Arial" w:hAnsi="Arial"/>
                <w:sz w:val="18"/>
                <w:szCs w:val="18"/>
                <w:color w:val="auto"/>
              </w:rPr>
              <w:t>10.7</w:t>
            </w:r>
          </w:p>
        </w:tc>
        <w:tc>
          <w:tcPr>
            <w:tcW w:w="9700" w:type="dxa"/>
            <w:vAlign w:val="bottom"/>
            <w:gridSpan w:val="43"/>
          </w:tcPr>
          <w:p>
            <w:pPr>
              <w:spacing w:after="0"/>
              <w:rPr>
                <w:rFonts w:ascii="Arial" w:cs="Arial" w:eastAsia="Arial" w:hAnsi="Arial"/>
                <w:sz w:val="18"/>
                <w:szCs w:val="18"/>
                <w:color w:val="0000FF"/>
                <w:w w:val="91"/>
              </w:rPr>
            </w:pPr>
            <w:hyperlink r:id="rId157">
              <w:r>
                <w:rPr>
                  <w:rFonts w:ascii="Arial" w:cs="Arial" w:eastAsia="Arial" w:hAnsi="Arial"/>
                  <w:sz w:val="18"/>
                  <w:szCs w:val="18"/>
                  <w:color w:val="0000FF"/>
                  <w:w w:val="91"/>
                </w:rPr>
                <w:t>Senior Unsecured Revolving Credit Agreement by and among Westlake Chemical OpCo LP and Westlake Development Corporation,</w:t>
              </w:r>
            </w:hyperlink>
          </w:p>
        </w:tc>
      </w:tr>
      <w:tr>
        <w:trPr>
          <w:trHeight w:val="151"/>
        </w:trPr>
        <w:tc>
          <w:tcPr>
            <w:tcW w:w="1540" w:type="dxa"/>
            <w:vAlign w:val="bottom"/>
          </w:tcPr>
          <w:p>
            <w:pPr>
              <w:spacing w:after="0"/>
              <w:rPr>
                <w:sz w:val="13"/>
                <w:szCs w:val="13"/>
                <w:color w:val="auto"/>
              </w:rPr>
            </w:pPr>
          </w:p>
        </w:tc>
        <w:tc>
          <w:tcPr>
            <w:tcW w:w="9440" w:type="dxa"/>
            <w:vAlign w:val="bottom"/>
            <w:tcBorders>
              <w:top w:val="single" w:sz="8" w:color="0000FF"/>
            </w:tcBorders>
            <w:gridSpan w:val="30"/>
          </w:tcPr>
          <w:p>
            <w:pPr>
              <w:spacing w:after="0" w:line="152" w:lineRule="exact"/>
              <w:rPr>
                <w:rFonts w:ascii="Arial" w:cs="Arial" w:eastAsia="Arial" w:hAnsi="Arial"/>
                <w:sz w:val="16"/>
                <w:szCs w:val="16"/>
                <w:color w:val="0000FF"/>
              </w:rPr>
            </w:pPr>
            <w:hyperlink r:id="rId157">
              <w:r>
                <w:rPr>
                  <w:rFonts w:ascii="Arial" w:cs="Arial" w:eastAsia="Arial" w:hAnsi="Arial"/>
                  <w:sz w:val="16"/>
                  <w:szCs w:val="16"/>
                  <w:color w:val="0000FF"/>
                </w:rPr>
                <w:t>dated as of August 4, 2014 (incorporated by reference to Exhibit 10.9 to Westlake Chemical Partners LP's Current Report on Form 8-</w:t>
              </w:r>
            </w:hyperlink>
          </w:p>
        </w:tc>
        <w:tc>
          <w:tcPr>
            <w:tcW w:w="260" w:type="dxa"/>
            <w:vAlign w:val="bottom"/>
            <w:gridSpan w:val="13"/>
          </w:tcPr>
          <w:p>
            <w:pPr>
              <w:spacing w:after="0" w:line="152" w:lineRule="exact"/>
              <w:rPr>
                <w:rFonts w:ascii="Arial" w:cs="Arial" w:eastAsia="Arial" w:hAnsi="Arial"/>
                <w:sz w:val="16"/>
                <w:szCs w:val="16"/>
                <w:color w:val="0000FF"/>
              </w:rPr>
            </w:pPr>
            <w:hyperlink r:id="rId157">
              <w:r>
                <w:rPr>
                  <w:rFonts w:ascii="Arial" w:cs="Arial" w:eastAsia="Arial" w:hAnsi="Arial"/>
                  <w:sz w:val="16"/>
                  <w:szCs w:val="16"/>
                  <w:color w:val="0000FF"/>
                </w:rPr>
                <w:t>K</w:t>
              </w:r>
            </w:hyperlink>
          </w:p>
        </w:tc>
      </w:tr>
      <w:tr>
        <w:trPr>
          <w:trHeight w:val="151"/>
        </w:trPr>
        <w:tc>
          <w:tcPr>
            <w:tcW w:w="1540" w:type="dxa"/>
            <w:vAlign w:val="bottom"/>
          </w:tcPr>
          <w:p>
            <w:pPr>
              <w:spacing w:after="0"/>
              <w:rPr>
                <w:sz w:val="13"/>
                <w:szCs w:val="13"/>
                <w:color w:val="auto"/>
              </w:rPr>
            </w:pPr>
          </w:p>
        </w:tc>
        <w:tc>
          <w:tcPr>
            <w:tcW w:w="3320" w:type="dxa"/>
            <w:vAlign w:val="bottom"/>
            <w:tcBorders>
              <w:top w:val="single" w:sz="8" w:color="0000FF"/>
              <w:bottom w:val="single" w:sz="8" w:color="0000FF"/>
            </w:tcBorders>
            <w:gridSpan w:val="8"/>
          </w:tcPr>
          <w:p>
            <w:pPr>
              <w:spacing w:after="0" w:line="152" w:lineRule="exact"/>
              <w:rPr>
                <w:rFonts w:ascii="Arial" w:cs="Arial" w:eastAsia="Arial" w:hAnsi="Arial"/>
                <w:sz w:val="16"/>
                <w:szCs w:val="16"/>
                <w:color w:val="0000FF"/>
              </w:rPr>
            </w:pPr>
            <w:hyperlink r:id="rId157">
              <w:r>
                <w:rPr>
                  <w:rFonts w:ascii="Arial" w:cs="Arial" w:eastAsia="Arial" w:hAnsi="Arial"/>
                  <w:sz w:val="16"/>
                  <w:szCs w:val="16"/>
                  <w:color w:val="0000FF"/>
                </w:rPr>
                <w:t>(File No. 001-36567) filed on August 8, 2014).</w:t>
              </w:r>
            </w:hyperlink>
          </w:p>
        </w:tc>
        <w:tc>
          <w:tcPr>
            <w:tcW w:w="6220" w:type="dxa"/>
            <w:vAlign w:val="bottom"/>
            <w:tcBorders>
              <w:top w:val="single" w:sz="8" w:color="0000FF"/>
            </w:tcBorders>
            <w:gridSpan w:val="27"/>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9"/>
        </w:trPr>
        <w:tc>
          <w:tcPr>
            <w:tcW w:w="1540" w:type="dxa"/>
            <w:vAlign w:val="bottom"/>
          </w:tcPr>
          <w:p>
            <w:pPr>
              <w:ind w:left="20"/>
              <w:spacing w:after="0"/>
              <w:rPr>
                <w:sz w:val="20"/>
                <w:szCs w:val="20"/>
                <w:color w:val="auto"/>
              </w:rPr>
            </w:pPr>
            <w:r>
              <w:rPr>
                <w:rFonts w:ascii="Arial" w:cs="Arial" w:eastAsia="Arial" w:hAnsi="Arial"/>
                <w:sz w:val="18"/>
                <w:szCs w:val="18"/>
                <w:color w:val="auto"/>
              </w:rPr>
              <w:t>10.8</w:t>
            </w:r>
          </w:p>
        </w:tc>
        <w:tc>
          <w:tcPr>
            <w:tcW w:w="9700" w:type="dxa"/>
            <w:vAlign w:val="bottom"/>
            <w:gridSpan w:val="43"/>
          </w:tcPr>
          <w:p>
            <w:pPr>
              <w:spacing w:after="0"/>
              <w:rPr>
                <w:rFonts w:ascii="Arial" w:cs="Arial" w:eastAsia="Arial" w:hAnsi="Arial"/>
                <w:sz w:val="18"/>
                <w:szCs w:val="18"/>
                <w:color w:val="0000FF"/>
                <w:w w:val="88"/>
              </w:rPr>
            </w:pPr>
            <w:hyperlink r:id="rId158">
              <w:r>
                <w:rPr>
                  <w:rFonts w:ascii="Arial" w:cs="Arial" w:eastAsia="Arial" w:hAnsi="Arial"/>
                  <w:sz w:val="18"/>
                  <w:szCs w:val="18"/>
                  <w:color w:val="0000FF"/>
                  <w:w w:val="88"/>
                </w:rPr>
                <w:t>Amended and Restated Senior Unsecured Revolving Credit Agreement by and among Westlake Chemical OpCo LP, Westlake Polymers</w:t>
              </w:r>
            </w:hyperlink>
          </w:p>
        </w:tc>
      </w:tr>
      <w:tr>
        <w:trPr>
          <w:trHeight w:val="151"/>
        </w:trPr>
        <w:tc>
          <w:tcPr>
            <w:tcW w:w="1540" w:type="dxa"/>
            <w:vAlign w:val="bottom"/>
          </w:tcPr>
          <w:p>
            <w:pPr>
              <w:spacing w:after="0"/>
              <w:rPr>
                <w:sz w:val="13"/>
                <w:szCs w:val="13"/>
                <w:color w:val="auto"/>
              </w:rPr>
            </w:pPr>
          </w:p>
        </w:tc>
        <w:tc>
          <w:tcPr>
            <w:tcW w:w="9580" w:type="dxa"/>
            <w:vAlign w:val="bottom"/>
            <w:tcBorders>
              <w:top w:val="single" w:sz="8" w:color="0000FF"/>
            </w:tcBorders>
            <w:gridSpan w:val="37"/>
          </w:tcPr>
          <w:p>
            <w:pPr>
              <w:spacing w:after="0" w:line="152" w:lineRule="exact"/>
              <w:rPr>
                <w:rFonts w:ascii="Arial" w:cs="Arial" w:eastAsia="Arial" w:hAnsi="Arial"/>
                <w:sz w:val="16"/>
                <w:szCs w:val="16"/>
                <w:color w:val="0000FF"/>
              </w:rPr>
            </w:pPr>
            <w:hyperlink r:id="rId158">
              <w:r>
                <w:rPr>
                  <w:rFonts w:ascii="Arial" w:cs="Arial" w:eastAsia="Arial" w:hAnsi="Arial"/>
                  <w:sz w:val="16"/>
                  <w:szCs w:val="16"/>
                  <w:color w:val="0000FF"/>
                </w:rPr>
                <w:t>LLC, and the lenders party thereto, dated as of June 1, 2017 (incorporated by reference to Exhibit 10.9 to Westlake Chemical Partners</w:t>
              </w:r>
            </w:hyperlink>
          </w:p>
        </w:tc>
        <w:tc>
          <w:tcPr>
            <w:tcW w:w="20" w:type="dxa"/>
            <w:vAlign w:val="bottom"/>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1"/>
        </w:trPr>
        <w:tc>
          <w:tcPr>
            <w:tcW w:w="1540" w:type="dxa"/>
            <w:vAlign w:val="bottom"/>
          </w:tcPr>
          <w:p>
            <w:pPr>
              <w:spacing w:after="0"/>
              <w:rPr>
                <w:sz w:val="13"/>
                <w:szCs w:val="13"/>
                <w:color w:val="auto"/>
              </w:rPr>
            </w:pPr>
          </w:p>
        </w:tc>
        <w:tc>
          <w:tcPr>
            <w:tcW w:w="8720" w:type="dxa"/>
            <w:vAlign w:val="bottom"/>
            <w:tcBorders>
              <w:top w:val="single" w:sz="8" w:color="0000FF"/>
              <w:bottom w:val="single" w:sz="8" w:color="0000FF"/>
            </w:tcBorders>
            <w:gridSpan w:val="13"/>
          </w:tcPr>
          <w:p>
            <w:pPr>
              <w:spacing w:after="0" w:line="152" w:lineRule="exact"/>
              <w:rPr>
                <w:rFonts w:ascii="Arial" w:cs="Arial" w:eastAsia="Arial" w:hAnsi="Arial"/>
                <w:sz w:val="16"/>
                <w:szCs w:val="16"/>
                <w:color w:val="0000FF"/>
              </w:rPr>
            </w:pPr>
            <w:hyperlink r:id="rId158">
              <w:r>
                <w:rPr>
                  <w:rFonts w:ascii="Arial" w:cs="Arial" w:eastAsia="Arial" w:hAnsi="Arial"/>
                  <w:sz w:val="16"/>
                  <w:szCs w:val="16"/>
                  <w:color w:val="0000FF"/>
                </w:rPr>
                <w:t>LP's Annual Report on Form 10-K for the year ended December 31, 2019, filed on February 28, 2020, File No. 001-36567).</w:t>
              </w:r>
            </w:hyperlink>
          </w:p>
        </w:tc>
        <w:tc>
          <w:tcPr>
            <w:tcW w:w="74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69"/>
        </w:trPr>
        <w:tc>
          <w:tcPr>
            <w:tcW w:w="1540" w:type="dxa"/>
            <w:vAlign w:val="bottom"/>
          </w:tcPr>
          <w:p>
            <w:pPr>
              <w:ind w:left="20"/>
              <w:spacing w:after="0"/>
              <w:rPr>
                <w:sz w:val="20"/>
                <w:szCs w:val="20"/>
                <w:color w:val="auto"/>
              </w:rPr>
            </w:pPr>
            <w:r>
              <w:rPr>
                <w:rFonts w:ascii="Arial" w:cs="Arial" w:eastAsia="Arial" w:hAnsi="Arial"/>
                <w:sz w:val="18"/>
                <w:szCs w:val="18"/>
                <w:color w:val="auto"/>
              </w:rPr>
              <w:t>10.9†</w:t>
            </w:r>
          </w:p>
        </w:tc>
        <w:tc>
          <w:tcPr>
            <w:tcW w:w="9700" w:type="dxa"/>
            <w:vAlign w:val="bottom"/>
            <w:gridSpan w:val="43"/>
          </w:tcPr>
          <w:p>
            <w:pPr>
              <w:spacing w:after="0"/>
              <w:rPr>
                <w:rFonts w:ascii="Arial" w:cs="Arial" w:eastAsia="Arial" w:hAnsi="Arial"/>
                <w:sz w:val="18"/>
                <w:szCs w:val="18"/>
                <w:color w:val="0000FF"/>
                <w:w w:val="91"/>
              </w:rPr>
            </w:pPr>
            <w:hyperlink r:id="rId159">
              <w:r>
                <w:rPr>
                  <w:rFonts w:ascii="Arial" w:cs="Arial" w:eastAsia="Arial" w:hAnsi="Arial"/>
                  <w:sz w:val="18"/>
                  <w:szCs w:val="18"/>
                  <w:color w:val="0000FF"/>
                  <w:w w:val="91"/>
                </w:rPr>
                <w:t>Westlake Chemical Partners LP Long-Term Incentive Plan (incorporated by reference to Exhibit 10.8 to Westlake Chemical Partners</w:t>
              </w:r>
            </w:hyperlink>
          </w:p>
        </w:tc>
      </w:tr>
      <w:tr>
        <w:trPr>
          <w:trHeight w:val="151"/>
        </w:trPr>
        <w:tc>
          <w:tcPr>
            <w:tcW w:w="1540" w:type="dxa"/>
            <w:vAlign w:val="bottom"/>
          </w:tcPr>
          <w:p>
            <w:pPr>
              <w:spacing w:after="0"/>
              <w:rPr>
                <w:sz w:val="13"/>
                <w:szCs w:val="13"/>
                <w:color w:val="auto"/>
              </w:rPr>
            </w:pPr>
          </w:p>
        </w:tc>
        <w:tc>
          <w:tcPr>
            <w:tcW w:w="9340" w:type="dxa"/>
            <w:vAlign w:val="bottom"/>
            <w:tcBorders>
              <w:top w:val="single" w:sz="8" w:color="0000FF"/>
            </w:tcBorders>
            <w:gridSpan w:val="25"/>
          </w:tcPr>
          <w:p>
            <w:pPr>
              <w:spacing w:after="0" w:line="152" w:lineRule="exact"/>
              <w:rPr>
                <w:rFonts w:ascii="Arial" w:cs="Arial" w:eastAsia="Arial" w:hAnsi="Arial"/>
                <w:sz w:val="16"/>
                <w:szCs w:val="16"/>
                <w:color w:val="0000FF"/>
              </w:rPr>
            </w:pPr>
            <w:hyperlink r:id="rId159">
              <w:r>
                <w:rPr>
                  <w:rFonts w:ascii="Arial" w:cs="Arial" w:eastAsia="Arial" w:hAnsi="Arial"/>
                  <w:sz w:val="16"/>
                  <w:szCs w:val="16"/>
                  <w:color w:val="0000FF"/>
                </w:rPr>
                <w:t>LP's Current Report on Form 8-K (File No. 001-36567) filed on August 8, 2014).</w:t>
              </w:r>
            </w:hyperlink>
          </w:p>
        </w:tc>
        <w:tc>
          <w:tcPr>
            <w:tcW w:w="60" w:type="dxa"/>
            <w:vAlign w:val="bottom"/>
            <w:gridSpan w:val="3"/>
          </w:tcPr>
          <w:p>
            <w:pPr>
              <w:spacing w:after="0"/>
              <w:rPr>
                <w:sz w:val="13"/>
                <w:szCs w:val="13"/>
                <w:color w:val="auto"/>
              </w:rPr>
            </w:pPr>
          </w:p>
        </w:tc>
        <w:tc>
          <w:tcPr>
            <w:tcW w:w="80" w:type="dxa"/>
            <w:vAlign w:val="bottom"/>
            <w:gridSpan w:val="4"/>
          </w:tcPr>
          <w:p>
            <w:pPr>
              <w:spacing w:after="0"/>
              <w:rPr>
                <w:sz w:val="13"/>
                <w:szCs w:val="13"/>
                <w:color w:val="auto"/>
              </w:rPr>
            </w:pPr>
          </w:p>
        </w:tc>
        <w:tc>
          <w:tcPr>
            <w:tcW w:w="12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2800" w:type="dxa"/>
            <w:vAlign w:val="bottom"/>
            <w:gridSpan w:val="5"/>
            <w:shd w:val="clear" w:color="auto" w:fill="0000FF"/>
          </w:tcPr>
          <w:p>
            <w:pPr>
              <w:spacing w:after="0" w:line="20" w:lineRule="exact"/>
              <w:rPr>
                <w:sz w:val="1"/>
                <w:szCs w:val="1"/>
                <w:color w:val="auto"/>
              </w:rPr>
            </w:pPr>
          </w:p>
        </w:tc>
        <w:tc>
          <w:tcPr>
            <w:tcW w:w="1180" w:type="dxa"/>
            <w:vAlign w:val="bottom"/>
            <w:gridSpan w:val="4"/>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380" w:type="dxa"/>
            <w:vAlign w:val="bottom"/>
            <w:gridSpan w:val="9"/>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69"/>
        </w:trPr>
        <w:tc>
          <w:tcPr>
            <w:tcW w:w="1540" w:type="dxa"/>
            <w:vAlign w:val="bottom"/>
          </w:tcPr>
          <w:p>
            <w:pPr>
              <w:ind w:left="20"/>
              <w:spacing w:after="0"/>
              <w:rPr>
                <w:sz w:val="20"/>
                <w:szCs w:val="20"/>
                <w:color w:val="auto"/>
              </w:rPr>
            </w:pPr>
            <w:r>
              <w:rPr>
                <w:rFonts w:ascii="Arial" w:cs="Arial" w:eastAsia="Arial" w:hAnsi="Arial"/>
                <w:sz w:val="18"/>
                <w:szCs w:val="18"/>
                <w:color w:val="auto"/>
              </w:rPr>
              <w:t>10.10</w:t>
            </w:r>
          </w:p>
        </w:tc>
        <w:tc>
          <w:tcPr>
            <w:tcW w:w="9700" w:type="dxa"/>
            <w:vAlign w:val="bottom"/>
            <w:gridSpan w:val="43"/>
          </w:tcPr>
          <w:p>
            <w:pPr>
              <w:spacing w:after="0"/>
              <w:rPr>
                <w:rFonts w:ascii="Arial" w:cs="Arial" w:eastAsia="Arial" w:hAnsi="Arial"/>
                <w:sz w:val="18"/>
                <w:szCs w:val="18"/>
                <w:color w:val="0000FF"/>
                <w:w w:val="95"/>
              </w:rPr>
            </w:pPr>
            <w:hyperlink r:id="rId160">
              <w:r>
                <w:rPr>
                  <w:rFonts w:ascii="Arial" w:cs="Arial" w:eastAsia="Arial" w:hAnsi="Arial"/>
                  <w:sz w:val="18"/>
                  <w:szCs w:val="18"/>
                  <w:color w:val="0000FF"/>
                  <w:w w:val="95"/>
                </w:rPr>
                <w:t>Senior Unsecured Revolving Credit Agreement by and among Westlake Chemical Partners LP and Westlake Chemical Finance</w:t>
              </w:r>
            </w:hyperlink>
          </w:p>
        </w:tc>
      </w:tr>
      <w:tr>
        <w:trPr>
          <w:trHeight w:val="151"/>
        </w:trPr>
        <w:tc>
          <w:tcPr>
            <w:tcW w:w="1540" w:type="dxa"/>
            <w:vAlign w:val="bottom"/>
          </w:tcPr>
          <w:p>
            <w:pPr>
              <w:spacing w:after="0"/>
              <w:rPr>
                <w:sz w:val="13"/>
                <w:szCs w:val="13"/>
                <w:color w:val="auto"/>
              </w:rPr>
            </w:pPr>
          </w:p>
        </w:tc>
        <w:tc>
          <w:tcPr>
            <w:tcW w:w="8940" w:type="dxa"/>
            <w:vAlign w:val="bottom"/>
            <w:tcBorders>
              <w:top w:val="single" w:sz="8" w:color="0000FF"/>
            </w:tcBorders>
            <w:gridSpan w:val="15"/>
          </w:tcPr>
          <w:p>
            <w:pPr>
              <w:spacing w:after="0" w:line="152" w:lineRule="exact"/>
              <w:rPr>
                <w:rFonts w:ascii="Arial" w:cs="Arial" w:eastAsia="Arial" w:hAnsi="Arial"/>
                <w:sz w:val="16"/>
                <w:szCs w:val="16"/>
                <w:color w:val="0000FF"/>
              </w:rPr>
            </w:pPr>
            <w:hyperlink r:id="rId160">
              <w:r>
                <w:rPr>
                  <w:rFonts w:ascii="Arial" w:cs="Arial" w:eastAsia="Arial" w:hAnsi="Arial"/>
                  <w:sz w:val="16"/>
                  <w:szCs w:val="16"/>
                  <w:color w:val="0000FF"/>
                </w:rPr>
                <w:t>Corporation, dated as of April 29, 2015 (incorporated by reference to Exhibit 10.1 to Westlake Chemical Partners LP's Current</w:t>
              </w:r>
            </w:hyperlink>
          </w:p>
        </w:tc>
        <w:tc>
          <w:tcPr>
            <w:tcW w:w="760" w:type="dxa"/>
            <w:vAlign w:val="bottom"/>
            <w:gridSpan w:val="28"/>
          </w:tcPr>
          <w:p>
            <w:pPr>
              <w:spacing w:after="0" w:line="152" w:lineRule="exact"/>
              <w:rPr>
                <w:rFonts w:ascii="Arial" w:cs="Arial" w:eastAsia="Arial" w:hAnsi="Arial"/>
                <w:sz w:val="16"/>
                <w:szCs w:val="16"/>
                <w:color w:val="0000FF"/>
              </w:rPr>
            </w:pPr>
            <w:hyperlink r:id="rId160">
              <w:r>
                <w:rPr>
                  <w:rFonts w:ascii="Arial" w:cs="Arial" w:eastAsia="Arial" w:hAnsi="Arial"/>
                  <w:sz w:val="16"/>
                  <w:szCs w:val="16"/>
                  <w:color w:val="0000FF"/>
                </w:rPr>
                <w:t>Report on</w:t>
              </w:r>
            </w:hyperlink>
          </w:p>
        </w:tc>
      </w:tr>
      <w:tr>
        <w:trPr>
          <w:trHeight w:val="151"/>
        </w:trPr>
        <w:tc>
          <w:tcPr>
            <w:tcW w:w="1540" w:type="dxa"/>
            <w:vAlign w:val="bottom"/>
          </w:tcPr>
          <w:p>
            <w:pPr>
              <w:spacing w:after="0"/>
              <w:rPr>
                <w:sz w:val="13"/>
                <w:szCs w:val="13"/>
                <w:color w:val="auto"/>
              </w:rPr>
            </w:pPr>
          </w:p>
        </w:tc>
        <w:tc>
          <w:tcPr>
            <w:tcW w:w="3980" w:type="dxa"/>
            <w:vAlign w:val="bottom"/>
            <w:tcBorders>
              <w:top w:val="single" w:sz="8" w:color="0000FF"/>
              <w:bottom w:val="single" w:sz="8" w:color="0000FF"/>
            </w:tcBorders>
            <w:gridSpan w:val="9"/>
          </w:tcPr>
          <w:p>
            <w:pPr>
              <w:spacing w:after="0" w:line="152" w:lineRule="exact"/>
              <w:rPr>
                <w:rFonts w:ascii="Arial" w:cs="Arial" w:eastAsia="Arial" w:hAnsi="Arial"/>
                <w:sz w:val="16"/>
                <w:szCs w:val="16"/>
                <w:color w:val="0000FF"/>
              </w:rPr>
            </w:pPr>
            <w:hyperlink r:id="rId160">
              <w:r>
                <w:rPr>
                  <w:rFonts w:ascii="Arial" w:cs="Arial" w:eastAsia="Arial" w:hAnsi="Arial"/>
                  <w:sz w:val="16"/>
                  <w:szCs w:val="16"/>
                  <w:color w:val="0000FF"/>
                </w:rPr>
                <w:t>Form 8-K, filed on April 30, 2015, File No. 001-36567).</w:t>
              </w:r>
            </w:hyperlink>
          </w:p>
        </w:tc>
        <w:tc>
          <w:tcPr>
            <w:tcW w:w="5700" w:type="dxa"/>
            <w:vAlign w:val="bottom"/>
            <w:tcBorders>
              <w:top w:val="single" w:sz="8" w:color="0000FF"/>
            </w:tcBorders>
            <w:gridSpan w:val="33"/>
          </w:tcPr>
          <w:p>
            <w:pPr>
              <w:spacing w:after="0"/>
              <w:rPr>
                <w:sz w:val="13"/>
                <w:szCs w:val="13"/>
                <w:color w:val="auto"/>
              </w:rPr>
            </w:pPr>
          </w:p>
        </w:tc>
        <w:tc>
          <w:tcPr>
            <w:tcW w:w="20" w:type="dxa"/>
            <w:vAlign w:val="bottom"/>
          </w:tcPr>
          <w:p>
            <w:pPr>
              <w:spacing w:after="0"/>
              <w:rPr>
                <w:sz w:val="13"/>
                <w:szCs w:val="13"/>
                <w:color w:val="auto"/>
              </w:rPr>
            </w:pPr>
          </w:p>
        </w:tc>
      </w:tr>
      <w:tr>
        <w:trPr>
          <w:trHeight w:val="269"/>
        </w:trPr>
        <w:tc>
          <w:tcPr>
            <w:tcW w:w="1540" w:type="dxa"/>
            <w:vAlign w:val="bottom"/>
          </w:tcPr>
          <w:p>
            <w:pPr>
              <w:ind w:left="20"/>
              <w:spacing w:after="0"/>
              <w:rPr>
                <w:sz w:val="20"/>
                <w:szCs w:val="20"/>
                <w:color w:val="auto"/>
              </w:rPr>
            </w:pPr>
            <w:r>
              <w:rPr>
                <w:rFonts w:ascii="Arial" w:cs="Arial" w:eastAsia="Arial" w:hAnsi="Arial"/>
                <w:sz w:val="18"/>
                <w:szCs w:val="18"/>
                <w:color w:val="auto"/>
              </w:rPr>
              <w:t>10.11</w:t>
            </w:r>
          </w:p>
        </w:tc>
        <w:tc>
          <w:tcPr>
            <w:tcW w:w="9700" w:type="dxa"/>
            <w:vAlign w:val="bottom"/>
            <w:gridSpan w:val="43"/>
          </w:tcPr>
          <w:p>
            <w:pPr>
              <w:spacing w:after="0"/>
              <w:rPr>
                <w:rFonts w:ascii="Arial" w:cs="Arial" w:eastAsia="Arial" w:hAnsi="Arial"/>
                <w:sz w:val="18"/>
                <w:szCs w:val="18"/>
                <w:color w:val="0000FF"/>
                <w:w w:val="91"/>
              </w:rPr>
            </w:pPr>
            <w:hyperlink r:id="rId161">
              <w:r>
                <w:rPr>
                  <w:rFonts w:ascii="Arial" w:cs="Arial" w:eastAsia="Arial" w:hAnsi="Arial"/>
                  <w:sz w:val="18"/>
                  <w:szCs w:val="18"/>
                  <w:color w:val="0000FF"/>
                  <w:w w:val="91"/>
                </w:rPr>
                <w:t>First Amendment to Ethylene Sales Agreement (incorporated herein by reference to Exhibit 10.1 to Westlake Chemical Partners LP's</w:t>
              </w:r>
            </w:hyperlink>
          </w:p>
        </w:tc>
      </w:tr>
      <w:tr>
        <w:trPr>
          <w:trHeight w:val="151"/>
        </w:trPr>
        <w:tc>
          <w:tcPr>
            <w:tcW w:w="1540" w:type="dxa"/>
            <w:vAlign w:val="bottom"/>
          </w:tcPr>
          <w:p>
            <w:pPr>
              <w:spacing w:after="0"/>
              <w:rPr>
                <w:sz w:val="13"/>
                <w:szCs w:val="13"/>
                <w:color w:val="auto"/>
              </w:rPr>
            </w:pPr>
          </w:p>
        </w:tc>
        <w:tc>
          <w:tcPr>
            <w:tcW w:w="9400" w:type="dxa"/>
            <w:vAlign w:val="bottom"/>
            <w:tcBorders>
              <w:top w:val="single" w:sz="8" w:color="0000FF"/>
            </w:tcBorders>
            <w:gridSpan w:val="28"/>
          </w:tcPr>
          <w:p>
            <w:pPr>
              <w:spacing w:after="0" w:line="152" w:lineRule="exact"/>
              <w:rPr>
                <w:rFonts w:ascii="Arial" w:cs="Arial" w:eastAsia="Arial" w:hAnsi="Arial"/>
                <w:sz w:val="16"/>
                <w:szCs w:val="16"/>
                <w:color w:val="0000FF"/>
              </w:rPr>
            </w:pPr>
            <w:hyperlink r:id="rId161">
              <w:r>
                <w:rPr>
                  <w:rFonts w:ascii="Arial" w:cs="Arial" w:eastAsia="Arial" w:hAnsi="Arial"/>
                  <w:sz w:val="16"/>
                  <w:szCs w:val="16"/>
                  <w:color w:val="0000FF"/>
                </w:rPr>
                <w:t>Quarterly Report on Form 10-Q for the quarter ended June 30, 2016, filed on August 9, 2016, File No. 1-32260).</w:t>
              </w:r>
            </w:hyperlink>
          </w:p>
        </w:tc>
        <w:tc>
          <w:tcPr>
            <w:tcW w:w="80" w:type="dxa"/>
            <w:vAlign w:val="bottom"/>
            <w:gridSpan w:val="4"/>
          </w:tcPr>
          <w:p>
            <w:pPr>
              <w:spacing w:after="0"/>
              <w:rPr>
                <w:sz w:val="13"/>
                <w:szCs w:val="13"/>
                <w:color w:val="auto"/>
              </w:rPr>
            </w:pPr>
          </w:p>
        </w:tc>
        <w:tc>
          <w:tcPr>
            <w:tcW w:w="120" w:type="dxa"/>
            <w:vAlign w:val="bottom"/>
            <w:gridSpan w:val="6"/>
          </w:tcPr>
          <w:p>
            <w:pPr>
              <w:spacing w:after="0"/>
              <w:rPr>
                <w:sz w:val="13"/>
                <w:szCs w:val="13"/>
                <w:color w:val="auto"/>
              </w:rPr>
            </w:pPr>
          </w:p>
        </w:tc>
        <w:tc>
          <w:tcPr>
            <w:tcW w:w="60" w:type="dxa"/>
            <w:vAlign w:val="bottom"/>
            <w:gridSpan w:val="3"/>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2800" w:type="dxa"/>
            <w:vAlign w:val="bottom"/>
            <w:gridSpan w:val="5"/>
            <w:shd w:val="clear" w:color="auto" w:fill="0000FF"/>
          </w:tcPr>
          <w:p>
            <w:pPr>
              <w:spacing w:after="0" w:line="20" w:lineRule="exact"/>
              <w:rPr>
                <w:sz w:val="1"/>
                <w:szCs w:val="1"/>
                <w:color w:val="auto"/>
              </w:rPr>
            </w:pPr>
          </w:p>
        </w:tc>
        <w:tc>
          <w:tcPr>
            <w:tcW w:w="3840" w:type="dxa"/>
            <w:vAlign w:val="bottom"/>
            <w:gridSpan w:val="6"/>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1400" w:type="dxa"/>
            <w:vAlign w:val="bottom"/>
            <w:gridSpan w:val="12"/>
          </w:tcPr>
          <w:p>
            <w:pPr>
              <w:spacing w:after="0" w:line="20" w:lineRule="exact"/>
              <w:rPr>
                <w:sz w:val="1"/>
                <w:szCs w:val="1"/>
                <w:color w:val="auto"/>
              </w:rPr>
            </w:pPr>
          </w:p>
        </w:tc>
        <w:tc>
          <w:tcPr>
            <w:tcW w:w="160" w:type="dxa"/>
            <w:vAlign w:val="bottom"/>
            <w:gridSpan w:val="8"/>
          </w:tcPr>
          <w:p>
            <w:pPr>
              <w:spacing w:after="0" w:line="20" w:lineRule="exact"/>
              <w:rPr>
                <w:sz w:val="1"/>
                <w:szCs w:val="1"/>
                <w:color w:val="auto"/>
              </w:rPr>
            </w:pPr>
          </w:p>
        </w:tc>
        <w:tc>
          <w:tcPr>
            <w:tcW w:w="120" w:type="dxa"/>
            <w:vAlign w:val="bottom"/>
            <w:gridSpan w:val="6"/>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69"/>
        </w:trPr>
        <w:tc>
          <w:tcPr>
            <w:tcW w:w="1540" w:type="dxa"/>
            <w:vAlign w:val="bottom"/>
          </w:tcPr>
          <w:p>
            <w:pPr>
              <w:ind w:left="20"/>
              <w:spacing w:after="0"/>
              <w:rPr>
                <w:sz w:val="20"/>
                <w:szCs w:val="20"/>
                <w:color w:val="auto"/>
              </w:rPr>
            </w:pPr>
            <w:r>
              <w:rPr>
                <w:rFonts w:ascii="Arial" w:cs="Arial" w:eastAsia="Arial" w:hAnsi="Arial"/>
                <w:sz w:val="18"/>
                <w:szCs w:val="18"/>
                <w:color w:val="auto"/>
              </w:rPr>
              <w:t>10.12</w:t>
            </w:r>
          </w:p>
        </w:tc>
        <w:tc>
          <w:tcPr>
            <w:tcW w:w="9700" w:type="dxa"/>
            <w:vAlign w:val="bottom"/>
            <w:gridSpan w:val="43"/>
          </w:tcPr>
          <w:p>
            <w:pPr>
              <w:spacing w:after="0"/>
              <w:rPr>
                <w:rFonts w:ascii="Arial" w:cs="Arial" w:eastAsia="Arial" w:hAnsi="Arial"/>
                <w:sz w:val="18"/>
                <w:szCs w:val="18"/>
                <w:color w:val="0000FF"/>
                <w:w w:val="92"/>
              </w:rPr>
            </w:pPr>
            <w:hyperlink r:id="rId162">
              <w:r>
                <w:rPr>
                  <w:rFonts w:ascii="Arial" w:cs="Arial" w:eastAsia="Arial" w:hAnsi="Arial"/>
                  <w:sz w:val="18"/>
                  <w:szCs w:val="18"/>
                  <w:color w:val="0000FF"/>
                  <w:w w:val="92"/>
                </w:rPr>
                <w:t>Exchange Agreement, effective as of August 1, 2014, by and between WPT LLC and Westlake Chemical OpCo LP (incorporated by</w:t>
              </w:r>
            </w:hyperlink>
          </w:p>
        </w:tc>
      </w:tr>
      <w:tr>
        <w:trPr>
          <w:trHeight w:val="151"/>
        </w:trPr>
        <w:tc>
          <w:tcPr>
            <w:tcW w:w="1540" w:type="dxa"/>
            <w:vAlign w:val="bottom"/>
          </w:tcPr>
          <w:p>
            <w:pPr>
              <w:spacing w:after="0"/>
              <w:rPr>
                <w:sz w:val="13"/>
                <w:szCs w:val="13"/>
                <w:color w:val="auto"/>
              </w:rPr>
            </w:pPr>
          </w:p>
        </w:tc>
        <w:tc>
          <w:tcPr>
            <w:tcW w:w="9320" w:type="dxa"/>
            <w:vAlign w:val="bottom"/>
            <w:tcBorders>
              <w:top w:val="single" w:sz="8" w:color="0000FF"/>
            </w:tcBorders>
            <w:gridSpan w:val="24"/>
          </w:tcPr>
          <w:p>
            <w:pPr>
              <w:spacing w:after="0" w:line="152" w:lineRule="exact"/>
              <w:rPr>
                <w:rFonts w:ascii="Arial" w:cs="Arial" w:eastAsia="Arial" w:hAnsi="Arial"/>
                <w:sz w:val="16"/>
                <w:szCs w:val="16"/>
                <w:color w:val="0000FF"/>
              </w:rPr>
            </w:pPr>
            <w:hyperlink r:id="rId162">
              <w:r>
                <w:rPr>
                  <w:rFonts w:ascii="Arial" w:cs="Arial" w:eastAsia="Arial" w:hAnsi="Arial"/>
                  <w:sz w:val="16"/>
                  <w:szCs w:val="16"/>
                  <w:color w:val="0000FF"/>
                </w:rPr>
                <w:t>reference to Exhibit 10.20 to Westlake Chemical Partners LP's Annual Report on Form 10-K for the year ended December 30, 2016</w:t>
              </w:r>
            </w:hyperlink>
          </w:p>
        </w:tc>
        <w:tc>
          <w:tcPr>
            <w:tcW w:w="380" w:type="dxa"/>
            <w:vAlign w:val="bottom"/>
            <w:gridSpan w:val="19"/>
          </w:tcPr>
          <w:p>
            <w:pPr>
              <w:spacing w:after="0" w:line="152" w:lineRule="exact"/>
              <w:rPr>
                <w:rFonts w:ascii="Arial" w:cs="Arial" w:eastAsia="Arial" w:hAnsi="Arial"/>
                <w:sz w:val="16"/>
                <w:szCs w:val="16"/>
                <w:color w:val="0000FF"/>
              </w:rPr>
            </w:pPr>
            <w:hyperlink r:id="rId162">
              <w:r>
                <w:rPr>
                  <w:rFonts w:ascii="Arial" w:cs="Arial" w:eastAsia="Arial" w:hAnsi="Arial"/>
                  <w:sz w:val="16"/>
                  <w:szCs w:val="16"/>
                  <w:color w:val="0000FF"/>
                </w:rPr>
                <w:t>(File</w:t>
              </w:r>
            </w:hyperlink>
          </w:p>
        </w:tc>
      </w:tr>
      <w:tr>
        <w:trPr>
          <w:trHeight w:val="151"/>
        </w:trPr>
        <w:tc>
          <w:tcPr>
            <w:tcW w:w="1540" w:type="dxa"/>
            <w:vAlign w:val="bottom"/>
          </w:tcPr>
          <w:p>
            <w:pPr>
              <w:spacing w:after="0"/>
              <w:rPr>
                <w:sz w:val="13"/>
                <w:szCs w:val="13"/>
                <w:color w:val="auto"/>
              </w:rPr>
            </w:pPr>
          </w:p>
        </w:tc>
        <w:tc>
          <w:tcPr>
            <w:tcW w:w="2800" w:type="dxa"/>
            <w:vAlign w:val="bottom"/>
            <w:tcBorders>
              <w:top w:val="single" w:sz="8" w:color="0000FF"/>
              <w:bottom w:val="single" w:sz="8" w:color="0000FF"/>
            </w:tcBorders>
            <w:gridSpan w:val="5"/>
          </w:tcPr>
          <w:p>
            <w:pPr>
              <w:spacing w:after="0" w:line="152" w:lineRule="exact"/>
              <w:rPr>
                <w:rFonts w:ascii="Arial" w:cs="Arial" w:eastAsia="Arial" w:hAnsi="Arial"/>
                <w:sz w:val="16"/>
                <w:szCs w:val="16"/>
                <w:color w:val="0000FF"/>
              </w:rPr>
            </w:pPr>
            <w:hyperlink r:id="rId162">
              <w:r>
                <w:rPr>
                  <w:rFonts w:ascii="Arial" w:cs="Arial" w:eastAsia="Arial" w:hAnsi="Arial"/>
                  <w:sz w:val="16"/>
                  <w:szCs w:val="16"/>
                  <w:color w:val="0000FF"/>
                </w:rPr>
                <w:t>No. 01-36567) filed on March 7, 2017).</w:t>
              </w:r>
            </w:hyperlink>
          </w:p>
        </w:tc>
        <w:tc>
          <w:tcPr>
            <w:tcW w:w="6860" w:type="dxa"/>
            <w:vAlign w:val="bottom"/>
            <w:tcBorders>
              <w:top w:val="single" w:sz="8" w:color="0000FF"/>
            </w:tcBorders>
            <w:gridSpan w:val="36"/>
          </w:tcPr>
          <w:p>
            <w:pPr>
              <w:spacing w:after="0"/>
              <w:rPr>
                <w:sz w:val="13"/>
                <w:szCs w:val="13"/>
                <w:color w:val="auto"/>
              </w:rPr>
            </w:pPr>
          </w:p>
        </w:tc>
        <w:tc>
          <w:tcPr>
            <w:tcW w:w="40" w:type="dxa"/>
            <w:vAlign w:val="bottom"/>
            <w:gridSpan w:val="2"/>
          </w:tcPr>
          <w:p>
            <w:pPr>
              <w:spacing w:after="0"/>
              <w:rPr>
                <w:sz w:val="13"/>
                <w:szCs w:val="13"/>
                <w:color w:val="auto"/>
              </w:rPr>
            </w:pPr>
          </w:p>
        </w:tc>
      </w:tr>
      <w:tr>
        <w:trPr>
          <w:trHeight w:val="269"/>
        </w:trPr>
        <w:tc>
          <w:tcPr>
            <w:tcW w:w="1540" w:type="dxa"/>
            <w:vAlign w:val="bottom"/>
          </w:tcPr>
          <w:p>
            <w:pPr>
              <w:ind w:left="20"/>
              <w:spacing w:after="0"/>
              <w:rPr>
                <w:sz w:val="20"/>
                <w:szCs w:val="20"/>
                <w:color w:val="auto"/>
              </w:rPr>
            </w:pPr>
            <w:r>
              <w:rPr>
                <w:rFonts w:ascii="Arial" w:cs="Arial" w:eastAsia="Arial" w:hAnsi="Arial"/>
                <w:sz w:val="18"/>
                <w:szCs w:val="18"/>
                <w:color w:val="auto"/>
              </w:rPr>
              <w:t>10.13</w:t>
            </w:r>
          </w:p>
        </w:tc>
        <w:tc>
          <w:tcPr>
            <w:tcW w:w="9480" w:type="dxa"/>
            <w:vAlign w:val="bottom"/>
            <w:tcBorders>
              <w:bottom w:val="single" w:sz="8" w:color="0000FF"/>
            </w:tcBorders>
            <w:gridSpan w:val="32"/>
          </w:tcPr>
          <w:p>
            <w:pPr>
              <w:spacing w:after="0"/>
              <w:rPr>
                <w:rFonts w:ascii="Arial" w:cs="Arial" w:eastAsia="Arial" w:hAnsi="Arial"/>
                <w:sz w:val="18"/>
                <w:szCs w:val="18"/>
                <w:color w:val="0000FF"/>
                <w:w w:val="87"/>
              </w:rPr>
            </w:pPr>
            <w:hyperlink r:id="rId163">
              <w:r>
                <w:rPr>
                  <w:rFonts w:ascii="Arial" w:cs="Arial" w:eastAsia="Arial" w:hAnsi="Arial"/>
                  <w:sz w:val="18"/>
                  <w:szCs w:val="18"/>
                  <w:color w:val="0000FF"/>
                  <w:w w:val="87"/>
                </w:rPr>
                <w:t>Investment Management Agreement among Westlake Corporation, Westlake Chemical OpCo LP, and Westlake Chemical Partners LP,</w:t>
              </w:r>
            </w:hyperlink>
          </w:p>
        </w:tc>
        <w:tc>
          <w:tcPr>
            <w:tcW w:w="220" w:type="dxa"/>
            <w:vAlign w:val="bottom"/>
            <w:gridSpan w:val="11"/>
          </w:tcPr>
          <w:p>
            <w:pPr>
              <w:spacing w:after="0"/>
              <w:rPr>
                <w:sz w:val="23"/>
                <w:szCs w:val="23"/>
                <w:color w:val="auto"/>
              </w:rPr>
            </w:pPr>
          </w:p>
        </w:tc>
      </w:tr>
      <w:tr>
        <w:trPr>
          <w:trHeight w:val="151"/>
        </w:trPr>
        <w:tc>
          <w:tcPr>
            <w:tcW w:w="1540" w:type="dxa"/>
            <w:vAlign w:val="bottom"/>
          </w:tcPr>
          <w:p>
            <w:pPr>
              <w:spacing w:after="0"/>
              <w:rPr>
                <w:sz w:val="13"/>
                <w:szCs w:val="13"/>
                <w:color w:val="auto"/>
              </w:rPr>
            </w:pPr>
          </w:p>
        </w:tc>
        <w:tc>
          <w:tcPr>
            <w:tcW w:w="9700" w:type="dxa"/>
            <w:vAlign w:val="bottom"/>
            <w:gridSpan w:val="43"/>
          </w:tcPr>
          <w:p>
            <w:pPr>
              <w:spacing w:after="0" w:line="152" w:lineRule="exact"/>
              <w:rPr>
                <w:rFonts w:ascii="Arial" w:cs="Arial" w:eastAsia="Arial" w:hAnsi="Arial"/>
                <w:sz w:val="16"/>
                <w:szCs w:val="16"/>
                <w:color w:val="0000FF"/>
              </w:rPr>
            </w:pPr>
            <w:hyperlink r:id="rId163">
              <w:r>
                <w:rPr>
                  <w:rFonts w:ascii="Arial" w:cs="Arial" w:eastAsia="Arial" w:hAnsi="Arial"/>
                  <w:sz w:val="16"/>
                  <w:szCs w:val="16"/>
                  <w:color w:val="0000FF"/>
                </w:rPr>
                <w:t>dated as of August 1, 2017 (incorporated by reference to Exhibit 10.1 to Westlake Chemical Partners LP's Quarterly Report on Form 10-</w:t>
              </w:r>
            </w:hyperlink>
          </w:p>
        </w:tc>
      </w:tr>
      <w:tr>
        <w:trPr>
          <w:trHeight w:val="151"/>
        </w:trPr>
        <w:tc>
          <w:tcPr>
            <w:tcW w:w="1540" w:type="dxa"/>
            <w:vAlign w:val="bottom"/>
          </w:tcPr>
          <w:p>
            <w:pPr>
              <w:spacing w:after="0"/>
              <w:rPr>
                <w:sz w:val="13"/>
                <w:szCs w:val="13"/>
                <w:color w:val="auto"/>
              </w:rPr>
            </w:pPr>
          </w:p>
        </w:tc>
        <w:tc>
          <w:tcPr>
            <w:tcW w:w="9600" w:type="dxa"/>
            <w:vAlign w:val="bottom"/>
            <w:tcBorders>
              <w:top w:val="single" w:sz="8" w:color="0000FF"/>
            </w:tcBorders>
            <w:gridSpan w:val="38"/>
          </w:tcPr>
          <w:p>
            <w:pPr>
              <w:spacing w:after="0" w:line="152" w:lineRule="exact"/>
              <w:rPr>
                <w:rFonts w:ascii="Arial" w:cs="Arial" w:eastAsia="Arial" w:hAnsi="Arial"/>
                <w:sz w:val="16"/>
                <w:szCs w:val="16"/>
                <w:color w:val="0000FF"/>
              </w:rPr>
            </w:pPr>
            <w:hyperlink r:id="rId163">
              <w:r>
                <w:rPr>
                  <w:rFonts w:ascii="Arial" w:cs="Arial" w:eastAsia="Arial" w:hAnsi="Arial"/>
                  <w:sz w:val="16"/>
                  <w:szCs w:val="16"/>
                  <w:color w:val="0000FF"/>
                </w:rPr>
                <w:t>Q for the quarter ended September 30, 2017, (File No. 01-36567) filed on November 7, 2017).</w:t>
              </w:r>
            </w:hyperlink>
          </w:p>
        </w:tc>
        <w:tc>
          <w:tcPr>
            <w:tcW w:w="100" w:type="dxa"/>
            <w:vAlign w:val="bottom"/>
            <w:gridSpan w:val="5"/>
          </w:tcPr>
          <w:p>
            <w:pPr>
              <w:spacing w:after="0"/>
              <w:rPr>
                <w:sz w:val="13"/>
                <w:szCs w:val="13"/>
                <w:color w:val="auto"/>
              </w:rPr>
            </w:pPr>
          </w:p>
        </w:tc>
      </w:tr>
      <w:tr>
        <w:trPr>
          <w:trHeight w:val="914"/>
        </w:trPr>
        <w:tc>
          <w:tcPr>
            <w:tcW w:w="1540" w:type="dxa"/>
            <w:vAlign w:val="bottom"/>
          </w:tcPr>
          <w:p>
            <w:pPr>
              <w:spacing w:after="0"/>
              <w:rPr>
                <w:sz w:val="24"/>
                <w:szCs w:val="24"/>
                <w:color w:val="auto"/>
              </w:rPr>
            </w:pPr>
          </w:p>
        </w:tc>
        <w:tc>
          <w:tcPr>
            <w:tcW w:w="5720" w:type="dxa"/>
            <w:vAlign w:val="bottom"/>
            <w:tcBorders>
              <w:top w:val="single" w:sz="8" w:color="0000FF"/>
            </w:tcBorders>
            <w:gridSpan w:val="10"/>
          </w:tcPr>
          <w:p>
            <w:pPr>
              <w:ind w:left="4000"/>
              <w:spacing w:after="0"/>
              <w:rPr>
                <w:sz w:val="20"/>
                <w:szCs w:val="20"/>
                <w:color w:val="auto"/>
              </w:rPr>
            </w:pPr>
            <w:r>
              <w:rPr>
                <w:rFonts w:ascii="Arial" w:cs="Arial" w:eastAsia="Arial" w:hAnsi="Arial"/>
                <w:sz w:val="18"/>
                <w:szCs w:val="18"/>
                <w:color w:val="auto"/>
              </w:rPr>
              <w:t>90</w:t>
            </w:r>
          </w:p>
        </w:tc>
        <w:tc>
          <w:tcPr>
            <w:tcW w:w="920" w:type="dxa"/>
            <w:vAlign w:val="bottom"/>
            <w:tcBorders>
              <w:top w:val="single" w:sz="8" w:color="0000FF"/>
            </w:tcBorders>
          </w:tcPr>
          <w:p>
            <w:pPr>
              <w:spacing w:after="0"/>
              <w:rPr>
                <w:sz w:val="24"/>
                <w:szCs w:val="24"/>
                <w:color w:val="auto"/>
              </w:rPr>
            </w:pPr>
          </w:p>
        </w:tc>
        <w:tc>
          <w:tcPr>
            <w:tcW w:w="12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2"/>
        </w:trPr>
        <w:tc>
          <w:tcPr>
            <w:tcW w:w="15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40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280" w:type="dxa"/>
            <w:vAlign w:val="bottom"/>
            <w:tcBorders>
              <w:bottom w:val="single" w:sz="8" w:color="9A9A9A"/>
            </w:tcBorders>
          </w:tcPr>
          <w:p>
            <w:pPr>
              <w:spacing w:after="0"/>
              <w:rPr>
                <w:sz w:val="9"/>
                <w:szCs w:val="9"/>
                <w:color w:val="auto"/>
              </w:rPr>
            </w:pPr>
          </w:p>
        </w:tc>
        <w:tc>
          <w:tcPr>
            <w:tcW w:w="8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6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6" w:name="page97"/>
    <w:bookmarkEnd w:id="9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540" w:type="dxa"/>
            <w:vAlign w:val="bottom"/>
          </w:tcPr>
          <w:p>
            <w:pPr>
              <w:ind w:left="320"/>
              <w:spacing w:after="0"/>
              <w:rPr>
                <w:sz w:val="20"/>
                <w:szCs w:val="20"/>
                <w:color w:val="auto"/>
              </w:rPr>
            </w:pPr>
            <w:r>
              <w:rPr>
                <w:rFonts w:ascii="Arial" w:cs="Arial" w:eastAsia="Arial" w:hAnsi="Arial"/>
                <w:sz w:val="16"/>
                <w:szCs w:val="16"/>
                <w:b w:val="1"/>
                <w:bCs w:val="1"/>
                <w:color w:val="auto"/>
              </w:rPr>
              <w:t>Exhibit No.</w:t>
            </w:r>
          </w:p>
        </w:tc>
        <w:tc>
          <w:tcPr>
            <w:tcW w:w="9700" w:type="dxa"/>
            <w:vAlign w:val="bottom"/>
            <w:gridSpan w:val="39"/>
          </w:tcPr>
          <w:p>
            <w:pPr>
              <w:ind w:left="120"/>
              <w:spacing w:after="0"/>
              <w:rPr>
                <w:sz w:val="20"/>
                <w:szCs w:val="20"/>
                <w:color w:val="auto"/>
              </w:rPr>
            </w:pPr>
            <w:r>
              <w:rPr>
                <w:rFonts w:ascii="Arial" w:cs="Arial" w:eastAsia="Arial" w:hAnsi="Arial"/>
                <w:sz w:val="16"/>
                <w:szCs w:val="16"/>
                <w:b w:val="1"/>
                <w:bCs w:val="1"/>
                <w:color w:val="auto"/>
              </w:rPr>
              <w:t>Description</w:t>
            </w:r>
          </w:p>
        </w:tc>
      </w:tr>
      <w:tr>
        <w:trPr>
          <w:trHeight w:val="191"/>
        </w:trPr>
        <w:tc>
          <w:tcPr>
            <w:tcW w:w="1540" w:type="dxa"/>
            <w:vAlign w:val="bottom"/>
          </w:tcPr>
          <w:p>
            <w:pPr>
              <w:ind w:left="20"/>
              <w:spacing w:after="0" w:line="191" w:lineRule="exact"/>
              <w:rPr>
                <w:sz w:val="20"/>
                <w:szCs w:val="20"/>
                <w:color w:val="auto"/>
              </w:rPr>
            </w:pPr>
            <w:r>
              <w:rPr>
                <w:rFonts w:ascii="Arial" w:cs="Arial" w:eastAsia="Arial" w:hAnsi="Arial"/>
                <w:sz w:val="18"/>
                <w:szCs w:val="18"/>
                <w:color w:val="auto"/>
              </w:rPr>
              <w:t>10.14</w:t>
            </w:r>
          </w:p>
        </w:tc>
        <w:tc>
          <w:tcPr>
            <w:tcW w:w="9700" w:type="dxa"/>
            <w:vAlign w:val="bottom"/>
            <w:gridSpan w:val="39"/>
          </w:tcPr>
          <w:p>
            <w:pPr>
              <w:spacing w:after="0" w:line="191" w:lineRule="exact"/>
              <w:rPr>
                <w:rFonts w:ascii="Arial" w:cs="Arial" w:eastAsia="Arial" w:hAnsi="Arial"/>
                <w:sz w:val="18"/>
                <w:szCs w:val="18"/>
                <w:color w:val="0000FF"/>
                <w:w w:val="90"/>
              </w:rPr>
            </w:pPr>
            <w:hyperlink r:id="rId166">
              <w:r>
                <w:rPr>
                  <w:rFonts w:ascii="Arial" w:cs="Arial" w:eastAsia="Arial" w:hAnsi="Arial"/>
                  <w:sz w:val="18"/>
                  <w:szCs w:val="18"/>
                  <w:color w:val="0000FF"/>
                  <w:w w:val="90"/>
                </w:rPr>
                <w:t>First Amendment to Senior Unsecured Revolving Credit Agreement by and between Westlake Chemical Partners LP, as borrower, and</w:t>
              </w:r>
            </w:hyperlink>
          </w:p>
        </w:tc>
      </w:tr>
      <w:tr>
        <w:trPr>
          <w:trHeight w:val="151"/>
        </w:trPr>
        <w:tc>
          <w:tcPr>
            <w:tcW w:w="1540" w:type="dxa"/>
            <w:vAlign w:val="bottom"/>
          </w:tcPr>
          <w:p>
            <w:pPr>
              <w:spacing w:after="0"/>
              <w:rPr>
                <w:sz w:val="13"/>
                <w:szCs w:val="13"/>
                <w:color w:val="auto"/>
              </w:rPr>
            </w:pPr>
          </w:p>
        </w:tc>
        <w:tc>
          <w:tcPr>
            <w:tcW w:w="9440" w:type="dxa"/>
            <w:vAlign w:val="bottom"/>
            <w:tcBorders>
              <w:top w:val="single" w:sz="8" w:color="0000FF"/>
            </w:tcBorders>
            <w:gridSpan w:val="27"/>
          </w:tcPr>
          <w:p>
            <w:pPr>
              <w:spacing w:after="0" w:line="152" w:lineRule="exact"/>
              <w:rPr>
                <w:rFonts w:ascii="Arial" w:cs="Arial" w:eastAsia="Arial" w:hAnsi="Arial"/>
                <w:sz w:val="16"/>
                <w:szCs w:val="16"/>
                <w:color w:val="0000FF"/>
                <w:w w:val="99"/>
              </w:rPr>
            </w:pPr>
            <w:hyperlink r:id="rId166">
              <w:r>
                <w:rPr>
                  <w:rFonts w:ascii="Arial" w:cs="Arial" w:eastAsia="Arial" w:hAnsi="Arial"/>
                  <w:sz w:val="16"/>
                  <w:szCs w:val="16"/>
                  <w:color w:val="0000FF"/>
                  <w:w w:val="99"/>
                </w:rPr>
                <w:t>Westlake Chemical Finance Corporation, as lender, dated as of August 1, 2017 (incorporated by reference to Exhibit 10.1 to Westlake</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1"/>
        </w:trPr>
        <w:tc>
          <w:tcPr>
            <w:tcW w:w="1540" w:type="dxa"/>
            <w:vAlign w:val="bottom"/>
          </w:tcPr>
          <w:p>
            <w:pPr>
              <w:spacing w:after="0"/>
              <w:rPr>
                <w:sz w:val="13"/>
                <w:szCs w:val="13"/>
                <w:color w:val="auto"/>
              </w:rPr>
            </w:pPr>
          </w:p>
        </w:tc>
        <w:tc>
          <w:tcPr>
            <w:tcW w:w="9380" w:type="dxa"/>
            <w:vAlign w:val="bottom"/>
            <w:tcBorders>
              <w:top w:val="single" w:sz="8" w:color="0000FF"/>
            </w:tcBorders>
            <w:gridSpan w:val="26"/>
          </w:tcPr>
          <w:p>
            <w:pPr>
              <w:spacing w:after="0" w:line="152" w:lineRule="exact"/>
              <w:rPr>
                <w:rFonts w:ascii="Arial" w:cs="Arial" w:eastAsia="Arial" w:hAnsi="Arial"/>
                <w:sz w:val="16"/>
                <w:szCs w:val="16"/>
                <w:color w:val="0000FF"/>
              </w:rPr>
            </w:pPr>
            <w:hyperlink r:id="rId166">
              <w:r>
                <w:rPr>
                  <w:rFonts w:ascii="Arial" w:cs="Arial" w:eastAsia="Arial" w:hAnsi="Arial"/>
                  <w:sz w:val="16"/>
                  <w:szCs w:val="16"/>
                  <w:color w:val="0000FF"/>
                </w:rPr>
                <w:t>Chemical Partners LP's Quarterly Report on Form 10-Q for the quarter ended June 30, 2017 (File No. 01-36567) filed on August 3,</w:t>
              </w:r>
            </w:hyperlink>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64"/>
        </w:trPr>
        <w:tc>
          <w:tcPr>
            <w:tcW w:w="1540" w:type="dxa"/>
            <w:vAlign w:val="bottom"/>
          </w:tcPr>
          <w:p>
            <w:pPr>
              <w:spacing w:after="0"/>
              <w:rPr>
                <w:sz w:val="14"/>
                <w:szCs w:val="14"/>
                <w:color w:val="auto"/>
              </w:rPr>
            </w:pPr>
          </w:p>
        </w:tc>
        <w:tc>
          <w:tcPr>
            <w:tcW w:w="460" w:type="dxa"/>
            <w:vAlign w:val="bottom"/>
            <w:tcBorders>
              <w:top w:val="single" w:sz="8" w:color="0000FF"/>
              <w:bottom w:val="single" w:sz="8" w:color="0000FF"/>
            </w:tcBorders>
          </w:tcPr>
          <w:p>
            <w:pPr>
              <w:spacing w:after="0" w:line="164" w:lineRule="exact"/>
              <w:rPr>
                <w:rFonts w:ascii="Arial" w:cs="Arial" w:eastAsia="Arial" w:hAnsi="Arial"/>
                <w:sz w:val="18"/>
                <w:szCs w:val="18"/>
                <w:color w:val="0000FF"/>
                <w:w w:val="86"/>
              </w:rPr>
            </w:pPr>
            <w:hyperlink r:id="rId166">
              <w:r>
                <w:rPr>
                  <w:rFonts w:ascii="Arial" w:cs="Arial" w:eastAsia="Arial" w:hAnsi="Arial"/>
                  <w:sz w:val="18"/>
                  <w:szCs w:val="18"/>
                  <w:color w:val="0000FF"/>
                  <w:w w:val="86"/>
                </w:rPr>
                <w:t>2017).</w:t>
              </w:r>
            </w:hyperlink>
          </w:p>
        </w:tc>
        <w:tc>
          <w:tcPr>
            <w:tcW w:w="420" w:type="dxa"/>
            <w:vAlign w:val="bottom"/>
            <w:tcBorders>
              <w:top w:val="single" w:sz="8" w:color="0000FF"/>
            </w:tcBorders>
          </w:tcPr>
          <w:p>
            <w:pPr>
              <w:spacing w:after="0"/>
              <w:rPr>
                <w:sz w:val="14"/>
                <w:szCs w:val="14"/>
                <w:color w:val="auto"/>
              </w:rPr>
            </w:pPr>
          </w:p>
        </w:tc>
        <w:tc>
          <w:tcPr>
            <w:tcW w:w="2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20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920" w:type="dxa"/>
            <w:vAlign w:val="bottom"/>
            <w:tcBorders>
              <w:top w:val="single" w:sz="8" w:color="0000FF"/>
            </w:tcBorders>
          </w:tcPr>
          <w:p>
            <w:pPr>
              <w:spacing w:after="0"/>
              <w:rPr>
                <w:sz w:val="14"/>
                <w:szCs w:val="14"/>
                <w:color w:val="auto"/>
              </w:rPr>
            </w:pPr>
          </w:p>
        </w:tc>
        <w:tc>
          <w:tcPr>
            <w:tcW w:w="12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8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1020" w:type="dxa"/>
            <w:vAlign w:val="bottom"/>
            <w:tcBorders>
              <w:top w:val="single" w:sz="8" w:color="0000FF"/>
            </w:tcBorders>
          </w:tcPr>
          <w:p>
            <w:pPr>
              <w:spacing w:after="0"/>
              <w:rPr>
                <w:sz w:val="14"/>
                <w:szCs w:val="14"/>
                <w:color w:val="auto"/>
              </w:rPr>
            </w:pPr>
          </w:p>
        </w:tc>
        <w:tc>
          <w:tcPr>
            <w:tcW w:w="98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56"/>
        </w:trPr>
        <w:tc>
          <w:tcPr>
            <w:tcW w:w="1540" w:type="dxa"/>
            <w:vAlign w:val="bottom"/>
          </w:tcPr>
          <w:p>
            <w:pPr>
              <w:ind w:left="20"/>
              <w:spacing w:after="0"/>
              <w:rPr>
                <w:sz w:val="20"/>
                <w:szCs w:val="20"/>
                <w:color w:val="auto"/>
              </w:rPr>
            </w:pPr>
            <w:r>
              <w:rPr>
                <w:rFonts w:ascii="Arial" w:cs="Arial" w:eastAsia="Arial" w:hAnsi="Arial"/>
                <w:sz w:val="18"/>
                <w:szCs w:val="18"/>
                <w:color w:val="auto"/>
              </w:rPr>
              <w:t>10.15</w:t>
            </w:r>
          </w:p>
        </w:tc>
        <w:tc>
          <w:tcPr>
            <w:tcW w:w="9700" w:type="dxa"/>
            <w:vAlign w:val="bottom"/>
            <w:gridSpan w:val="39"/>
          </w:tcPr>
          <w:p>
            <w:pPr>
              <w:spacing w:after="0"/>
              <w:rPr>
                <w:rFonts w:ascii="Arial" w:cs="Arial" w:eastAsia="Arial" w:hAnsi="Arial"/>
                <w:sz w:val="18"/>
                <w:szCs w:val="18"/>
                <w:color w:val="0000FF"/>
                <w:w w:val="88"/>
              </w:rPr>
            </w:pPr>
            <w:hyperlink r:id="rId167">
              <w:r>
                <w:rPr>
                  <w:rFonts w:ascii="Arial" w:cs="Arial" w:eastAsia="Arial" w:hAnsi="Arial"/>
                  <w:sz w:val="18"/>
                  <w:szCs w:val="18"/>
                  <w:color w:val="0000FF"/>
                  <w:w w:val="88"/>
                </w:rPr>
                <w:t>Second Amendment to Senior Unsecured Revolving Credit Agreement by and between Westlake Chemical Partners LP, as borrower, and</w:t>
              </w:r>
            </w:hyperlink>
          </w:p>
        </w:tc>
      </w:tr>
      <w:tr>
        <w:trPr>
          <w:trHeight w:val="151"/>
        </w:trPr>
        <w:tc>
          <w:tcPr>
            <w:tcW w:w="1540" w:type="dxa"/>
            <w:vAlign w:val="bottom"/>
          </w:tcPr>
          <w:p>
            <w:pPr>
              <w:spacing w:after="0"/>
              <w:rPr>
                <w:sz w:val="13"/>
                <w:szCs w:val="13"/>
                <w:color w:val="auto"/>
              </w:rPr>
            </w:pPr>
          </w:p>
        </w:tc>
        <w:tc>
          <w:tcPr>
            <w:tcW w:w="9120" w:type="dxa"/>
            <w:vAlign w:val="bottom"/>
            <w:tcBorders>
              <w:top w:val="single" w:sz="8" w:color="0000FF"/>
              <w:bottom w:val="single" w:sz="8" w:color="0000FF"/>
            </w:tcBorders>
            <w:gridSpan w:val="19"/>
          </w:tcPr>
          <w:p>
            <w:pPr>
              <w:spacing w:after="0" w:line="152" w:lineRule="exact"/>
              <w:rPr>
                <w:rFonts w:ascii="Arial" w:cs="Arial" w:eastAsia="Arial" w:hAnsi="Arial"/>
                <w:sz w:val="16"/>
                <w:szCs w:val="16"/>
                <w:color w:val="0000FF"/>
                <w:w w:val="99"/>
              </w:rPr>
            </w:pPr>
            <w:hyperlink r:id="rId167">
              <w:r>
                <w:rPr>
                  <w:rFonts w:ascii="Arial" w:cs="Arial" w:eastAsia="Arial" w:hAnsi="Arial"/>
                  <w:sz w:val="16"/>
                  <w:szCs w:val="16"/>
                  <w:color w:val="0000FF"/>
                  <w:w w:val="99"/>
                </w:rPr>
                <w:t>Westlake Chemical Finance Corporation, as lender, dated as of November 28, 2017 (incorporated by reference to Exhibit 10.24 to</w:t>
              </w:r>
            </w:hyperlink>
          </w:p>
        </w:tc>
        <w:tc>
          <w:tcPr>
            <w:tcW w:w="520" w:type="dxa"/>
            <w:vAlign w:val="bottom"/>
            <w:tcBorders>
              <w:top w:val="single" w:sz="8" w:color="0000FF"/>
            </w:tcBorders>
            <w:gridSpan w:val="18"/>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51"/>
        </w:trPr>
        <w:tc>
          <w:tcPr>
            <w:tcW w:w="1540" w:type="dxa"/>
            <w:vAlign w:val="bottom"/>
          </w:tcPr>
          <w:p>
            <w:pPr>
              <w:spacing w:after="0"/>
              <w:rPr>
                <w:sz w:val="13"/>
                <w:szCs w:val="13"/>
                <w:color w:val="auto"/>
              </w:rPr>
            </w:pPr>
          </w:p>
        </w:tc>
        <w:tc>
          <w:tcPr>
            <w:tcW w:w="9700" w:type="dxa"/>
            <w:vAlign w:val="bottom"/>
            <w:gridSpan w:val="39"/>
          </w:tcPr>
          <w:p>
            <w:pPr>
              <w:spacing w:after="0" w:line="152" w:lineRule="exact"/>
              <w:rPr>
                <w:rFonts w:ascii="Arial" w:cs="Arial" w:eastAsia="Arial" w:hAnsi="Arial"/>
                <w:sz w:val="16"/>
                <w:szCs w:val="16"/>
                <w:color w:val="0000FF"/>
              </w:rPr>
            </w:pPr>
            <w:hyperlink r:id="rId167">
              <w:r>
                <w:rPr>
                  <w:rFonts w:ascii="Arial" w:cs="Arial" w:eastAsia="Arial" w:hAnsi="Arial"/>
                  <w:sz w:val="16"/>
                  <w:szCs w:val="16"/>
                  <w:color w:val="0000FF"/>
                </w:rPr>
                <w:t>Westlake Chemical Partners LP's Annual Report on Form 10-K for the year ended December 31, 2017 (File No. 01-36567) filed on</w:t>
              </w:r>
            </w:hyperlink>
          </w:p>
        </w:tc>
      </w:tr>
      <w:tr>
        <w:trPr>
          <w:trHeight w:val="164"/>
        </w:trPr>
        <w:tc>
          <w:tcPr>
            <w:tcW w:w="1540" w:type="dxa"/>
            <w:vAlign w:val="bottom"/>
          </w:tcPr>
          <w:p>
            <w:pPr>
              <w:spacing w:after="0"/>
              <w:rPr>
                <w:sz w:val="14"/>
                <w:szCs w:val="14"/>
                <w:color w:val="auto"/>
              </w:rPr>
            </w:pPr>
          </w:p>
        </w:tc>
        <w:tc>
          <w:tcPr>
            <w:tcW w:w="1140" w:type="dxa"/>
            <w:vAlign w:val="bottom"/>
            <w:tcBorders>
              <w:top w:val="single" w:sz="8" w:color="0000FF"/>
              <w:bottom w:val="single" w:sz="8" w:color="0000FF"/>
            </w:tcBorders>
            <w:gridSpan w:val="3"/>
          </w:tcPr>
          <w:p>
            <w:pPr>
              <w:spacing w:after="0" w:line="164" w:lineRule="exact"/>
              <w:rPr>
                <w:rFonts w:ascii="Arial" w:cs="Arial" w:eastAsia="Arial" w:hAnsi="Arial"/>
                <w:sz w:val="18"/>
                <w:szCs w:val="18"/>
                <w:color w:val="0000FF"/>
                <w:w w:val="88"/>
              </w:rPr>
            </w:pPr>
            <w:hyperlink r:id="rId167">
              <w:r>
                <w:rPr>
                  <w:rFonts w:ascii="Arial" w:cs="Arial" w:eastAsia="Arial" w:hAnsi="Arial"/>
                  <w:sz w:val="18"/>
                  <w:szCs w:val="18"/>
                  <w:color w:val="0000FF"/>
                  <w:w w:val="88"/>
                </w:rPr>
                <w:t>March 1, 2018).</w:t>
              </w:r>
            </w:hyperlink>
          </w:p>
        </w:tc>
        <w:tc>
          <w:tcPr>
            <w:tcW w:w="8100" w:type="dxa"/>
            <w:vAlign w:val="bottom"/>
            <w:tcBorders>
              <w:top w:val="single" w:sz="8" w:color="0000FF"/>
            </w:tcBorders>
            <w:gridSpan w:val="18"/>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gridSpan w:val="3"/>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r>
      <w:tr>
        <w:trPr>
          <w:trHeight w:val="256"/>
        </w:trPr>
        <w:tc>
          <w:tcPr>
            <w:tcW w:w="1540" w:type="dxa"/>
            <w:vAlign w:val="bottom"/>
          </w:tcPr>
          <w:p>
            <w:pPr>
              <w:ind w:left="20"/>
              <w:spacing w:after="0"/>
              <w:rPr>
                <w:sz w:val="20"/>
                <w:szCs w:val="20"/>
                <w:color w:val="auto"/>
              </w:rPr>
            </w:pPr>
            <w:r>
              <w:rPr>
                <w:rFonts w:ascii="Arial" w:cs="Arial" w:eastAsia="Arial" w:hAnsi="Arial"/>
                <w:sz w:val="18"/>
                <w:szCs w:val="18"/>
                <w:color w:val="auto"/>
              </w:rPr>
              <w:t>10.16</w:t>
            </w:r>
          </w:p>
        </w:tc>
        <w:tc>
          <w:tcPr>
            <w:tcW w:w="9700" w:type="dxa"/>
            <w:vAlign w:val="bottom"/>
            <w:gridSpan w:val="39"/>
          </w:tcPr>
          <w:p>
            <w:pPr>
              <w:spacing w:after="0"/>
              <w:rPr>
                <w:rFonts w:ascii="Arial" w:cs="Arial" w:eastAsia="Arial" w:hAnsi="Arial"/>
                <w:sz w:val="18"/>
                <w:szCs w:val="18"/>
                <w:color w:val="0000FF"/>
                <w:w w:val="89"/>
              </w:rPr>
            </w:pPr>
            <w:hyperlink r:id="rId168">
              <w:r>
                <w:rPr>
                  <w:rFonts w:ascii="Arial" w:cs="Arial" w:eastAsia="Arial" w:hAnsi="Arial"/>
                  <w:sz w:val="18"/>
                  <w:szCs w:val="18"/>
                  <w:color w:val="0000FF"/>
                  <w:w w:val="89"/>
                </w:rPr>
                <w:t>Third Amendment to Senior Unsecured Revolving Credit Agreement by and between Westlake Chemical Partners LP, as borrower, and</w:t>
              </w:r>
            </w:hyperlink>
          </w:p>
        </w:tc>
      </w:tr>
      <w:tr>
        <w:trPr>
          <w:trHeight w:val="151"/>
        </w:trPr>
        <w:tc>
          <w:tcPr>
            <w:tcW w:w="1540" w:type="dxa"/>
            <w:vAlign w:val="bottom"/>
          </w:tcPr>
          <w:p>
            <w:pPr>
              <w:spacing w:after="0"/>
              <w:rPr>
                <w:sz w:val="13"/>
                <w:szCs w:val="13"/>
                <w:color w:val="auto"/>
              </w:rPr>
            </w:pPr>
          </w:p>
        </w:tc>
        <w:tc>
          <w:tcPr>
            <w:tcW w:w="9560" w:type="dxa"/>
            <w:vAlign w:val="bottom"/>
            <w:tcBorders>
              <w:top w:val="single" w:sz="8" w:color="0000FF"/>
            </w:tcBorders>
            <w:gridSpan w:val="33"/>
          </w:tcPr>
          <w:p>
            <w:pPr>
              <w:spacing w:after="0" w:line="152" w:lineRule="exact"/>
              <w:rPr>
                <w:rFonts w:ascii="Arial" w:cs="Arial" w:eastAsia="Arial" w:hAnsi="Arial"/>
                <w:sz w:val="16"/>
                <w:szCs w:val="16"/>
                <w:color w:val="0000FF"/>
              </w:rPr>
            </w:pPr>
            <w:hyperlink r:id="rId168">
              <w:r>
                <w:rPr>
                  <w:rFonts w:ascii="Arial" w:cs="Arial" w:eastAsia="Arial" w:hAnsi="Arial"/>
                  <w:sz w:val="16"/>
                  <w:szCs w:val="16"/>
                  <w:color w:val="0000FF"/>
                </w:rPr>
                <w:t>Westlake Chemical Finance Corporation, as lender, dated as of March 19, 2020 (incorporated herein by reference to Exhibit 10.1 to</w:t>
              </w:r>
            </w:hyperlink>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r>
      <w:tr>
        <w:trPr>
          <w:trHeight w:val="151"/>
        </w:trPr>
        <w:tc>
          <w:tcPr>
            <w:tcW w:w="1540" w:type="dxa"/>
            <w:vAlign w:val="bottom"/>
          </w:tcPr>
          <w:p>
            <w:pPr>
              <w:spacing w:after="0"/>
              <w:rPr>
                <w:sz w:val="13"/>
                <w:szCs w:val="13"/>
                <w:color w:val="auto"/>
              </w:rPr>
            </w:pPr>
          </w:p>
        </w:tc>
        <w:tc>
          <w:tcPr>
            <w:tcW w:w="9220" w:type="dxa"/>
            <w:vAlign w:val="bottom"/>
            <w:tcBorders>
              <w:top w:val="single" w:sz="8" w:color="0000FF"/>
            </w:tcBorders>
            <w:gridSpan w:val="20"/>
          </w:tcPr>
          <w:p>
            <w:pPr>
              <w:spacing w:after="0" w:line="152" w:lineRule="exact"/>
              <w:rPr>
                <w:rFonts w:ascii="Arial" w:cs="Arial" w:eastAsia="Arial" w:hAnsi="Arial"/>
                <w:sz w:val="16"/>
                <w:szCs w:val="16"/>
                <w:color w:val="0000FF"/>
                <w:w w:val="99"/>
              </w:rPr>
            </w:pPr>
            <w:hyperlink r:id="rId168">
              <w:r>
                <w:rPr>
                  <w:rFonts w:ascii="Arial" w:cs="Arial" w:eastAsia="Arial" w:hAnsi="Arial"/>
                  <w:sz w:val="16"/>
                  <w:szCs w:val="16"/>
                  <w:color w:val="0000FF"/>
                  <w:w w:val="99"/>
                </w:rPr>
                <w:t>Westlake Chemical Partners LP's Quarterly Report on Form 10-Q for the quarter ended March 31, 2020, filed on May 6, 2020, File</w:t>
              </w:r>
            </w:hyperlink>
          </w:p>
        </w:tc>
        <w:tc>
          <w:tcPr>
            <w:tcW w:w="480" w:type="dxa"/>
            <w:vAlign w:val="bottom"/>
            <w:gridSpan w:val="19"/>
          </w:tcPr>
          <w:p>
            <w:pPr>
              <w:ind w:left="40"/>
              <w:spacing w:after="0" w:line="152" w:lineRule="exact"/>
              <w:rPr>
                <w:rFonts w:ascii="Arial" w:cs="Arial" w:eastAsia="Arial" w:hAnsi="Arial"/>
                <w:sz w:val="16"/>
                <w:szCs w:val="16"/>
                <w:color w:val="0000FF"/>
              </w:rPr>
            </w:pPr>
            <w:hyperlink r:id="rId168">
              <w:r>
                <w:rPr>
                  <w:rFonts w:ascii="Arial" w:cs="Arial" w:eastAsia="Arial" w:hAnsi="Arial"/>
                  <w:sz w:val="16"/>
                  <w:szCs w:val="16"/>
                  <w:color w:val="0000FF"/>
                </w:rPr>
                <w:t>No.</w:t>
              </w:r>
            </w:hyperlink>
          </w:p>
        </w:tc>
      </w:tr>
      <w:tr>
        <w:trPr>
          <w:trHeight w:val="164"/>
        </w:trPr>
        <w:tc>
          <w:tcPr>
            <w:tcW w:w="1540" w:type="dxa"/>
            <w:vAlign w:val="bottom"/>
          </w:tcPr>
          <w:p>
            <w:pPr>
              <w:spacing w:after="0"/>
              <w:rPr>
                <w:sz w:val="14"/>
                <w:szCs w:val="14"/>
                <w:color w:val="auto"/>
              </w:rPr>
            </w:pPr>
          </w:p>
        </w:tc>
        <w:tc>
          <w:tcPr>
            <w:tcW w:w="880" w:type="dxa"/>
            <w:vAlign w:val="bottom"/>
            <w:tcBorders>
              <w:top w:val="single" w:sz="8" w:color="0000FF"/>
              <w:bottom w:val="single" w:sz="8" w:color="0000FF"/>
            </w:tcBorders>
            <w:gridSpan w:val="2"/>
          </w:tcPr>
          <w:p>
            <w:pPr>
              <w:spacing w:after="0" w:line="164" w:lineRule="exact"/>
              <w:rPr>
                <w:rFonts w:ascii="Arial" w:cs="Arial" w:eastAsia="Arial" w:hAnsi="Arial"/>
                <w:sz w:val="18"/>
                <w:szCs w:val="18"/>
                <w:color w:val="0000FF"/>
                <w:w w:val="88"/>
              </w:rPr>
            </w:pPr>
            <w:hyperlink r:id="rId168">
              <w:r>
                <w:rPr>
                  <w:rFonts w:ascii="Arial" w:cs="Arial" w:eastAsia="Arial" w:hAnsi="Arial"/>
                  <w:sz w:val="18"/>
                  <w:szCs w:val="18"/>
                  <w:color w:val="0000FF"/>
                  <w:w w:val="88"/>
                </w:rPr>
                <w:t>001-36567).</w:t>
              </w:r>
            </w:hyperlink>
          </w:p>
        </w:tc>
        <w:tc>
          <w:tcPr>
            <w:tcW w:w="2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120" w:type="dxa"/>
            <w:vAlign w:val="bottom"/>
            <w:tcBorders>
              <w:top w:val="single" w:sz="8" w:color="0000FF"/>
            </w:tcBorders>
          </w:tcPr>
          <w:p>
            <w:pPr>
              <w:spacing w:after="0"/>
              <w:rPr>
                <w:sz w:val="14"/>
                <w:szCs w:val="14"/>
                <w:color w:val="auto"/>
              </w:rPr>
            </w:pPr>
          </w:p>
        </w:tc>
        <w:tc>
          <w:tcPr>
            <w:tcW w:w="1200" w:type="dxa"/>
            <w:vAlign w:val="bottom"/>
            <w:tcBorders>
              <w:top w:val="single" w:sz="8" w:color="0000FF"/>
            </w:tcBorders>
          </w:tcPr>
          <w:p>
            <w:pPr>
              <w:spacing w:after="0"/>
              <w:rPr>
                <w:sz w:val="14"/>
                <w:szCs w:val="14"/>
                <w:color w:val="auto"/>
              </w:rPr>
            </w:pPr>
          </w:p>
        </w:tc>
        <w:tc>
          <w:tcPr>
            <w:tcW w:w="240" w:type="dxa"/>
            <w:vAlign w:val="bottom"/>
            <w:tcBorders>
              <w:top w:val="single" w:sz="8" w:color="0000FF"/>
            </w:tcBorders>
          </w:tcPr>
          <w:p>
            <w:pPr>
              <w:spacing w:after="0"/>
              <w:rPr>
                <w:sz w:val="14"/>
                <w:szCs w:val="14"/>
                <w:color w:val="auto"/>
              </w:rPr>
            </w:pPr>
          </w:p>
        </w:tc>
        <w:tc>
          <w:tcPr>
            <w:tcW w:w="920" w:type="dxa"/>
            <w:vAlign w:val="bottom"/>
            <w:tcBorders>
              <w:top w:val="single" w:sz="8" w:color="0000FF"/>
            </w:tcBorders>
          </w:tcPr>
          <w:p>
            <w:pPr>
              <w:spacing w:after="0"/>
              <w:rPr>
                <w:sz w:val="14"/>
                <w:szCs w:val="14"/>
                <w:color w:val="auto"/>
              </w:rPr>
            </w:pPr>
          </w:p>
        </w:tc>
        <w:tc>
          <w:tcPr>
            <w:tcW w:w="122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1080" w:type="dxa"/>
            <w:vAlign w:val="bottom"/>
            <w:tcBorders>
              <w:top w:val="single" w:sz="8" w:color="0000FF"/>
            </w:tcBorders>
          </w:tcPr>
          <w:p>
            <w:pPr>
              <w:spacing w:after="0"/>
              <w:rPr>
                <w:sz w:val="14"/>
                <w:szCs w:val="14"/>
                <w:color w:val="auto"/>
              </w:rPr>
            </w:pPr>
          </w:p>
        </w:tc>
        <w:tc>
          <w:tcPr>
            <w:tcW w:w="500" w:type="dxa"/>
            <w:vAlign w:val="bottom"/>
            <w:tcBorders>
              <w:top w:val="single" w:sz="8" w:color="0000FF"/>
            </w:tcBorders>
          </w:tcPr>
          <w:p>
            <w:pPr>
              <w:spacing w:after="0"/>
              <w:rPr>
                <w:sz w:val="14"/>
                <w:szCs w:val="14"/>
                <w:color w:val="auto"/>
              </w:rPr>
            </w:pPr>
          </w:p>
        </w:tc>
        <w:tc>
          <w:tcPr>
            <w:tcW w:w="1020" w:type="dxa"/>
            <w:vAlign w:val="bottom"/>
            <w:tcBorders>
              <w:top w:val="single" w:sz="8" w:color="0000FF"/>
            </w:tcBorders>
          </w:tcPr>
          <w:p>
            <w:pPr>
              <w:spacing w:after="0"/>
              <w:rPr>
                <w:sz w:val="14"/>
                <w:szCs w:val="14"/>
                <w:color w:val="auto"/>
              </w:rPr>
            </w:pPr>
          </w:p>
        </w:tc>
        <w:tc>
          <w:tcPr>
            <w:tcW w:w="98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180" w:type="dxa"/>
            <w:vAlign w:val="bottom"/>
            <w:tcBorders>
              <w:top w:val="single" w:sz="8" w:color="0000FF"/>
            </w:tcBorders>
          </w:tcPr>
          <w:p>
            <w:pPr>
              <w:spacing w:after="0"/>
              <w:rPr>
                <w:sz w:val="14"/>
                <w:szCs w:val="14"/>
                <w:color w:val="auto"/>
              </w:rPr>
            </w:pPr>
          </w:p>
        </w:tc>
        <w:tc>
          <w:tcPr>
            <w:tcW w:w="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56"/>
        </w:trPr>
        <w:tc>
          <w:tcPr>
            <w:tcW w:w="1540" w:type="dxa"/>
            <w:vAlign w:val="bottom"/>
          </w:tcPr>
          <w:p>
            <w:pPr>
              <w:ind w:left="20"/>
              <w:spacing w:after="0"/>
              <w:rPr>
                <w:sz w:val="20"/>
                <w:szCs w:val="20"/>
                <w:color w:val="auto"/>
              </w:rPr>
            </w:pPr>
            <w:r>
              <w:rPr>
                <w:rFonts w:ascii="Arial" w:cs="Arial" w:eastAsia="Arial" w:hAnsi="Arial"/>
                <w:sz w:val="18"/>
                <w:szCs w:val="18"/>
                <w:color w:val="auto"/>
              </w:rPr>
              <w:t>10.17†</w:t>
            </w:r>
          </w:p>
        </w:tc>
        <w:tc>
          <w:tcPr>
            <w:tcW w:w="9700" w:type="dxa"/>
            <w:vAlign w:val="bottom"/>
            <w:gridSpan w:val="39"/>
          </w:tcPr>
          <w:p>
            <w:pPr>
              <w:spacing w:after="0"/>
              <w:rPr>
                <w:rFonts w:ascii="Arial" w:cs="Arial" w:eastAsia="Arial" w:hAnsi="Arial"/>
                <w:sz w:val="18"/>
                <w:szCs w:val="18"/>
                <w:color w:val="0000FF"/>
                <w:w w:val="92"/>
              </w:rPr>
            </w:pPr>
            <w:hyperlink r:id="rId169">
              <w:r>
                <w:rPr>
                  <w:rFonts w:ascii="Arial" w:cs="Arial" w:eastAsia="Arial" w:hAnsi="Arial"/>
                  <w:sz w:val="18"/>
                  <w:szCs w:val="18"/>
                  <w:color w:val="0000FF"/>
                  <w:w w:val="92"/>
                </w:rPr>
                <w:t>Form of Phantom Unit Agreement (incorporated by reference to Exhibit 10.12 to Westlake Chemical Partners LP's Annual Report on</w:t>
              </w:r>
            </w:hyperlink>
          </w:p>
        </w:tc>
      </w:tr>
      <w:tr>
        <w:trPr>
          <w:trHeight w:val="151"/>
        </w:trPr>
        <w:tc>
          <w:tcPr>
            <w:tcW w:w="1540" w:type="dxa"/>
            <w:vAlign w:val="bottom"/>
          </w:tcPr>
          <w:p>
            <w:pPr>
              <w:spacing w:after="0"/>
              <w:rPr>
                <w:sz w:val="13"/>
                <w:szCs w:val="13"/>
                <w:color w:val="auto"/>
              </w:rPr>
            </w:pPr>
          </w:p>
        </w:tc>
        <w:tc>
          <w:tcPr>
            <w:tcW w:w="9360" w:type="dxa"/>
            <w:vAlign w:val="bottom"/>
            <w:tcBorders>
              <w:top w:val="single" w:sz="8" w:color="0000FF"/>
            </w:tcBorders>
            <w:gridSpan w:val="25"/>
          </w:tcPr>
          <w:p>
            <w:pPr>
              <w:spacing w:after="0" w:line="152" w:lineRule="exact"/>
              <w:rPr>
                <w:rFonts w:ascii="Arial" w:cs="Arial" w:eastAsia="Arial" w:hAnsi="Arial"/>
                <w:sz w:val="16"/>
                <w:szCs w:val="16"/>
                <w:color w:val="0000FF"/>
              </w:rPr>
            </w:pPr>
            <w:hyperlink r:id="rId169">
              <w:r>
                <w:rPr>
                  <w:rFonts w:ascii="Arial" w:cs="Arial" w:eastAsia="Arial" w:hAnsi="Arial"/>
                  <w:sz w:val="16"/>
                  <w:szCs w:val="16"/>
                  <w:color w:val="0000FF"/>
                </w:rPr>
                <w:t>Form 10-K for the year ended December 31, 2017 (File No. 01-36567) filed on March 1, 2018)</w:t>
              </w:r>
              <w:r>
                <w:rPr>
                  <w:rFonts w:ascii="Arial" w:cs="Arial" w:eastAsia="Arial" w:hAnsi="Arial"/>
                  <w:sz w:val="16"/>
                  <w:szCs w:val="16"/>
                  <w:color w:val="000000"/>
                </w:rPr>
                <w:t>.</w:t>
              </w:r>
            </w:hyperlink>
          </w:p>
        </w:tc>
        <w:tc>
          <w:tcPr>
            <w:tcW w:w="100" w:type="dxa"/>
            <w:vAlign w:val="bottom"/>
            <w:gridSpan w:val="3"/>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9"/>
        </w:trPr>
        <w:tc>
          <w:tcPr>
            <w:tcW w:w="1540" w:type="dxa"/>
            <w:vAlign w:val="bottom"/>
          </w:tcPr>
          <w:p>
            <w:pPr>
              <w:ind w:left="20"/>
              <w:spacing w:after="0"/>
              <w:rPr>
                <w:sz w:val="20"/>
                <w:szCs w:val="20"/>
                <w:color w:val="auto"/>
              </w:rPr>
            </w:pPr>
            <w:r>
              <w:rPr>
                <w:rFonts w:ascii="Arial" w:cs="Arial" w:eastAsia="Arial" w:hAnsi="Arial"/>
                <w:sz w:val="18"/>
                <w:szCs w:val="18"/>
                <w:color w:val="auto"/>
              </w:rPr>
              <w:t>10.18</w:t>
            </w:r>
          </w:p>
        </w:tc>
        <w:tc>
          <w:tcPr>
            <w:tcW w:w="9700" w:type="dxa"/>
            <w:vAlign w:val="bottom"/>
            <w:gridSpan w:val="39"/>
          </w:tcPr>
          <w:p>
            <w:pPr>
              <w:spacing w:after="0"/>
              <w:rPr>
                <w:rFonts w:ascii="Arial" w:cs="Arial" w:eastAsia="Arial" w:hAnsi="Arial"/>
                <w:sz w:val="18"/>
                <w:szCs w:val="18"/>
                <w:color w:val="0000FF"/>
                <w:w w:val="89"/>
              </w:rPr>
            </w:pPr>
            <w:hyperlink r:id="rId170">
              <w:r>
                <w:rPr>
                  <w:rFonts w:ascii="Arial" w:cs="Arial" w:eastAsia="Arial" w:hAnsi="Arial"/>
                  <w:sz w:val="18"/>
                  <w:szCs w:val="18"/>
                  <w:color w:val="0000FF"/>
                  <w:w w:val="89"/>
                </w:rPr>
                <w:t>Equity Distribution Agreement, dated October 4, 2018, by and among Westlake Chemical Partners LP, Westlake Chemical Partners GP</w:t>
              </w:r>
            </w:hyperlink>
          </w:p>
        </w:tc>
      </w:tr>
      <w:tr>
        <w:trPr>
          <w:trHeight w:val="151"/>
        </w:trPr>
        <w:tc>
          <w:tcPr>
            <w:tcW w:w="1540" w:type="dxa"/>
            <w:vAlign w:val="bottom"/>
          </w:tcPr>
          <w:p>
            <w:pPr>
              <w:spacing w:after="0"/>
              <w:rPr>
                <w:sz w:val="13"/>
                <w:szCs w:val="13"/>
                <w:color w:val="auto"/>
              </w:rPr>
            </w:pPr>
          </w:p>
        </w:tc>
        <w:tc>
          <w:tcPr>
            <w:tcW w:w="9520" w:type="dxa"/>
            <w:vAlign w:val="bottom"/>
            <w:tcBorders>
              <w:top w:val="single" w:sz="8" w:color="0000FF"/>
              <w:bottom w:val="single" w:sz="8" w:color="0000FF"/>
            </w:tcBorders>
            <w:gridSpan w:val="31"/>
          </w:tcPr>
          <w:p>
            <w:pPr>
              <w:spacing w:after="0" w:line="152" w:lineRule="exact"/>
              <w:rPr>
                <w:rFonts w:ascii="Arial" w:cs="Arial" w:eastAsia="Arial" w:hAnsi="Arial"/>
                <w:sz w:val="16"/>
                <w:szCs w:val="16"/>
                <w:color w:val="0000FF"/>
              </w:rPr>
            </w:pPr>
            <w:hyperlink r:id="rId170">
              <w:r>
                <w:rPr>
                  <w:rFonts w:ascii="Arial" w:cs="Arial" w:eastAsia="Arial" w:hAnsi="Arial"/>
                  <w:sz w:val="16"/>
                  <w:szCs w:val="16"/>
                  <w:color w:val="0000FF"/>
                </w:rPr>
                <w:t>LLC, UBS Securities LLC, Barclays Capital Inc., Citigroup Global Markets Inc., Deutsche Bank Securities Inc., Merrill Lynch, Pierce,</w:t>
              </w:r>
            </w:hyperlink>
          </w:p>
        </w:tc>
        <w:tc>
          <w:tcPr>
            <w:tcW w:w="20" w:type="dxa"/>
            <w:vAlign w:val="bottom"/>
            <w:tcBorders>
              <w:bottom w:val="single" w:sz="8" w:color="0000FF"/>
            </w:tcBorders>
          </w:tcPr>
          <w:p>
            <w:pPr>
              <w:spacing w:after="0"/>
              <w:rPr>
                <w:sz w:val="13"/>
                <w:szCs w:val="13"/>
                <w:color w:val="auto"/>
              </w:rPr>
            </w:pPr>
          </w:p>
        </w:tc>
        <w:tc>
          <w:tcPr>
            <w:tcW w:w="4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r>
      <w:tr>
        <w:trPr>
          <w:trHeight w:val="151"/>
        </w:trPr>
        <w:tc>
          <w:tcPr>
            <w:tcW w:w="1540" w:type="dxa"/>
            <w:vAlign w:val="bottom"/>
          </w:tcPr>
          <w:p>
            <w:pPr>
              <w:spacing w:after="0"/>
              <w:rPr>
                <w:sz w:val="13"/>
                <w:szCs w:val="13"/>
                <w:color w:val="auto"/>
              </w:rPr>
            </w:pPr>
          </w:p>
        </w:tc>
        <w:tc>
          <w:tcPr>
            <w:tcW w:w="9700" w:type="dxa"/>
            <w:vAlign w:val="bottom"/>
            <w:gridSpan w:val="39"/>
          </w:tcPr>
          <w:p>
            <w:pPr>
              <w:spacing w:after="0" w:line="152" w:lineRule="exact"/>
              <w:rPr>
                <w:rFonts w:ascii="Arial" w:cs="Arial" w:eastAsia="Arial" w:hAnsi="Arial"/>
                <w:sz w:val="16"/>
                <w:szCs w:val="16"/>
                <w:color w:val="0000FF"/>
              </w:rPr>
            </w:pPr>
            <w:hyperlink r:id="rId170">
              <w:r>
                <w:rPr>
                  <w:rFonts w:ascii="Arial" w:cs="Arial" w:eastAsia="Arial" w:hAnsi="Arial"/>
                  <w:sz w:val="16"/>
                  <w:szCs w:val="16"/>
                  <w:color w:val="0000FF"/>
                </w:rPr>
                <w:t>Fenner &amp; Smith Incorporated, RBC Capital Markets, LLC and Wells Fargo Securities, LLC (incorporated by reference to Exhibit 1.1 to</w:t>
              </w:r>
            </w:hyperlink>
          </w:p>
        </w:tc>
      </w:tr>
      <w:tr>
        <w:trPr>
          <w:trHeight w:val="164"/>
        </w:trPr>
        <w:tc>
          <w:tcPr>
            <w:tcW w:w="1540" w:type="dxa"/>
            <w:vAlign w:val="bottom"/>
          </w:tcPr>
          <w:p>
            <w:pPr>
              <w:spacing w:after="0"/>
              <w:rPr>
                <w:sz w:val="14"/>
                <w:szCs w:val="14"/>
                <w:color w:val="auto"/>
              </w:rPr>
            </w:pPr>
          </w:p>
        </w:tc>
        <w:tc>
          <w:tcPr>
            <w:tcW w:w="9580" w:type="dxa"/>
            <w:vAlign w:val="bottom"/>
            <w:tcBorders>
              <w:top w:val="single" w:sz="8" w:color="0000FF"/>
            </w:tcBorders>
            <w:gridSpan w:val="34"/>
          </w:tcPr>
          <w:p>
            <w:pPr>
              <w:spacing w:after="0" w:line="164" w:lineRule="exact"/>
              <w:rPr>
                <w:rFonts w:ascii="Arial" w:cs="Arial" w:eastAsia="Arial" w:hAnsi="Arial"/>
                <w:sz w:val="18"/>
                <w:szCs w:val="18"/>
                <w:color w:val="0000FF"/>
              </w:rPr>
            </w:pPr>
            <w:hyperlink r:id="rId170">
              <w:r>
                <w:rPr>
                  <w:rFonts w:ascii="Arial" w:cs="Arial" w:eastAsia="Arial" w:hAnsi="Arial"/>
                  <w:sz w:val="18"/>
                  <w:szCs w:val="18"/>
                  <w:color w:val="0000FF"/>
                </w:rPr>
                <w:t>Westlake Chemical Partners LP's Current Report on Form 8-K filed on October 5, 2018, File No. 001-36567).</w:t>
              </w:r>
            </w:hyperlink>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gridSpan w:val="2"/>
          </w:tcPr>
          <w:p>
            <w:pPr>
              <w:spacing w:after="0"/>
              <w:rPr>
                <w:sz w:val="14"/>
                <w:szCs w:val="14"/>
                <w:color w:val="auto"/>
              </w:rPr>
            </w:pPr>
          </w:p>
        </w:tc>
        <w:tc>
          <w:tcPr>
            <w:tcW w:w="40" w:type="dxa"/>
            <w:vAlign w:val="bottom"/>
          </w:tcPr>
          <w:p>
            <w:pPr>
              <w:spacing w:after="0"/>
              <w:rPr>
                <w:sz w:val="14"/>
                <w:szCs w:val="14"/>
                <w:color w:val="auto"/>
              </w:rPr>
            </w:pPr>
          </w:p>
        </w:tc>
      </w:tr>
      <w:tr>
        <w:trPr>
          <w:trHeight w:val="20"/>
        </w:trPr>
        <w:tc>
          <w:tcPr>
            <w:tcW w:w="1540" w:type="dxa"/>
            <w:vAlign w:val="bottom"/>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520" w:type="dxa"/>
            <w:vAlign w:val="bottom"/>
            <w:gridSpan w:val="2"/>
            <w:shd w:val="clear" w:color="auto" w:fill="0000FF"/>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6"/>
        </w:trPr>
        <w:tc>
          <w:tcPr>
            <w:tcW w:w="1540" w:type="dxa"/>
            <w:vAlign w:val="bottom"/>
          </w:tcPr>
          <w:p>
            <w:pPr>
              <w:ind w:left="20"/>
              <w:spacing w:after="0"/>
              <w:rPr>
                <w:sz w:val="20"/>
                <w:szCs w:val="20"/>
                <w:color w:val="auto"/>
              </w:rPr>
            </w:pPr>
            <w:r>
              <w:rPr>
                <w:rFonts w:ascii="Arial" w:cs="Arial" w:eastAsia="Arial" w:hAnsi="Arial"/>
                <w:sz w:val="18"/>
                <w:szCs w:val="18"/>
                <w:color w:val="auto"/>
              </w:rPr>
              <w:t>10.19</w:t>
            </w:r>
          </w:p>
        </w:tc>
        <w:tc>
          <w:tcPr>
            <w:tcW w:w="9700" w:type="dxa"/>
            <w:vAlign w:val="bottom"/>
            <w:gridSpan w:val="39"/>
          </w:tcPr>
          <w:p>
            <w:pPr>
              <w:spacing w:after="0"/>
              <w:rPr>
                <w:rFonts w:ascii="Arial" w:cs="Arial" w:eastAsia="Arial" w:hAnsi="Arial"/>
                <w:sz w:val="18"/>
                <w:szCs w:val="18"/>
                <w:color w:val="0000FF"/>
                <w:w w:val="89"/>
              </w:rPr>
            </w:pPr>
            <w:hyperlink r:id="rId171">
              <w:r>
                <w:rPr>
                  <w:rFonts w:ascii="Arial" w:cs="Arial" w:eastAsia="Arial" w:hAnsi="Arial"/>
                  <w:sz w:val="18"/>
                  <w:szCs w:val="18"/>
                  <w:color w:val="0000FF"/>
                  <w:w w:val="89"/>
                </w:rPr>
                <w:t>First Amendment to Amended and Restated Senior Unsecured Revolving Credit Agreement (incorporated by reference to Exhibit 10.1 to</w:t>
              </w:r>
            </w:hyperlink>
          </w:p>
        </w:tc>
      </w:tr>
      <w:tr>
        <w:trPr>
          <w:trHeight w:val="151"/>
        </w:trPr>
        <w:tc>
          <w:tcPr>
            <w:tcW w:w="1540" w:type="dxa"/>
            <w:vAlign w:val="bottom"/>
          </w:tcPr>
          <w:p>
            <w:pPr>
              <w:spacing w:after="0"/>
              <w:rPr>
                <w:sz w:val="13"/>
                <w:szCs w:val="13"/>
                <w:color w:val="auto"/>
              </w:rPr>
            </w:pPr>
          </w:p>
        </w:tc>
        <w:tc>
          <w:tcPr>
            <w:tcW w:w="9660" w:type="dxa"/>
            <w:vAlign w:val="bottom"/>
            <w:tcBorders>
              <w:top w:val="single" w:sz="8" w:color="0000FF"/>
            </w:tcBorders>
            <w:gridSpan w:val="38"/>
          </w:tcPr>
          <w:p>
            <w:pPr>
              <w:spacing w:after="0" w:line="152" w:lineRule="exact"/>
              <w:rPr>
                <w:rFonts w:ascii="Arial" w:cs="Arial" w:eastAsia="Arial" w:hAnsi="Arial"/>
                <w:sz w:val="16"/>
                <w:szCs w:val="16"/>
                <w:color w:val="0000FF"/>
                <w:w w:val="99"/>
              </w:rPr>
            </w:pPr>
            <w:hyperlink r:id="rId171">
              <w:r>
                <w:rPr>
                  <w:rFonts w:ascii="Arial" w:cs="Arial" w:eastAsia="Arial" w:hAnsi="Arial"/>
                  <w:sz w:val="16"/>
                  <w:szCs w:val="16"/>
                  <w:color w:val="0000FF"/>
                  <w:w w:val="99"/>
                </w:rPr>
                <w:t>Westlake Chemical Partners LP's Quarterly Report on Form 10-Q for the quarter ended September 30, 2018 (File No. 01-36567) filed on</w:t>
              </w:r>
            </w:hyperlink>
          </w:p>
        </w:tc>
        <w:tc>
          <w:tcPr>
            <w:tcW w:w="40" w:type="dxa"/>
            <w:vAlign w:val="bottom"/>
          </w:tcPr>
          <w:p>
            <w:pPr>
              <w:spacing w:after="0"/>
              <w:rPr>
                <w:sz w:val="13"/>
                <w:szCs w:val="13"/>
                <w:color w:val="auto"/>
              </w:rPr>
            </w:pPr>
          </w:p>
        </w:tc>
      </w:tr>
      <w:tr>
        <w:trPr>
          <w:trHeight w:val="151"/>
        </w:trPr>
        <w:tc>
          <w:tcPr>
            <w:tcW w:w="1540" w:type="dxa"/>
            <w:vAlign w:val="bottom"/>
          </w:tcPr>
          <w:p>
            <w:pPr>
              <w:spacing w:after="0"/>
              <w:rPr>
                <w:sz w:val="13"/>
                <w:szCs w:val="13"/>
                <w:color w:val="auto"/>
              </w:rPr>
            </w:pPr>
          </w:p>
        </w:tc>
        <w:tc>
          <w:tcPr>
            <w:tcW w:w="9620" w:type="dxa"/>
            <w:vAlign w:val="bottom"/>
            <w:tcBorders>
              <w:top w:val="single" w:sz="8" w:color="0000FF"/>
            </w:tcBorders>
            <w:gridSpan w:val="36"/>
          </w:tcPr>
          <w:p>
            <w:pPr>
              <w:spacing w:after="0" w:line="152" w:lineRule="exact"/>
              <w:rPr>
                <w:rFonts w:ascii="Arial" w:cs="Arial" w:eastAsia="Arial" w:hAnsi="Arial"/>
                <w:sz w:val="16"/>
                <w:szCs w:val="16"/>
                <w:color w:val="0000FF"/>
              </w:rPr>
            </w:pPr>
            <w:hyperlink r:id="rId171">
              <w:r>
                <w:rPr>
                  <w:rFonts w:ascii="Arial" w:cs="Arial" w:eastAsia="Arial" w:hAnsi="Arial"/>
                  <w:sz w:val="16"/>
                  <w:szCs w:val="16"/>
                  <w:color w:val="0000FF"/>
                </w:rPr>
                <w:t>November 6, 2018)</w:t>
              </w:r>
              <w:r>
                <w:rPr>
                  <w:rFonts w:ascii="Arial" w:cs="Arial" w:eastAsia="Arial" w:hAnsi="Arial"/>
                  <w:sz w:val="16"/>
                  <w:szCs w:val="16"/>
                  <w:color w:val="000000"/>
                </w:rPr>
                <w:t>.</w:t>
              </w:r>
            </w:hyperlink>
          </w:p>
        </w:tc>
        <w:tc>
          <w:tcPr>
            <w:tcW w:w="80" w:type="dxa"/>
            <w:vAlign w:val="bottom"/>
            <w:gridSpan w:val="3"/>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269"/>
        </w:trPr>
        <w:tc>
          <w:tcPr>
            <w:tcW w:w="1540" w:type="dxa"/>
            <w:vAlign w:val="bottom"/>
          </w:tcPr>
          <w:p>
            <w:pPr>
              <w:ind w:left="20"/>
              <w:spacing w:after="0"/>
              <w:rPr>
                <w:sz w:val="20"/>
                <w:szCs w:val="20"/>
                <w:color w:val="auto"/>
              </w:rPr>
            </w:pPr>
            <w:r>
              <w:rPr>
                <w:rFonts w:ascii="Arial" w:cs="Arial" w:eastAsia="Arial" w:hAnsi="Arial"/>
                <w:sz w:val="18"/>
                <w:szCs w:val="18"/>
                <w:color w:val="auto"/>
              </w:rPr>
              <w:t>10.20</w:t>
            </w:r>
          </w:p>
        </w:tc>
        <w:tc>
          <w:tcPr>
            <w:tcW w:w="9700" w:type="dxa"/>
            <w:vAlign w:val="bottom"/>
            <w:gridSpan w:val="39"/>
          </w:tcPr>
          <w:p>
            <w:pPr>
              <w:spacing w:after="0"/>
              <w:rPr>
                <w:rFonts w:ascii="Arial" w:cs="Arial" w:eastAsia="Arial" w:hAnsi="Arial"/>
                <w:sz w:val="18"/>
                <w:szCs w:val="18"/>
                <w:color w:val="0000FF"/>
                <w:w w:val="94"/>
              </w:rPr>
            </w:pPr>
            <w:hyperlink r:id="rId172">
              <w:r>
                <w:rPr>
                  <w:rFonts w:ascii="Arial" w:cs="Arial" w:eastAsia="Arial" w:hAnsi="Arial"/>
                  <w:sz w:val="18"/>
                  <w:szCs w:val="18"/>
                  <w:color w:val="0000FF"/>
                  <w:w w:val="94"/>
                </w:rPr>
                <w:t>Second Amendment to Ethylene Sales Agreement (incorporated by reference to Exhibit 10.2 to Westlake Chemical Partners LP's</w:t>
              </w:r>
            </w:hyperlink>
          </w:p>
        </w:tc>
      </w:tr>
      <w:tr>
        <w:trPr>
          <w:trHeight w:val="151"/>
        </w:trPr>
        <w:tc>
          <w:tcPr>
            <w:tcW w:w="1540" w:type="dxa"/>
            <w:vAlign w:val="bottom"/>
          </w:tcPr>
          <w:p>
            <w:pPr>
              <w:spacing w:after="0"/>
              <w:rPr>
                <w:sz w:val="13"/>
                <w:szCs w:val="13"/>
                <w:color w:val="auto"/>
              </w:rPr>
            </w:pPr>
          </w:p>
        </w:tc>
        <w:tc>
          <w:tcPr>
            <w:tcW w:w="9060" w:type="dxa"/>
            <w:vAlign w:val="bottom"/>
            <w:tcBorders>
              <w:top w:val="single" w:sz="8" w:color="0000FF"/>
            </w:tcBorders>
            <w:gridSpan w:val="17"/>
          </w:tcPr>
          <w:p>
            <w:pPr>
              <w:spacing w:after="0" w:line="152" w:lineRule="exact"/>
              <w:rPr>
                <w:rFonts w:ascii="Arial" w:cs="Arial" w:eastAsia="Arial" w:hAnsi="Arial"/>
                <w:sz w:val="16"/>
                <w:szCs w:val="16"/>
                <w:color w:val="0000FF"/>
              </w:rPr>
            </w:pPr>
            <w:hyperlink r:id="rId172">
              <w:r>
                <w:rPr>
                  <w:rFonts w:ascii="Arial" w:cs="Arial" w:eastAsia="Arial" w:hAnsi="Arial"/>
                  <w:sz w:val="16"/>
                  <w:szCs w:val="16"/>
                  <w:color w:val="0000FF"/>
                </w:rPr>
                <w:t>Quarterly Report on Form 10-Q for the quarter ended September 30, 2018 (File No. 01-36567) filed on November 6, 2018).</w:t>
              </w:r>
            </w:hyperlink>
          </w:p>
        </w:tc>
        <w:tc>
          <w:tcPr>
            <w:tcW w:w="40" w:type="dxa"/>
            <w:vAlign w:val="bottom"/>
          </w:tcPr>
          <w:p>
            <w:pPr>
              <w:spacing w:after="0"/>
              <w:rPr>
                <w:sz w:val="13"/>
                <w:szCs w:val="13"/>
                <w:color w:val="auto"/>
              </w:rPr>
            </w:pPr>
          </w:p>
        </w:tc>
        <w:tc>
          <w:tcPr>
            <w:tcW w:w="16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4"/>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9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2500" w:type="dxa"/>
            <w:vAlign w:val="bottom"/>
            <w:gridSpan w:val="3"/>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r>
      <w:tr>
        <w:trPr>
          <w:trHeight w:val="269"/>
        </w:trPr>
        <w:tc>
          <w:tcPr>
            <w:tcW w:w="1540" w:type="dxa"/>
            <w:vAlign w:val="bottom"/>
          </w:tcPr>
          <w:p>
            <w:pPr>
              <w:ind w:left="20"/>
              <w:spacing w:after="0"/>
              <w:rPr>
                <w:sz w:val="20"/>
                <w:szCs w:val="20"/>
                <w:color w:val="auto"/>
              </w:rPr>
            </w:pPr>
            <w:r>
              <w:rPr>
                <w:rFonts w:ascii="Arial" w:cs="Arial" w:eastAsia="Arial" w:hAnsi="Arial"/>
                <w:sz w:val="18"/>
                <w:szCs w:val="18"/>
                <w:color w:val="auto"/>
              </w:rPr>
              <w:t>10.21</w:t>
            </w:r>
          </w:p>
        </w:tc>
        <w:tc>
          <w:tcPr>
            <w:tcW w:w="9700" w:type="dxa"/>
            <w:vAlign w:val="bottom"/>
            <w:gridSpan w:val="39"/>
          </w:tcPr>
          <w:p>
            <w:pPr>
              <w:spacing w:after="0"/>
              <w:rPr>
                <w:rFonts w:ascii="Arial" w:cs="Arial" w:eastAsia="Arial" w:hAnsi="Arial"/>
                <w:sz w:val="18"/>
                <w:szCs w:val="18"/>
                <w:color w:val="0000FF"/>
                <w:w w:val="91"/>
              </w:rPr>
            </w:pPr>
            <w:hyperlink r:id="rId173">
              <w:r>
                <w:rPr>
                  <w:rFonts w:ascii="Arial" w:cs="Arial" w:eastAsia="Arial" w:hAnsi="Arial"/>
                  <w:sz w:val="18"/>
                  <w:szCs w:val="18"/>
                  <w:color w:val="0000FF"/>
                  <w:w w:val="91"/>
                </w:rPr>
                <w:t>Equity Purchase Agreement by and among Westlake Chemical Partners LP, Westlake Chemical OpCo LP and WPT LLC, dated as of</w:t>
              </w:r>
            </w:hyperlink>
          </w:p>
        </w:tc>
      </w:tr>
      <w:tr>
        <w:trPr>
          <w:trHeight w:val="151"/>
        </w:trPr>
        <w:tc>
          <w:tcPr>
            <w:tcW w:w="1540" w:type="dxa"/>
            <w:vAlign w:val="bottom"/>
          </w:tcPr>
          <w:p>
            <w:pPr>
              <w:spacing w:after="0"/>
              <w:rPr>
                <w:sz w:val="13"/>
                <w:szCs w:val="13"/>
                <w:color w:val="auto"/>
              </w:rPr>
            </w:pPr>
          </w:p>
        </w:tc>
        <w:tc>
          <w:tcPr>
            <w:tcW w:w="9340" w:type="dxa"/>
            <w:vAlign w:val="bottom"/>
            <w:tcBorders>
              <w:top w:val="single" w:sz="8" w:color="0000FF"/>
            </w:tcBorders>
            <w:gridSpan w:val="24"/>
          </w:tcPr>
          <w:p>
            <w:pPr>
              <w:spacing w:after="0" w:line="152" w:lineRule="exact"/>
              <w:rPr>
                <w:rFonts w:ascii="Arial" w:cs="Arial" w:eastAsia="Arial" w:hAnsi="Arial"/>
                <w:sz w:val="16"/>
                <w:szCs w:val="16"/>
                <w:color w:val="0000FF"/>
              </w:rPr>
            </w:pPr>
            <w:hyperlink r:id="rId173">
              <w:r>
                <w:rPr>
                  <w:rFonts w:ascii="Arial" w:cs="Arial" w:eastAsia="Arial" w:hAnsi="Arial"/>
                  <w:sz w:val="16"/>
                  <w:szCs w:val="16"/>
                  <w:color w:val="0000FF"/>
                </w:rPr>
                <w:t>March 26, 2019 (incorporated by reference to Exhibit 2.1 to Westlake Chemical Partners LP's Current Report on Form 8-K, filed on</w:t>
              </w:r>
            </w:hyperlink>
          </w:p>
        </w:tc>
        <w:tc>
          <w:tcPr>
            <w:tcW w:w="120" w:type="dxa"/>
            <w:vAlign w:val="bottom"/>
            <w:gridSpan w:val="4"/>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4"/>
          </w:tcPr>
          <w:p>
            <w:pPr>
              <w:spacing w:after="0"/>
              <w:rPr>
                <w:sz w:val="13"/>
                <w:szCs w:val="13"/>
                <w:color w:val="auto"/>
              </w:rPr>
            </w:pPr>
          </w:p>
        </w:tc>
      </w:tr>
      <w:tr>
        <w:trPr>
          <w:trHeight w:val="151"/>
        </w:trPr>
        <w:tc>
          <w:tcPr>
            <w:tcW w:w="1540" w:type="dxa"/>
            <w:vAlign w:val="bottom"/>
          </w:tcPr>
          <w:p>
            <w:pPr>
              <w:spacing w:after="0"/>
              <w:rPr>
                <w:sz w:val="13"/>
                <w:szCs w:val="13"/>
                <w:color w:val="auto"/>
              </w:rPr>
            </w:pPr>
          </w:p>
        </w:tc>
        <w:tc>
          <w:tcPr>
            <w:tcW w:w="2700" w:type="dxa"/>
            <w:vAlign w:val="bottom"/>
            <w:tcBorders>
              <w:top w:val="single" w:sz="8" w:color="0000FF"/>
              <w:bottom w:val="single" w:sz="8" w:color="0000FF"/>
            </w:tcBorders>
            <w:gridSpan w:val="7"/>
          </w:tcPr>
          <w:p>
            <w:pPr>
              <w:spacing w:after="0" w:line="152" w:lineRule="exact"/>
              <w:rPr>
                <w:rFonts w:ascii="Arial" w:cs="Arial" w:eastAsia="Arial" w:hAnsi="Arial"/>
                <w:sz w:val="16"/>
                <w:szCs w:val="16"/>
                <w:color w:val="0000FF"/>
              </w:rPr>
            </w:pPr>
            <w:hyperlink r:id="rId173">
              <w:r>
                <w:rPr>
                  <w:rFonts w:ascii="Arial" w:cs="Arial" w:eastAsia="Arial" w:hAnsi="Arial"/>
                  <w:sz w:val="16"/>
                  <w:szCs w:val="16"/>
                  <w:color w:val="0000FF"/>
                </w:rPr>
                <w:t>March 27, 2019, File No. 001-36567).</w:t>
              </w:r>
            </w:hyperlink>
          </w:p>
        </w:tc>
        <w:tc>
          <w:tcPr>
            <w:tcW w:w="6580" w:type="dxa"/>
            <w:vAlign w:val="bottom"/>
            <w:tcBorders>
              <w:top w:val="single" w:sz="8" w:color="0000FF"/>
            </w:tcBorders>
            <w:gridSpan w:val="16"/>
          </w:tcPr>
          <w:p>
            <w:pPr>
              <w:spacing w:after="0"/>
              <w:rPr>
                <w:sz w:val="13"/>
                <w:szCs w:val="13"/>
                <w:color w:val="auto"/>
              </w:rPr>
            </w:pPr>
          </w:p>
        </w:tc>
        <w:tc>
          <w:tcPr>
            <w:tcW w:w="18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4"/>
          </w:tcPr>
          <w:p>
            <w:pPr>
              <w:spacing w:after="0"/>
              <w:rPr>
                <w:sz w:val="13"/>
                <w:szCs w:val="13"/>
                <w:color w:val="auto"/>
              </w:rPr>
            </w:pPr>
          </w:p>
        </w:tc>
      </w:tr>
      <w:tr>
        <w:trPr>
          <w:trHeight w:val="269"/>
        </w:trPr>
        <w:tc>
          <w:tcPr>
            <w:tcW w:w="1540" w:type="dxa"/>
            <w:vAlign w:val="bottom"/>
          </w:tcPr>
          <w:p>
            <w:pPr>
              <w:ind w:left="20"/>
              <w:spacing w:after="0"/>
              <w:rPr>
                <w:sz w:val="20"/>
                <w:szCs w:val="20"/>
                <w:color w:val="auto"/>
              </w:rPr>
            </w:pPr>
            <w:r>
              <w:rPr>
                <w:rFonts w:ascii="Arial" w:cs="Arial" w:eastAsia="Arial" w:hAnsi="Arial"/>
                <w:sz w:val="18"/>
                <w:szCs w:val="18"/>
                <w:color w:val="auto"/>
              </w:rPr>
              <w:t>10.22</w:t>
            </w:r>
          </w:p>
        </w:tc>
        <w:tc>
          <w:tcPr>
            <w:tcW w:w="9260" w:type="dxa"/>
            <w:vAlign w:val="bottom"/>
            <w:tcBorders>
              <w:bottom w:val="single" w:sz="8" w:color="0000FF"/>
            </w:tcBorders>
            <w:gridSpan w:val="22"/>
          </w:tcPr>
          <w:p>
            <w:pPr>
              <w:spacing w:after="0"/>
              <w:rPr>
                <w:rFonts w:ascii="Arial" w:cs="Arial" w:eastAsia="Arial" w:hAnsi="Arial"/>
                <w:sz w:val="18"/>
                <w:szCs w:val="18"/>
                <w:color w:val="0000FF"/>
                <w:w w:val="88"/>
              </w:rPr>
            </w:pPr>
            <w:hyperlink r:id="rId174">
              <w:r>
                <w:rPr>
                  <w:rFonts w:ascii="Arial" w:cs="Arial" w:eastAsia="Arial" w:hAnsi="Arial"/>
                  <w:sz w:val="18"/>
                  <w:szCs w:val="18"/>
                  <w:color w:val="0000FF"/>
                  <w:w w:val="88"/>
                </w:rPr>
                <w:t>First Amendment to Equity Distribution Agreement by and among Westlake Chemical Partners LP, Westlake Chemical Partners GP</w:t>
              </w:r>
            </w:hyperlink>
          </w:p>
        </w:tc>
        <w:tc>
          <w:tcPr>
            <w:tcW w:w="440" w:type="dxa"/>
            <w:vAlign w:val="bottom"/>
            <w:gridSpan w:val="17"/>
          </w:tcPr>
          <w:p>
            <w:pPr>
              <w:spacing w:after="0"/>
              <w:rPr>
                <w:sz w:val="23"/>
                <w:szCs w:val="23"/>
                <w:color w:val="auto"/>
              </w:rPr>
            </w:pPr>
          </w:p>
        </w:tc>
      </w:tr>
      <w:tr>
        <w:trPr>
          <w:trHeight w:val="151"/>
        </w:trPr>
        <w:tc>
          <w:tcPr>
            <w:tcW w:w="1540" w:type="dxa"/>
            <w:vAlign w:val="bottom"/>
          </w:tcPr>
          <w:p>
            <w:pPr>
              <w:spacing w:after="0"/>
              <w:rPr>
                <w:sz w:val="13"/>
                <w:szCs w:val="13"/>
                <w:color w:val="auto"/>
              </w:rPr>
            </w:pPr>
          </w:p>
        </w:tc>
        <w:tc>
          <w:tcPr>
            <w:tcW w:w="9700" w:type="dxa"/>
            <w:vAlign w:val="bottom"/>
            <w:gridSpan w:val="39"/>
          </w:tcPr>
          <w:p>
            <w:pPr>
              <w:spacing w:after="0" w:line="152" w:lineRule="exact"/>
              <w:rPr>
                <w:rFonts w:ascii="Arial" w:cs="Arial" w:eastAsia="Arial" w:hAnsi="Arial"/>
                <w:sz w:val="16"/>
                <w:szCs w:val="16"/>
                <w:color w:val="0000FF"/>
              </w:rPr>
            </w:pPr>
            <w:hyperlink r:id="rId174">
              <w:r>
                <w:rPr>
                  <w:rFonts w:ascii="Arial" w:cs="Arial" w:eastAsia="Arial" w:hAnsi="Arial"/>
                  <w:sz w:val="16"/>
                  <w:szCs w:val="16"/>
                  <w:color w:val="0000FF"/>
                </w:rPr>
                <w:t>LLC, UBS Securities LLC, Barclays Capital Inc., BofA Securities, Inc., Citigroup Global Markets Inc., Deutsche Bank Securities Inc.,</w:t>
              </w:r>
            </w:hyperlink>
          </w:p>
        </w:tc>
      </w:tr>
      <w:tr>
        <w:trPr>
          <w:trHeight w:val="151"/>
        </w:trPr>
        <w:tc>
          <w:tcPr>
            <w:tcW w:w="1540" w:type="dxa"/>
            <w:vAlign w:val="bottom"/>
          </w:tcPr>
          <w:p>
            <w:pPr>
              <w:spacing w:after="0"/>
              <w:rPr>
                <w:sz w:val="13"/>
                <w:szCs w:val="13"/>
                <w:color w:val="auto"/>
              </w:rPr>
            </w:pPr>
          </w:p>
        </w:tc>
        <w:tc>
          <w:tcPr>
            <w:tcW w:w="9460" w:type="dxa"/>
            <w:vAlign w:val="bottom"/>
            <w:tcBorders>
              <w:top w:val="single" w:sz="8" w:color="0000FF"/>
              <w:bottom w:val="single" w:sz="8" w:color="0000FF"/>
            </w:tcBorders>
            <w:gridSpan w:val="28"/>
          </w:tcPr>
          <w:p>
            <w:pPr>
              <w:spacing w:after="0" w:line="152" w:lineRule="exact"/>
              <w:rPr>
                <w:rFonts w:ascii="Arial" w:cs="Arial" w:eastAsia="Arial" w:hAnsi="Arial"/>
                <w:sz w:val="16"/>
                <w:szCs w:val="16"/>
                <w:color w:val="0000FF"/>
                <w:w w:val="99"/>
              </w:rPr>
            </w:pPr>
            <w:hyperlink r:id="rId174">
              <w:r>
                <w:rPr>
                  <w:rFonts w:ascii="Arial" w:cs="Arial" w:eastAsia="Arial" w:hAnsi="Arial"/>
                  <w:sz w:val="16"/>
                  <w:szCs w:val="16"/>
                  <w:color w:val="0000FF"/>
                  <w:w w:val="99"/>
                </w:rPr>
                <w:t>RBC Capital Markets, LLC and Wells Fargo Securities, LLC dated as of February 28, 2020 (incorporated by reference to Exhibit 10.22</w:t>
              </w:r>
            </w:hyperlink>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40" w:type="dxa"/>
            <w:vAlign w:val="bottom"/>
            <w:tcBorders>
              <w:bottom w:val="single" w:sz="8" w:color="0000FF"/>
            </w:tcBorders>
            <w:gridSpan w:val="2"/>
          </w:tcPr>
          <w:p>
            <w:pPr>
              <w:spacing w:after="0"/>
              <w:rPr>
                <w:sz w:val="13"/>
                <w:szCs w:val="13"/>
                <w:color w:val="auto"/>
              </w:rPr>
            </w:pPr>
          </w:p>
        </w:tc>
        <w:tc>
          <w:tcPr>
            <w:tcW w:w="60" w:type="dxa"/>
            <w:vAlign w:val="bottom"/>
            <w:gridSpan w:val="3"/>
          </w:tcPr>
          <w:p>
            <w:pPr>
              <w:spacing w:after="0"/>
              <w:rPr>
                <w:sz w:val="13"/>
                <w:szCs w:val="13"/>
                <w:color w:val="auto"/>
              </w:rPr>
            </w:pPr>
          </w:p>
        </w:tc>
        <w:tc>
          <w:tcPr>
            <w:tcW w:w="100" w:type="dxa"/>
            <w:vAlign w:val="bottom"/>
            <w:gridSpan w:val="4"/>
          </w:tcPr>
          <w:p>
            <w:pPr>
              <w:spacing w:after="0"/>
              <w:rPr>
                <w:sz w:val="13"/>
                <w:szCs w:val="13"/>
                <w:color w:val="auto"/>
              </w:rPr>
            </w:pPr>
          </w:p>
        </w:tc>
      </w:tr>
      <w:tr>
        <w:trPr>
          <w:trHeight w:val="164"/>
        </w:trPr>
        <w:tc>
          <w:tcPr>
            <w:tcW w:w="1540" w:type="dxa"/>
            <w:vAlign w:val="bottom"/>
          </w:tcPr>
          <w:p>
            <w:pPr>
              <w:spacing w:after="0"/>
              <w:rPr>
                <w:sz w:val="14"/>
                <w:szCs w:val="14"/>
                <w:color w:val="auto"/>
              </w:rPr>
            </w:pPr>
          </w:p>
        </w:tc>
        <w:tc>
          <w:tcPr>
            <w:tcW w:w="9540" w:type="dxa"/>
            <w:vAlign w:val="bottom"/>
            <w:tcBorders>
              <w:bottom w:val="single" w:sz="8" w:color="0000FF"/>
            </w:tcBorders>
            <w:gridSpan w:val="32"/>
          </w:tcPr>
          <w:p>
            <w:pPr>
              <w:spacing w:after="0" w:line="164" w:lineRule="exact"/>
              <w:rPr>
                <w:rFonts w:ascii="Arial" w:cs="Arial" w:eastAsia="Arial" w:hAnsi="Arial"/>
                <w:sz w:val="18"/>
                <w:szCs w:val="18"/>
                <w:color w:val="0000FF"/>
                <w:w w:val="87"/>
              </w:rPr>
            </w:pPr>
            <w:hyperlink r:id="rId174">
              <w:r>
                <w:rPr>
                  <w:rFonts w:ascii="Arial" w:cs="Arial" w:eastAsia="Arial" w:hAnsi="Arial"/>
                  <w:sz w:val="18"/>
                  <w:szCs w:val="18"/>
                  <w:color w:val="0000FF"/>
                  <w:w w:val="87"/>
                </w:rPr>
                <w:t>to Westlake Chemical Partnership LP's Annual Report on Form 10-K for the year ended December 31, 2019, filed on February 28, 2020,</w:t>
              </w:r>
            </w:hyperlink>
          </w:p>
        </w:tc>
        <w:tc>
          <w:tcPr>
            <w:tcW w:w="60" w:type="dxa"/>
            <w:vAlign w:val="bottom"/>
            <w:tcBorders>
              <w:bottom w:val="single" w:sz="8" w:color="0000FF"/>
            </w:tcBorders>
            <w:gridSpan w:val="3"/>
          </w:tcPr>
          <w:p>
            <w:pPr>
              <w:spacing w:after="0"/>
              <w:rPr>
                <w:sz w:val="14"/>
                <w:szCs w:val="14"/>
                <w:color w:val="auto"/>
              </w:rPr>
            </w:pPr>
          </w:p>
        </w:tc>
        <w:tc>
          <w:tcPr>
            <w:tcW w:w="100" w:type="dxa"/>
            <w:vAlign w:val="bottom"/>
            <w:gridSpan w:val="4"/>
          </w:tcPr>
          <w:p>
            <w:pPr>
              <w:spacing w:after="0"/>
              <w:rPr>
                <w:sz w:val="14"/>
                <w:szCs w:val="14"/>
                <w:color w:val="auto"/>
              </w:rPr>
            </w:pPr>
          </w:p>
        </w:tc>
      </w:tr>
      <w:tr>
        <w:trPr>
          <w:trHeight w:val="151"/>
        </w:trPr>
        <w:tc>
          <w:tcPr>
            <w:tcW w:w="1540" w:type="dxa"/>
            <w:vAlign w:val="bottom"/>
          </w:tcPr>
          <w:p>
            <w:pPr>
              <w:spacing w:after="0"/>
              <w:rPr>
                <w:sz w:val="13"/>
                <w:szCs w:val="13"/>
                <w:color w:val="auto"/>
              </w:rPr>
            </w:pPr>
          </w:p>
        </w:tc>
        <w:tc>
          <w:tcPr>
            <w:tcW w:w="1500" w:type="dxa"/>
            <w:vAlign w:val="bottom"/>
            <w:tcBorders>
              <w:bottom w:val="single" w:sz="8" w:color="0000FF"/>
            </w:tcBorders>
            <w:gridSpan w:val="6"/>
          </w:tcPr>
          <w:p>
            <w:pPr>
              <w:spacing w:after="0" w:line="152" w:lineRule="exact"/>
              <w:rPr>
                <w:rFonts w:ascii="Arial" w:cs="Arial" w:eastAsia="Arial" w:hAnsi="Arial"/>
                <w:sz w:val="16"/>
                <w:szCs w:val="16"/>
                <w:color w:val="0000FF"/>
              </w:rPr>
            </w:pPr>
            <w:hyperlink r:id="rId174">
              <w:r>
                <w:rPr>
                  <w:rFonts w:ascii="Arial" w:cs="Arial" w:eastAsia="Arial" w:hAnsi="Arial"/>
                  <w:sz w:val="16"/>
                  <w:szCs w:val="16"/>
                  <w:color w:val="0000FF"/>
                </w:rPr>
                <w:t>File No, 001-36567).</w:t>
              </w:r>
            </w:hyperlink>
          </w:p>
        </w:tc>
        <w:tc>
          <w:tcPr>
            <w:tcW w:w="8100" w:type="dxa"/>
            <w:vAlign w:val="bottom"/>
            <w:gridSpan w:val="29"/>
          </w:tcPr>
          <w:p>
            <w:pPr>
              <w:spacing w:after="0"/>
              <w:rPr>
                <w:sz w:val="13"/>
                <w:szCs w:val="13"/>
                <w:color w:val="auto"/>
              </w:rPr>
            </w:pPr>
          </w:p>
        </w:tc>
        <w:tc>
          <w:tcPr>
            <w:tcW w:w="100" w:type="dxa"/>
            <w:vAlign w:val="bottom"/>
            <w:gridSpan w:val="4"/>
          </w:tcPr>
          <w:p>
            <w:pPr>
              <w:spacing w:after="0"/>
              <w:rPr>
                <w:sz w:val="13"/>
                <w:szCs w:val="13"/>
                <w:color w:val="auto"/>
              </w:rPr>
            </w:pPr>
          </w:p>
        </w:tc>
      </w:tr>
      <w:tr>
        <w:trPr>
          <w:trHeight w:val="269"/>
        </w:trPr>
        <w:tc>
          <w:tcPr>
            <w:tcW w:w="1540" w:type="dxa"/>
            <w:vAlign w:val="bottom"/>
          </w:tcPr>
          <w:p>
            <w:pPr>
              <w:ind w:left="20"/>
              <w:spacing w:after="0"/>
              <w:rPr>
                <w:sz w:val="20"/>
                <w:szCs w:val="20"/>
                <w:color w:val="auto"/>
              </w:rPr>
            </w:pPr>
            <w:r>
              <w:rPr>
                <w:rFonts w:ascii="Arial" w:cs="Arial" w:eastAsia="Arial" w:hAnsi="Arial"/>
                <w:sz w:val="18"/>
                <w:szCs w:val="18"/>
                <w:color w:val="auto"/>
              </w:rPr>
              <w:t>10.23</w:t>
            </w:r>
          </w:p>
        </w:tc>
        <w:tc>
          <w:tcPr>
            <w:tcW w:w="9700" w:type="dxa"/>
            <w:vAlign w:val="bottom"/>
            <w:gridSpan w:val="39"/>
          </w:tcPr>
          <w:p>
            <w:pPr>
              <w:spacing w:after="0"/>
              <w:rPr>
                <w:rFonts w:ascii="Arial" w:cs="Arial" w:eastAsia="Arial" w:hAnsi="Arial"/>
                <w:sz w:val="18"/>
                <w:szCs w:val="18"/>
                <w:color w:val="0000FF"/>
                <w:w w:val="94"/>
              </w:rPr>
            </w:pPr>
            <w:hyperlink r:id="rId175">
              <w:r>
                <w:rPr>
                  <w:rFonts w:ascii="Arial" w:cs="Arial" w:eastAsia="Arial" w:hAnsi="Arial"/>
                  <w:sz w:val="18"/>
                  <w:szCs w:val="18"/>
                  <w:color w:val="0000FF"/>
                  <w:w w:val="94"/>
                </w:rPr>
                <w:t>Amendment No. 2 to the Amended and Restated Senior Unsecured Revolving Credit Agreement of Westlake Chemical OpCo LP</w:t>
              </w:r>
            </w:hyperlink>
          </w:p>
        </w:tc>
      </w:tr>
      <w:tr>
        <w:trPr>
          <w:trHeight w:val="151"/>
        </w:trPr>
        <w:tc>
          <w:tcPr>
            <w:tcW w:w="1540" w:type="dxa"/>
            <w:vAlign w:val="bottom"/>
          </w:tcPr>
          <w:p>
            <w:pPr>
              <w:spacing w:after="0"/>
              <w:rPr>
                <w:sz w:val="13"/>
                <w:szCs w:val="13"/>
                <w:color w:val="auto"/>
              </w:rPr>
            </w:pPr>
          </w:p>
        </w:tc>
        <w:tc>
          <w:tcPr>
            <w:tcW w:w="9100" w:type="dxa"/>
            <w:vAlign w:val="bottom"/>
            <w:tcBorders>
              <w:top w:val="single" w:sz="8" w:color="0000FF"/>
            </w:tcBorders>
            <w:gridSpan w:val="18"/>
          </w:tcPr>
          <w:p>
            <w:pPr>
              <w:spacing w:after="0" w:line="152" w:lineRule="exact"/>
              <w:rPr>
                <w:rFonts w:ascii="Arial" w:cs="Arial" w:eastAsia="Arial" w:hAnsi="Arial"/>
                <w:sz w:val="16"/>
                <w:szCs w:val="16"/>
                <w:color w:val="0000FF"/>
              </w:rPr>
            </w:pPr>
            <w:hyperlink r:id="rId175">
              <w:r>
                <w:rPr>
                  <w:rFonts w:ascii="Arial" w:cs="Arial" w:eastAsia="Arial" w:hAnsi="Arial"/>
                  <w:sz w:val="16"/>
                  <w:szCs w:val="16"/>
                  <w:color w:val="0000FF"/>
                </w:rPr>
                <w:t>(incorporated by reference to Exhibit 10.1 to Westlake Chemical Partners LP's Current Report on Form 8-K (File No. 001-36567)</w:t>
              </w:r>
            </w:hyperlink>
          </w:p>
        </w:tc>
        <w:tc>
          <w:tcPr>
            <w:tcW w:w="600" w:type="dxa"/>
            <w:vAlign w:val="bottom"/>
            <w:gridSpan w:val="21"/>
          </w:tcPr>
          <w:p>
            <w:pPr>
              <w:ind w:left="40"/>
              <w:spacing w:after="0" w:line="152" w:lineRule="exact"/>
              <w:rPr>
                <w:rFonts w:ascii="Arial" w:cs="Arial" w:eastAsia="Arial" w:hAnsi="Arial"/>
                <w:sz w:val="16"/>
                <w:szCs w:val="16"/>
                <w:color w:val="0000FF"/>
              </w:rPr>
            </w:pPr>
            <w:hyperlink r:id="rId175">
              <w:r>
                <w:rPr>
                  <w:rFonts w:ascii="Arial" w:cs="Arial" w:eastAsia="Arial" w:hAnsi="Arial"/>
                  <w:sz w:val="16"/>
                  <w:szCs w:val="16"/>
                  <w:color w:val="0000FF"/>
                </w:rPr>
                <w:t>filed</w:t>
              </w:r>
            </w:hyperlink>
          </w:p>
        </w:tc>
      </w:tr>
      <w:tr>
        <w:trPr>
          <w:trHeight w:val="151"/>
        </w:trPr>
        <w:tc>
          <w:tcPr>
            <w:tcW w:w="1540" w:type="dxa"/>
            <w:vAlign w:val="bottom"/>
          </w:tcPr>
          <w:p>
            <w:pPr>
              <w:spacing w:after="0"/>
              <w:rPr>
                <w:sz w:val="13"/>
                <w:szCs w:val="13"/>
                <w:color w:val="auto"/>
              </w:rPr>
            </w:pPr>
          </w:p>
        </w:tc>
        <w:tc>
          <w:tcPr>
            <w:tcW w:w="9480" w:type="dxa"/>
            <w:vAlign w:val="bottom"/>
            <w:tcBorders>
              <w:top w:val="single" w:sz="8" w:color="0000FF"/>
            </w:tcBorders>
            <w:gridSpan w:val="29"/>
          </w:tcPr>
          <w:p>
            <w:pPr>
              <w:spacing w:after="0" w:line="152" w:lineRule="exact"/>
              <w:rPr>
                <w:rFonts w:ascii="Arial" w:cs="Arial" w:eastAsia="Arial" w:hAnsi="Arial"/>
                <w:sz w:val="16"/>
                <w:szCs w:val="16"/>
                <w:color w:val="0000FF"/>
              </w:rPr>
            </w:pPr>
            <w:hyperlink r:id="rId175">
              <w:r>
                <w:rPr>
                  <w:rFonts w:ascii="Arial" w:cs="Arial" w:eastAsia="Arial" w:hAnsi="Arial"/>
                  <w:sz w:val="16"/>
                  <w:szCs w:val="16"/>
                  <w:color w:val="0000FF"/>
                </w:rPr>
                <w:t>on July 15, 2022).</w:t>
              </w:r>
            </w:hyperlink>
          </w:p>
        </w:tc>
        <w:tc>
          <w:tcPr>
            <w:tcW w:w="20" w:type="dxa"/>
            <w:vAlign w:val="bottom"/>
          </w:tcPr>
          <w:p>
            <w:pPr>
              <w:spacing w:after="0"/>
              <w:rPr>
                <w:sz w:val="13"/>
                <w:szCs w:val="13"/>
                <w:color w:val="auto"/>
              </w:rPr>
            </w:pPr>
          </w:p>
        </w:tc>
        <w:tc>
          <w:tcPr>
            <w:tcW w:w="200" w:type="dxa"/>
            <w:vAlign w:val="bottom"/>
            <w:gridSpan w:val="9"/>
          </w:tcPr>
          <w:p>
            <w:pPr>
              <w:spacing w:after="0"/>
              <w:rPr>
                <w:sz w:val="13"/>
                <w:szCs w:val="13"/>
                <w:color w:val="auto"/>
              </w:rPr>
            </w:pPr>
          </w:p>
        </w:tc>
      </w:tr>
      <w:tr>
        <w:trPr>
          <w:trHeight w:val="20"/>
        </w:trPr>
        <w:tc>
          <w:tcPr>
            <w:tcW w:w="1540" w:type="dxa"/>
            <w:vAlign w:val="bottom"/>
          </w:tcPr>
          <w:p>
            <w:pPr>
              <w:spacing w:after="0" w:line="20" w:lineRule="exact"/>
              <w:rPr>
                <w:sz w:val="1"/>
                <w:szCs w:val="1"/>
                <w:color w:val="auto"/>
              </w:rPr>
            </w:pPr>
          </w:p>
        </w:tc>
        <w:tc>
          <w:tcPr>
            <w:tcW w:w="1280" w:type="dxa"/>
            <w:vAlign w:val="bottom"/>
            <w:gridSpan w:val="4"/>
            <w:shd w:val="clear" w:color="auto" w:fill="0000FF"/>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680" w:type="dxa"/>
            <w:vAlign w:val="bottom"/>
            <w:gridSpan w:val="4"/>
          </w:tcPr>
          <w:p>
            <w:pPr>
              <w:spacing w:after="0" w:line="20" w:lineRule="exact"/>
              <w:rPr>
                <w:sz w:val="1"/>
                <w:szCs w:val="1"/>
                <w:color w:val="auto"/>
              </w:rPr>
            </w:pPr>
          </w:p>
        </w:tc>
        <w:tc>
          <w:tcPr>
            <w:tcW w:w="620" w:type="dxa"/>
            <w:vAlign w:val="bottom"/>
            <w:gridSpan w:val="14"/>
          </w:tcPr>
          <w:p>
            <w:pPr>
              <w:spacing w:after="0" w:line="20" w:lineRule="exact"/>
              <w:rPr>
                <w:sz w:val="1"/>
                <w:szCs w:val="1"/>
                <w:color w:val="auto"/>
              </w:rPr>
            </w:pPr>
          </w:p>
        </w:tc>
        <w:tc>
          <w:tcPr>
            <w:tcW w:w="200" w:type="dxa"/>
            <w:vAlign w:val="bottom"/>
            <w:gridSpan w:val="9"/>
          </w:tcPr>
          <w:p>
            <w:pPr>
              <w:spacing w:after="0" w:line="20" w:lineRule="exact"/>
              <w:rPr>
                <w:sz w:val="1"/>
                <w:szCs w:val="1"/>
                <w:color w:val="auto"/>
              </w:rPr>
            </w:pPr>
          </w:p>
        </w:tc>
      </w:tr>
      <w:tr>
        <w:trPr>
          <w:trHeight w:val="269"/>
        </w:trPr>
        <w:tc>
          <w:tcPr>
            <w:tcW w:w="1540" w:type="dxa"/>
            <w:vAlign w:val="bottom"/>
          </w:tcPr>
          <w:p>
            <w:pPr>
              <w:ind w:left="20"/>
              <w:spacing w:after="0"/>
              <w:rPr>
                <w:sz w:val="20"/>
                <w:szCs w:val="20"/>
                <w:color w:val="auto"/>
              </w:rPr>
            </w:pPr>
            <w:r>
              <w:rPr>
                <w:rFonts w:ascii="Arial" w:cs="Arial" w:eastAsia="Arial" w:hAnsi="Arial"/>
                <w:sz w:val="18"/>
                <w:szCs w:val="18"/>
                <w:color w:val="auto"/>
              </w:rPr>
              <w:t>10.24</w:t>
            </w:r>
          </w:p>
        </w:tc>
        <w:tc>
          <w:tcPr>
            <w:tcW w:w="9700" w:type="dxa"/>
            <w:vAlign w:val="bottom"/>
            <w:gridSpan w:val="39"/>
          </w:tcPr>
          <w:p>
            <w:pPr>
              <w:spacing w:after="0"/>
              <w:rPr>
                <w:rFonts w:ascii="Arial" w:cs="Arial" w:eastAsia="Arial" w:hAnsi="Arial"/>
                <w:sz w:val="18"/>
                <w:szCs w:val="18"/>
                <w:color w:val="0000FF"/>
                <w:w w:val="90"/>
              </w:rPr>
            </w:pPr>
            <w:hyperlink r:id="rId176">
              <w:r>
                <w:rPr>
                  <w:rFonts w:ascii="Arial" w:cs="Arial" w:eastAsia="Arial" w:hAnsi="Arial"/>
                  <w:sz w:val="18"/>
                  <w:szCs w:val="18"/>
                  <w:color w:val="0000FF"/>
                  <w:w w:val="90"/>
                </w:rPr>
                <w:t>Amendment No. 4 to the Senior Unsecured Revolving Credit Agreement of Westlake Chemical Partners LP (incorporated by reference</w:t>
              </w:r>
            </w:hyperlink>
          </w:p>
        </w:tc>
      </w:tr>
      <w:tr>
        <w:trPr>
          <w:trHeight w:val="151"/>
        </w:trPr>
        <w:tc>
          <w:tcPr>
            <w:tcW w:w="1540" w:type="dxa"/>
            <w:vAlign w:val="bottom"/>
          </w:tcPr>
          <w:p>
            <w:pPr>
              <w:spacing w:after="0"/>
              <w:rPr>
                <w:sz w:val="13"/>
                <w:szCs w:val="13"/>
                <w:color w:val="auto"/>
              </w:rPr>
            </w:pPr>
          </w:p>
        </w:tc>
        <w:tc>
          <w:tcPr>
            <w:tcW w:w="9500" w:type="dxa"/>
            <w:vAlign w:val="bottom"/>
            <w:tcBorders>
              <w:top w:val="single" w:sz="8" w:color="0000FF"/>
            </w:tcBorders>
            <w:gridSpan w:val="30"/>
          </w:tcPr>
          <w:p>
            <w:pPr>
              <w:spacing w:after="0" w:line="152" w:lineRule="exact"/>
              <w:rPr>
                <w:rFonts w:ascii="Arial" w:cs="Arial" w:eastAsia="Arial" w:hAnsi="Arial"/>
                <w:sz w:val="16"/>
                <w:szCs w:val="16"/>
                <w:color w:val="0000FF"/>
              </w:rPr>
            </w:pPr>
            <w:hyperlink r:id="rId176">
              <w:r>
                <w:rPr>
                  <w:rFonts w:ascii="Arial" w:cs="Arial" w:eastAsia="Arial" w:hAnsi="Arial"/>
                  <w:sz w:val="16"/>
                  <w:szCs w:val="16"/>
                  <w:color w:val="0000FF"/>
                </w:rPr>
                <w:t>to Exhibit 10.2 to Westlake Chemical Partners LP's Current Report on Form 8-K (File No. 001-36567) filed on July 15, 2022).</w:t>
              </w:r>
            </w:hyperlink>
          </w:p>
        </w:tc>
        <w:tc>
          <w:tcPr>
            <w:tcW w:w="200" w:type="dxa"/>
            <w:vAlign w:val="bottom"/>
            <w:gridSpan w:val="9"/>
          </w:tcPr>
          <w:p>
            <w:pPr>
              <w:spacing w:after="0"/>
              <w:rPr>
                <w:sz w:val="13"/>
                <w:szCs w:val="13"/>
                <w:color w:val="auto"/>
              </w:rPr>
            </w:pPr>
          </w:p>
        </w:tc>
      </w:tr>
      <w:tr>
        <w:trPr>
          <w:trHeight w:val="269"/>
        </w:trPr>
        <w:tc>
          <w:tcPr>
            <w:tcW w:w="1540" w:type="dxa"/>
            <w:vAlign w:val="bottom"/>
          </w:tcPr>
          <w:p>
            <w:pPr>
              <w:ind w:left="20"/>
              <w:spacing w:after="0"/>
              <w:rPr>
                <w:sz w:val="20"/>
                <w:szCs w:val="20"/>
                <w:color w:val="auto"/>
              </w:rPr>
            </w:pPr>
            <w:r>
              <w:rPr>
                <w:rFonts w:ascii="Arial" w:cs="Arial" w:eastAsia="Arial" w:hAnsi="Arial"/>
                <w:sz w:val="18"/>
                <w:szCs w:val="18"/>
                <w:color w:val="auto"/>
              </w:rPr>
              <w:t>21.1*</w:t>
            </w:r>
          </w:p>
        </w:tc>
        <w:tc>
          <w:tcPr>
            <w:tcW w:w="3860" w:type="dxa"/>
            <w:vAlign w:val="bottom"/>
            <w:tcBorders>
              <w:top w:val="single" w:sz="8" w:color="0000FF"/>
              <w:bottom w:val="single" w:sz="8" w:color="0000FF"/>
            </w:tcBorders>
            <w:gridSpan w:val="9"/>
          </w:tcPr>
          <w:p>
            <w:pPr>
              <w:spacing w:after="0"/>
              <w:rPr>
                <w:sz w:val="20"/>
                <w:szCs w:val="20"/>
                <w:color w:val="auto"/>
              </w:rPr>
            </w:pPr>
            <w:r>
              <w:rPr>
                <w:rFonts w:ascii="Arial" w:cs="Arial" w:eastAsia="Arial" w:hAnsi="Arial"/>
                <w:sz w:val="18"/>
                <w:szCs w:val="18"/>
                <w:color w:val="0000FF"/>
                <w:w w:val="88"/>
              </w:rPr>
              <w:t>List of Subsidiaries of Westlake Chemical Partners LP.</w:t>
            </w:r>
          </w:p>
        </w:tc>
        <w:tc>
          <w:tcPr>
            <w:tcW w:w="5020" w:type="dxa"/>
            <w:vAlign w:val="bottom"/>
            <w:tcBorders>
              <w:top w:val="single" w:sz="8" w:color="0000FF"/>
            </w:tcBorders>
            <w:gridSpan w:val="7"/>
          </w:tcPr>
          <w:p>
            <w:pPr>
              <w:spacing w:after="0"/>
              <w:rPr>
                <w:sz w:val="23"/>
                <w:szCs w:val="23"/>
                <w:color w:val="auto"/>
              </w:rPr>
            </w:pPr>
          </w:p>
        </w:tc>
        <w:tc>
          <w:tcPr>
            <w:tcW w:w="820" w:type="dxa"/>
            <w:vAlign w:val="bottom"/>
            <w:gridSpan w:val="23"/>
          </w:tcPr>
          <w:p>
            <w:pPr>
              <w:spacing w:after="0"/>
              <w:rPr>
                <w:sz w:val="23"/>
                <w:szCs w:val="23"/>
                <w:color w:val="auto"/>
              </w:rPr>
            </w:pPr>
          </w:p>
        </w:tc>
      </w:tr>
      <w:tr>
        <w:trPr>
          <w:trHeight w:val="256"/>
        </w:trPr>
        <w:tc>
          <w:tcPr>
            <w:tcW w:w="1540" w:type="dxa"/>
            <w:vAlign w:val="bottom"/>
          </w:tcPr>
          <w:p>
            <w:pPr>
              <w:ind w:left="20"/>
              <w:spacing w:after="0"/>
              <w:rPr>
                <w:sz w:val="20"/>
                <w:szCs w:val="20"/>
                <w:color w:val="auto"/>
              </w:rPr>
            </w:pPr>
            <w:r>
              <w:rPr>
                <w:rFonts w:ascii="Arial" w:cs="Arial" w:eastAsia="Arial" w:hAnsi="Arial"/>
                <w:sz w:val="18"/>
                <w:szCs w:val="18"/>
                <w:color w:val="auto"/>
              </w:rPr>
              <w:t>23.1*</w:t>
            </w:r>
          </w:p>
        </w:tc>
        <w:tc>
          <w:tcPr>
            <w:tcW w:w="9700" w:type="dxa"/>
            <w:vAlign w:val="bottom"/>
            <w:gridSpan w:val="39"/>
          </w:tcPr>
          <w:p>
            <w:pPr>
              <w:spacing w:after="0"/>
              <w:rPr>
                <w:sz w:val="20"/>
                <w:szCs w:val="20"/>
                <w:color w:val="auto"/>
              </w:rPr>
            </w:pPr>
            <w:r>
              <w:rPr>
                <w:rFonts w:ascii="Arial" w:cs="Arial" w:eastAsia="Arial" w:hAnsi="Arial"/>
                <w:sz w:val="18"/>
                <w:szCs w:val="18"/>
                <w:color w:val="0000FF"/>
              </w:rPr>
              <w:t>Consent of PricewaterhouseCoopers LLP.</w:t>
            </w:r>
          </w:p>
        </w:tc>
      </w:tr>
      <w:tr>
        <w:trPr>
          <w:trHeight w:val="20"/>
        </w:trPr>
        <w:tc>
          <w:tcPr>
            <w:tcW w:w="1540" w:type="dxa"/>
            <w:vAlign w:val="bottom"/>
          </w:tcPr>
          <w:p>
            <w:pPr>
              <w:spacing w:after="0" w:line="20" w:lineRule="exact"/>
              <w:rPr>
                <w:sz w:val="1"/>
                <w:szCs w:val="1"/>
                <w:color w:val="auto"/>
              </w:rPr>
            </w:pPr>
          </w:p>
        </w:tc>
        <w:tc>
          <w:tcPr>
            <w:tcW w:w="2940" w:type="dxa"/>
            <w:vAlign w:val="bottom"/>
            <w:gridSpan w:val="8"/>
            <w:shd w:val="clear" w:color="auto" w:fill="0000FF"/>
          </w:tcPr>
          <w:p>
            <w:pPr>
              <w:spacing w:after="0" w:line="20" w:lineRule="exact"/>
              <w:rPr>
                <w:sz w:val="1"/>
                <w:szCs w:val="1"/>
                <w:color w:val="auto"/>
              </w:rPr>
            </w:pPr>
          </w:p>
        </w:tc>
        <w:tc>
          <w:tcPr>
            <w:tcW w:w="21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500" w:type="dxa"/>
            <w:vAlign w:val="bottom"/>
            <w:gridSpan w:val="27"/>
          </w:tcPr>
          <w:p>
            <w:pPr>
              <w:spacing w:after="0" w:line="20" w:lineRule="exact"/>
              <w:rPr>
                <w:sz w:val="1"/>
                <w:szCs w:val="1"/>
                <w:color w:val="auto"/>
              </w:rPr>
            </w:pPr>
          </w:p>
        </w:tc>
      </w:tr>
      <w:tr>
        <w:trPr>
          <w:trHeight w:val="256"/>
        </w:trPr>
        <w:tc>
          <w:tcPr>
            <w:tcW w:w="1540" w:type="dxa"/>
            <w:vAlign w:val="bottom"/>
          </w:tcPr>
          <w:p>
            <w:pPr>
              <w:ind w:left="20"/>
              <w:spacing w:after="0"/>
              <w:rPr>
                <w:sz w:val="20"/>
                <w:szCs w:val="20"/>
                <w:color w:val="auto"/>
              </w:rPr>
            </w:pPr>
            <w:r>
              <w:rPr>
                <w:rFonts w:ascii="Arial" w:cs="Arial" w:eastAsia="Arial" w:hAnsi="Arial"/>
                <w:sz w:val="18"/>
                <w:szCs w:val="18"/>
                <w:color w:val="auto"/>
              </w:rPr>
              <w:t>31.1*</w:t>
            </w:r>
          </w:p>
        </w:tc>
        <w:tc>
          <w:tcPr>
            <w:tcW w:w="9700" w:type="dxa"/>
            <w:vAlign w:val="bottom"/>
            <w:gridSpan w:val="39"/>
          </w:tcPr>
          <w:p>
            <w:pPr>
              <w:spacing w:after="0"/>
              <w:rPr>
                <w:sz w:val="20"/>
                <w:szCs w:val="20"/>
                <w:color w:val="auto"/>
              </w:rPr>
            </w:pPr>
            <w:r>
              <w:rPr>
                <w:rFonts w:ascii="Arial" w:cs="Arial" w:eastAsia="Arial" w:hAnsi="Arial"/>
                <w:sz w:val="18"/>
                <w:szCs w:val="18"/>
                <w:color w:val="0000FF"/>
              </w:rPr>
              <w:t>Rule 13a - 14(a) / 15d - 14(a) Certification (Principal Executive Officer).</w:t>
            </w:r>
          </w:p>
        </w:tc>
      </w:tr>
      <w:tr>
        <w:trPr>
          <w:trHeight w:val="256"/>
        </w:trPr>
        <w:tc>
          <w:tcPr>
            <w:tcW w:w="1540" w:type="dxa"/>
            <w:vAlign w:val="bottom"/>
          </w:tcPr>
          <w:p>
            <w:pPr>
              <w:ind w:left="20"/>
              <w:spacing w:after="0"/>
              <w:rPr>
                <w:sz w:val="20"/>
                <w:szCs w:val="20"/>
                <w:color w:val="auto"/>
              </w:rPr>
            </w:pPr>
            <w:r>
              <w:rPr>
                <w:rFonts w:ascii="Arial" w:cs="Arial" w:eastAsia="Arial" w:hAnsi="Arial"/>
                <w:sz w:val="18"/>
                <w:szCs w:val="18"/>
                <w:color w:val="auto"/>
              </w:rPr>
              <w:t>31.2*</w:t>
            </w:r>
          </w:p>
        </w:tc>
        <w:tc>
          <w:tcPr>
            <w:tcW w:w="5120" w:type="dxa"/>
            <w:vAlign w:val="bottom"/>
            <w:tcBorders>
              <w:top w:val="single" w:sz="8" w:color="0000FF"/>
            </w:tcBorders>
            <w:gridSpan w:val="11"/>
          </w:tcPr>
          <w:p>
            <w:pPr>
              <w:spacing w:after="0"/>
              <w:rPr>
                <w:sz w:val="20"/>
                <w:szCs w:val="20"/>
                <w:color w:val="auto"/>
              </w:rPr>
            </w:pPr>
            <w:r>
              <w:rPr>
                <w:rFonts w:ascii="Arial" w:cs="Arial" w:eastAsia="Arial" w:hAnsi="Arial"/>
                <w:sz w:val="18"/>
                <w:szCs w:val="18"/>
                <w:color w:val="0000FF"/>
                <w:w w:val="91"/>
              </w:rPr>
              <w:t>Rule 13a - 14(a) / 15d - 14(a) Certification (Principal Financial Officer).</w:t>
            </w:r>
          </w:p>
        </w:tc>
        <w:tc>
          <w:tcPr>
            <w:tcW w:w="4580" w:type="dxa"/>
            <w:vAlign w:val="bottom"/>
            <w:gridSpan w:val="28"/>
          </w:tcPr>
          <w:p>
            <w:pPr>
              <w:spacing w:after="0"/>
              <w:rPr>
                <w:sz w:val="22"/>
                <w:szCs w:val="22"/>
                <w:color w:val="auto"/>
              </w:rPr>
            </w:pPr>
          </w:p>
        </w:tc>
      </w:tr>
      <w:tr>
        <w:trPr>
          <w:trHeight w:val="20"/>
        </w:trPr>
        <w:tc>
          <w:tcPr>
            <w:tcW w:w="1540" w:type="dxa"/>
            <w:vAlign w:val="bottom"/>
          </w:tcPr>
          <w:p>
            <w:pPr>
              <w:spacing w:after="0" w:line="20" w:lineRule="exact"/>
              <w:rPr>
                <w:sz w:val="1"/>
                <w:szCs w:val="1"/>
                <w:color w:val="auto"/>
              </w:rPr>
            </w:pPr>
          </w:p>
        </w:tc>
        <w:tc>
          <w:tcPr>
            <w:tcW w:w="5080" w:type="dxa"/>
            <w:vAlign w:val="bottom"/>
            <w:gridSpan w:val="10"/>
            <w:shd w:val="clear" w:color="auto" w:fill="0000FF"/>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3500" w:type="dxa"/>
            <w:vAlign w:val="bottom"/>
            <w:gridSpan w:val="27"/>
          </w:tcPr>
          <w:p>
            <w:pPr>
              <w:spacing w:after="0" w:line="20" w:lineRule="exact"/>
              <w:rPr>
                <w:sz w:val="1"/>
                <w:szCs w:val="1"/>
                <w:color w:val="auto"/>
              </w:rPr>
            </w:pPr>
          </w:p>
        </w:tc>
      </w:tr>
      <w:tr>
        <w:trPr>
          <w:trHeight w:val="256"/>
        </w:trPr>
        <w:tc>
          <w:tcPr>
            <w:tcW w:w="1540" w:type="dxa"/>
            <w:vAlign w:val="bottom"/>
          </w:tcPr>
          <w:p>
            <w:pPr>
              <w:ind w:left="20"/>
              <w:spacing w:after="0"/>
              <w:rPr>
                <w:sz w:val="20"/>
                <w:szCs w:val="20"/>
                <w:color w:val="auto"/>
              </w:rPr>
            </w:pPr>
            <w:r>
              <w:rPr>
                <w:rFonts w:ascii="Arial" w:cs="Arial" w:eastAsia="Arial" w:hAnsi="Arial"/>
                <w:sz w:val="18"/>
                <w:szCs w:val="18"/>
                <w:color w:val="auto"/>
              </w:rPr>
              <w:t>32.1**</w:t>
            </w:r>
          </w:p>
        </w:tc>
        <w:tc>
          <w:tcPr>
            <w:tcW w:w="9700" w:type="dxa"/>
            <w:vAlign w:val="bottom"/>
            <w:gridSpan w:val="39"/>
          </w:tcPr>
          <w:p>
            <w:pPr>
              <w:spacing w:after="0"/>
              <w:rPr>
                <w:sz w:val="20"/>
                <w:szCs w:val="20"/>
                <w:color w:val="auto"/>
              </w:rPr>
            </w:pPr>
            <w:r>
              <w:rPr>
                <w:rFonts w:ascii="Arial" w:cs="Arial" w:eastAsia="Arial" w:hAnsi="Arial"/>
                <w:sz w:val="18"/>
                <w:szCs w:val="18"/>
                <w:color w:val="0000FF"/>
              </w:rPr>
              <w:t>Section 1350 Certification (Principal Executive Officer and Principal Financial Officer).</w:t>
            </w:r>
          </w:p>
        </w:tc>
      </w:tr>
      <w:tr>
        <w:trPr>
          <w:trHeight w:val="20"/>
        </w:trPr>
        <w:tc>
          <w:tcPr>
            <w:tcW w:w="1540" w:type="dxa"/>
            <w:vAlign w:val="bottom"/>
          </w:tcPr>
          <w:p>
            <w:pPr>
              <w:spacing w:after="0" w:line="20" w:lineRule="exact"/>
              <w:rPr>
                <w:sz w:val="1"/>
                <w:szCs w:val="1"/>
                <w:color w:val="auto"/>
              </w:rPr>
            </w:pPr>
          </w:p>
        </w:tc>
        <w:tc>
          <w:tcPr>
            <w:tcW w:w="6200" w:type="dxa"/>
            <w:vAlign w:val="bottom"/>
            <w:gridSpan w:val="12"/>
            <w:shd w:val="clear" w:color="auto" w:fill="0000FF"/>
          </w:tcPr>
          <w:p>
            <w:pPr>
              <w:spacing w:after="0" w:line="20" w:lineRule="exact"/>
              <w:rPr>
                <w:sz w:val="1"/>
                <w:szCs w:val="1"/>
                <w:color w:val="auto"/>
              </w:rPr>
            </w:pPr>
          </w:p>
        </w:tc>
        <w:tc>
          <w:tcPr>
            <w:tcW w:w="3500" w:type="dxa"/>
            <w:vAlign w:val="bottom"/>
            <w:gridSpan w:val="27"/>
          </w:tcPr>
          <w:p>
            <w:pPr>
              <w:spacing w:after="0" w:line="20" w:lineRule="exact"/>
              <w:rPr>
                <w:sz w:val="1"/>
                <w:szCs w:val="1"/>
                <w:color w:val="auto"/>
              </w:rPr>
            </w:pPr>
          </w:p>
        </w:tc>
      </w:tr>
      <w:tr>
        <w:trPr>
          <w:trHeight w:val="244"/>
        </w:trPr>
        <w:tc>
          <w:tcPr>
            <w:tcW w:w="1540" w:type="dxa"/>
            <w:vAlign w:val="bottom"/>
          </w:tcPr>
          <w:p>
            <w:pPr>
              <w:ind w:left="20"/>
              <w:spacing w:after="0"/>
              <w:rPr>
                <w:sz w:val="20"/>
                <w:szCs w:val="20"/>
                <w:color w:val="auto"/>
              </w:rPr>
            </w:pPr>
            <w:r>
              <w:rPr>
                <w:rFonts w:ascii="Arial" w:cs="Arial" w:eastAsia="Arial" w:hAnsi="Arial"/>
                <w:sz w:val="18"/>
                <w:szCs w:val="18"/>
                <w:color w:val="auto"/>
              </w:rPr>
              <w:t>101.INS*</w:t>
            </w:r>
          </w:p>
        </w:tc>
        <w:tc>
          <w:tcPr>
            <w:tcW w:w="9700" w:type="dxa"/>
            <w:vAlign w:val="bottom"/>
            <w:gridSpan w:val="39"/>
          </w:tcPr>
          <w:p>
            <w:pPr>
              <w:spacing w:after="0"/>
              <w:rPr>
                <w:sz w:val="20"/>
                <w:szCs w:val="20"/>
                <w:color w:val="auto"/>
              </w:rPr>
            </w:pPr>
            <w:r>
              <w:rPr>
                <w:rFonts w:ascii="Arial" w:cs="Arial" w:eastAsia="Arial" w:hAnsi="Arial"/>
                <w:sz w:val="18"/>
                <w:szCs w:val="18"/>
                <w:color w:val="auto"/>
                <w:w w:val="92"/>
              </w:rPr>
              <w:t>XBRL Instance Document-The instance document does not appear in the interactive data file because its XBRL tags are embedded</w:t>
            </w:r>
          </w:p>
        </w:tc>
      </w:tr>
      <w:tr>
        <w:trPr>
          <w:trHeight w:val="222"/>
        </w:trPr>
        <w:tc>
          <w:tcPr>
            <w:tcW w:w="1540" w:type="dxa"/>
            <w:vAlign w:val="bottom"/>
          </w:tcPr>
          <w:p>
            <w:pPr>
              <w:spacing w:after="0"/>
              <w:rPr>
                <w:sz w:val="19"/>
                <w:szCs w:val="19"/>
                <w:color w:val="auto"/>
              </w:rPr>
            </w:pPr>
          </w:p>
        </w:tc>
        <w:tc>
          <w:tcPr>
            <w:tcW w:w="9700" w:type="dxa"/>
            <w:vAlign w:val="bottom"/>
            <w:gridSpan w:val="39"/>
          </w:tcPr>
          <w:p>
            <w:pPr>
              <w:spacing w:after="0"/>
              <w:rPr>
                <w:sz w:val="20"/>
                <w:szCs w:val="20"/>
                <w:color w:val="auto"/>
              </w:rPr>
            </w:pPr>
            <w:r>
              <w:rPr>
                <w:rFonts w:ascii="Arial" w:cs="Arial" w:eastAsia="Arial" w:hAnsi="Arial"/>
                <w:sz w:val="18"/>
                <w:szCs w:val="18"/>
                <w:color w:val="auto"/>
              </w:rPr>
              <w:t>within the Inline XBRL document.</w:t>
            </w:r>
          </w:p>
        </w:tc>
      </w:tr>
      <w:tr>
        <w:trPr>
          <w:trHeight w:val="289"/>
        </w:trPr>
        <w:tc>
          <w:tcPr>
            <w:tcW w:w="1540" w:type="dxa"/>
            <w:vAlign w:val="bottom"/>
          </w:tcPr>
          <w:p>
            <w:pPr>
              <w:ind w:left="20"/>
              <w:spacing w:after="0"/>
              <w:rPr>
                <w:sz w:val="20"/>
                <w:szCs w:val="20"/>
                <w:color w:val="auto"/>
              </w:rPr>
            </w:pPr>
            <w:r>
              <w:rPr>
                <w:rFonts w:ascii="Arial" w:cs="Arial" w:eastAsia="Arial" w:hAnsi="Arial"/>
                <w:sz w:val="18"/>
                <w:szCs w:val="18"/>
                <w:color w:val="auto"/>
              </w:rPr>
              <w:t>101.SCH*</w:t>
            </w:r>
          </w:p>
        </w:tc>
        <w:tc>
          <w:tcPr>
            <w:tcW w:w="9700" w:type="dxa"/>
            <w:vAlign w:val="bottom"/>
            <w:gridSpan w:val="39"/>
          </w:tcPr>
          <w:p>
            <w:pPr>
              <w:spacing w:after="0"/>
              <w:rPr>
                <w:sz w:val="20"/>
                <w:szCs w:val="20"/>
                <w:color w:val="auto"/>
              </w:rPr>
            </w:pPr>
            <w:r>
              <w:rPr>
                <w:rFonts w:ascii="Arial" w:cs="Arial" w:eastAsia="Arial" w:hAnsi="Arial"/>
                <w:sz w:val="18"/>
                <w:szCs w:val="18"/>
                <w:color w:val="auto"/>
              </w:rPr>
              <w:t>XBRL Taxonomy Extension Schema Document.</w:t>
            </w:r>
          </w:p>
        </w:tc>
      </w:tr>
      <w:tr>
        <w:trPr>
          <w:trHeight w:val="276"/>
        </w:trPr>
        <w:tc>
          <w:tcPr>
            <w:tcW w:w="1540" w:type="dxa"/>
            <w:vAlign w:val="bottom"/>
          </w:tcPr>
          <w:p>
            <w:pPr>
              <w:ind w:left="20"/>
              <w:spacing w:after="0"/>
              <w:rPr>
                <w:sz w:val="20"/>
                <w:szCs w:val="20"/>
                <w:color w:val="auto"/>
              </w:rPr>
            </w:pPr>
            <w:r>
              <w:rPr>
                <w:rFonts w:ascii="Arial" w:cs="Arial" w:eastAsia="Arial" w:hAnsi="Arial"/>
                <w:sz w:val="18"/>
                <w:szCs w:val="18"/>
                <w:color w:val="auto"/>
              </w:rPr>
              <w:t>101.CAL*</w:t>
            </w:r>
          </w:p>
        </w:tc>
        <w:tc>
          <w:tcPr>
            <w:tcW w:w="9700" w:type="dxa"/>
            <w:vAlign w:val="bottom"/>
            <w:gridSpan w:val="39"/>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6"/>
        </w:trPr>
        <w:tc>
          <w:tcPr>
            <w:tcW w:w="1540" w:type="dxa"/>
            <w:vAlign w:val="bottom"/>
          </w:tcPr>
          <w:p>
            <w:pPr>
              <w:ind w:left="20"/>
              <w:spacing w:after="0"/>
              <w:rPr>
                <w:sz w:val="20"/>
                <w:szCs w:val="20"/>
                <w:color w:val="auto"/>
              </w:rPr>
            </w:pPr>
            <w:r>
              <w:rPr>
                <w:rFonts w:ascii="Arial" w:cs="Arial" w:eastAsia="Arial" w:hAnsi="Arial"/>
                <w:sz w:val="18"/>
                <w:szCs w:val="18"/>
                <w:color w:val="auto"/>
              </w:rPr>
              <w:t>101.DEF*</w:t>
            </w:r>
          </w:p>
        </w:tc>
        <w:tc>
          <w:tcPr>
            <w:tcW w:w="9700" w:type="dxa"/>
            <w:vAlign w:val="bottom"/>
            <w:gridSpan w:val="39"/>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882"/>
        </w:trPr>
        <w:tc>
          <w:tcPr>
            <w:tcW w:w="1540" w:type="dxa"/>
            <w:vAlign w:val="bottom"/>
          </w:tcPr>
          <w:p>
            <w:pPr>
              <w:spacing w:after="0"/>
              <w:rPr>
                <w:sz w:val="24"/>
                <w:szCs w:val="24"/>
                <w:color w:val="auto"/>
              </w:rPr>
            </w:pPr>
          </w:p>
        </w:tc>
        <w:tc>
          <w:tcPr>
            <w:tcW w:w="5080" w:type="dxa"/>
            <w:vAlign w:val="bottom"/>
            <w:gridSpan w:val="10"/>
          </w:tcPr>
          <w:p>
            <w:pPr>
              <w:ind w:left="4000"/>
              <w:spacing w:after="0"/>
              <w:rPr>
                <w:sz w:val="20"/>
                <w:szCs w:val="20"/>
                <w:color w:val="auto"/>
              </w:rPr>
            </w:pPr>
            <w:r>
              <w:rPr>
                <w:rFonts w:ascii="Arial" w:cs="Arial" w:eastAsia="Arial" w:hAnsi="Arial"/>
                <w:sz w:val="18"/>
                <w:szCs w:val="18"/>
                <w:color w:val="auto"/>
              </w:rPr>
              <w:t>91</w:t>
            </w:r>
          </w:p>
        </w:tc>
        <w:tc>
          <w:tcPr>
            <w:tcW w:w="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2"/>
        </w:trPr>
        <w:tc>
          <w:tcPr>
            <w:tcW w:w="154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42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12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50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7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78">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7" w:name="page98"/>
    <w:bookmarkEnd w:id="97"/>
    <w:p>
      <w:pPr>
        <w:spacing w:after="0"/>
        <w:rPr>
          <w:sz w:val="20"/>
          <w:szCs w:val="20"/>
          <w:color w:val="auto"/>
        </w:rPr>
      </w:pPr>
      <w:r>
        <w:rPr>
          <w:rFonts w:ascii="Arial" w:cs="Arial" w:eastAsia="Arial" w:hAnsi="Arial"/>
          <w:sz w:val="12"/>
          <w:szCs w:val="12"/>
          <w:u w:val="single" w:color="auto"/>
          <w:color w:val="0000FF"/>
        </w:rPr>
        <w:t>Table of Contents</w:t>
      </w:r>
    </w:p>
    <w:p>
      <w:pPr>
        <w:sectPr>
          <w:pgSz w:w="11900" w:h="16838" w:orient="portrait"/>
          <w:cols w:equalWidth="0" w:num="1">
            <w:col w:w="11180"/>
          </w:cols>
          <w:pgMar w:left="320" w:top="122"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20"/>
        <w:spacing w:after="0"/>
        <w:rPr>
          <w:sz w:val="20"/>
          <w:szCs w:val="20"/>
          <w:color w:val="auto"/>
        </w:rPr>
      </w:pPr>
      <w:r>
        <w:rPr>
          <w:rFonts w:ascii="Arial" w:cs="Arial" w:eastAsia="Arial" w:hAnsi="Arial"/>
          <w:sz w:val="14"/>
          <w:szCs w:val="14"/>
          <w:b w:val="1"/>
          <w:bCs w:val="1"/>
          <w:color w:val="auto"/>
        </w:rPr>
        <w:t>Exhibit No.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Description</w:t>
      </w:r>
    </w:p>
    <w:p>
      <w:pPr>
        <w:spacing w:after="0" w:line="51" w:lineRule="exact"/>
        <w:rPr>
          <w:sz w:val="20"/>
          <w:szCs w:val="20"/>
          <w:color w:val="auto"/>
        </w:rPr>
      </w:pPr>
    </w:p>
    <w:p>
      <w:pPr>
        <w:sectPr>
          <w:pgSz w:w="11900" w:h="16838" w:orient="portrait"/>
          <w:cols w:equalWidth="0" w:num="2">
            <w:col w:w="1100" w:space="560"/>
            <w:col w:w="9520"/>
          </w:cols>
          <w:pgMar w:left="320" w:top="122" w:right="39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Label Linkbase Document.</w:t>
      </w:r>
    </w:p>
    <w:p>
      <w:pPr>
        <w:spacing w:after="0" w:line="92" w:lineRule="exact"/>
        <w:rPr>
          <w:sz w:val="20"/>
          <w:szCs w:val="20"/>
          <w:color w:val="auto"/>
        </w:rPr>
      </w:pPr>
    </w:p>
    <w:p>
      <w:pPr>
        <w:sectPr>
          <w:pgSz w:w="11900" w:h="16838" w:orient="portrait"/>
          <w:cols w:equalWidth="0" w:num="2">
            <w:col w:w="820" w:space="720"/>
            <w:col w:w="9640"/>
          </w:cols>
          <w:pgMar w:left="320" w:top="122" w:right="399" w:bottom="1440" w:gutter="0" w:footer="0" w:header="0"/>
          <w:type w:val="continuous"/>
        </w:sectPr>
      </w:pPr>
    </w:p>
    <w:p>
      <w:pPr>
        <w:ind w:left="20"/>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92" w:lineRule="exact"/>
        <w:rPr>
          <w:sz w:val="20"/>
          <w:szCs w:val="20"/>
          <w:color w:val="auto"/>
        </w:rPr>
      </w:pPr>
    </w:p>
    <w:p>
      <w:pPr>
        <w:sectPr>
          <w:pgSz w:w="11900" w:h="16838" w:orient="portrait"/>
          <w:cols w:equalWidth="0" w:num="2">
            <w:col w:w="820" w:space="720"/>
            <w:col w:w="9640"/>
          </w:cols>
          <w:pgMar w:left="320" w:top="122" w:right="399" w:bottom="1440" w:gutter="0" w:footer="0" w:header="0"/>
          <w:type w:val="continuous"/>
        </w:sectPr>
      </w:pPr>
    </w:p>
    <w:p>
      <w:pPr>
        <w:ind w:left="1540" w:hanging="1517"/>
        <w:spacing w:after="0" w:line="228" w:lineRule="auto"/>
        <w:tabs>
          <w:tab w:leader="none" w:pos="1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Cover Page Interactive Data File - The cover page interactive data file does not appear in the Interactive Data File because its XBRL tags are embedded within the Inline XBRL document and contained in Exhibit 101.</w:t>
      </w:r>
    </w:p>
    <w:p>
      <w:pPr>
        <w:spacing w:after="0" w:line="32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______________________________</w:t>
      </w:r>
    </w:p>
    <w:p>
      <w:pPr>
        <w:spacing w:after="0" w:line="55" w:lineRule="exact"/>
        <w:rPr>
          <w:sz w:val="20"/>
          <w:szCs w:val="20"/>
          <w:color w:val="auto"/>
        </w:rPr>
      </w:pPr>
    </w:p>
    <w:p>
      <w:pPr>
        <w:ind w:left="260" w:hanging="255"/>
        <w:spacing w:after="0"/>
        <w:tabs>
          <w:tab w:leader="none" w:pos="260" w:val="left"/>
        </w:tabs>
        <w:numPr>
          <w:ilvl w:val="0"/>
          <w:numId w:val="46"/>
        </w:numPr>
        <w:rPr>
          <w:rFonts w:ascii="Arial" w:cs="Arial" w:eastAsia="Arial" w:hAnsi="Arial"/>
          <w:sz w:val="16"/>
          <w:szCs w:val="16"/>
          <w:color w:val="auto"/>
        </w:rPr>
      </w:pPr>
      <w:r>
        <w:rPr>
          <w:rFonts w:ascii="Arial" w:cs="Arial" w:eastAsia="Arial" w:hAnsi="Arial"/>
          <w:sz w:val="18"/>
          <w:szCs w:val="18"/>
          <w:color w:val="auto"/>
        </w:rPr>
        <w:t>Filed herewith.</w:t>
      </w:r>
    </w:p>
    <w:p>
      <w:pPr>
        <w:spacing w:after="0" w:line="56" w:lineRule="exact"/>
        <w:rPr>
          <w:sz w:val="20"/>
          <w:szCs w:val="20"/>
          <w:color w:val="auto"/>
        </w:rPr>
      </w:pPr>
    </w:p>
    <w:p>
      <w:pPr>
        <w:ind w:left="340" w:hanging="335"/>
        <w:spacing w:after="0"/>
        <w:tabs>
          <w:tab w:leader="none" w:pos="340" w:val="left"/>
        </w:tabs>
        <w:numPr>
          <w:ilvl w:val="0"/>
          <w:numId w:val="47"/>
        </w:numPr>
        <w:rPr>
          <w:rFonts w:ascii="Arial" w:cs="Arial" w:eastAsia="Arial" w:hAnsi="Arial"/>
          <w:sz w:val="16"/>
          <w:szCs w:val="16"/>
          <w:color w:val="auto"/>
        </w:rPr>
      </w:pPr>
      <w:r>
        <w:rPr>
          <w:rFonts w:ascii="Arial" w:cs="Arial" w:eastAsia="Arial" w:hAnsi="Arial"/>
          <w:sz w:val="18"/>
          <w:szCs w:val="18"/>
          <w:color w:val="auto"/>
        </w:rPr>
        <w:t>Furnished herewith.</w:t>
      </w:r>
    </w:p>
    <w:p>
      <w:pPr>
        <w:spacing w:after="0" w:line="56" w:lineRule="exact"/>
        <w:rPr>
          <w:rFonts w:ascii="Arial" w:cs="Arial" w:eastAsia="Arial" w:hAnsi="Arial"/>
          <w:sz w:val="16"/>
          <w:szCs w:val="16"/>
          <w:color w:val="auto"/>
        </w:rPr>
      </w:pPr>
    </w:p>
    <w:p>
      <w:pPr>
        <w:ind w:left="400" w:right="80" w:hanging="395"/>
        <w:spacing w:after="0" w:line="261" w:lineRule="auto"/>
        <w:tabs>
          <w:tab w:leader="none" w:pos="312" w:val="left"/>
        </w:tabs>
        <w:numPr>
          <w:ilvl w:val="0"/>
          <w:numId w:val="48"/>
        </w:numPr>
        <w:rPr>
          <w:rFonts w:ascii="Arial" w:cs="Arial" w:eastAsia="Arial" w:hAnsi="Arial"/>
          <w:sz w:val="18"/>
          <w:szCs w:val="18"/>
          <w:color w:val="auto"/>
        </w:rPr>
      </w:pPr>
      <w:r>
        <w:rPr>
          <w:rFonts w:ascii="Arial" w:cs="Arial" w:eastAsia="Arial" w:hAnsi="Arial"/>
          <w:sz w:val="18"/>
          <w:szCs w:val="18"/>
          <w:color w:val="auto"/>
        </w:rPr>
        <w:t>On February 18, 2022, Westlake Chemical Corporation changed its corporate name to Westlake Corporation. Accordingly, filings made prior to such date were made under the name Westlake Chemical Corporation.</w:t>
      </w:r>
    </w:p>
    <w:p>
      <w:pPr>
        <w:spacing w:after="0" w:line="24" w:lineRule="exact"/>
        <w:rPr>
          <w:sz w:val="20"/>
          <w:szCs w:val="20"/>
          <w:color w:val="auto"/>
        </w:rPr>
      </w:pPr>
    </w:p>
    <w:p>
      <w:pPr>
        <w:spacing w:after="0"/>
        <w:tabs>
          <w:tab w:leader="none" w:pos="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Management contract or compensatory plan or arrangement.</w:t>
      </w:r>
    </w:p>
    <w:p>
      <w:pPr>
        <w:spacing w:after="0" w:line="56" w:lineRule="exact"/>
        <w:rPr>
          <w:sz w:val="20"/>
          <w:szCs w:val="20"/>
          <w:color w:val="auto"/>
        </w:rPr>
      </w:pPr>
    </w:p>
    <w:p>
      <w:pPr>
        <w:ind w:left="400" w:right="120" w:hanging="395"/>
        <w:spacing w:after="0" w:line="324" w:lineRule="auto"/>
        <w:tabs>
          <w:tab w:leader="none" w:pos="356" w:val="left"/>
        </w:tabs>
        <w:numPr>
          <w:ilvl w:val="0"/>
          <w:numId w:val="49"/>
        </w:numPr>
        <w:rPr>
          <w:rFonts w:ascii="Arial" w:cs="Arial" w:eastAsia="Arial" w:hAnsi="Arial"/>
          <w:sz w:val="16"/>
          <w:szCs w:val="16"/>
          <w:color w:val="auto"/>
        </w:rPr>
      </w:pPr>
      <w:r>
        <w:rPr>
          <w:rFonts w:ascii="Arial" w:cs="Arial" w:eastAsia="Arial" w:hAnsi="Arial"/>
          <w:sz w:val="16"/>
          <w:szCs w:val="16"/>
          <w:color w:val="auto"/>
        </w:rPr>
        <w:t>Confidential status has been granted for certain portions thereof pursuant to the Order Granting Confidential Treatment Under the Securities Act of 1933 issued by the Division of Corporation Finance of the Securities and Exchange Commission filed on August 1, 2014.</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Form 10-K Summary</w:t>
      </w:r>
    </w:p>
    <w:p>
      <w:pPr>
        <w:spacing w:after="0" w:line="8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64135</wp:posOffset>
            </wp:positionV>
            <wp:extent cx="716089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79">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type w:val="continuous"/>
        </w:sectPr>
      </w:pPr>
    </w:p>
    <w:bookmarkStart w:id="98" w:name="page99"/>
    <w:bookmarkEnd w:id="9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60" w:lineRule="exact"/>
        <w:rPr>
          <w:sz w:val="20"/>
          <w:szCs w:val="20"/>
          <w:color w:val="auto"/>
        </w:rPr>
      </w:pPr>
    </w:p>
    <w:p>
      <w:pPr>
        <w:ind w:right="280" w:firstLine="316"/>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Annual Report on Form 10-K to be signed on its behalf by the undersigned, thereunto duly authorized.</w:t>
      </w:r>
    </w:p>
    <w:p>
      <w:pPr>
        <w:spacing w:after="0" w:line="200" w:lineRule="exact"/>
        <w:rPr>
          <w:sz w:val="20"/>
          <w:szCs w:val="20"/>
          <w:color w:val="auto"/>
        </w:rPr>
      </w:pPr>
    </w:p>
    <w:p>
      <w:pPr>
        <w:spacing w:after="0" w:line="363" w:lineRule="exact"/>
        <w:rPr>
          <w:sz w:val="20"/>
          <w:szCs w:val="20"/>
          <w:color w:val="auto"/>
        </w:rPr>
      </w:pPr>
    </w:p>
    <w:p>
      <w:pPr>
        <w:ind w:left="6420"/>
        <w:spacing w:after="0"/>
        <w:rPr>
          <w:sz w:val="20"/>
          <w:szCs w:val="20"/>
          <w:color w:val="auto"/>
        </w:rPr>
      </w:pPr>
      <w:r>
        <w:rPr>
          <w:rFonts w:ascii="Arial" w:cs="Arial" w:eastAsia="Arial" w:hAnsi="Arial"/>
          <w:sz w:val="18"/>
          <w:szCs w:val="18"/>
          <w:color w:val="auto"/>
        </w:rPr>
        <w:t>WESTLAKE CHEMICAL PARTNERS LP</w:t>
      </w:r>
    </w:p>
    <w:p>
      <w:pPr>
        <w:spacing w:after="0" w:line="267" w:lineRule="exact"/>
        <w:rPr>
          <w:sz w:val="20"/>
          <w:szCs w:val="20"/>
          <w:color w:val="auto"/>
        </w:rPr>
      </w:pPr>
    </w:p>
    <w:p>
      <w:pPr>
        <w:ind w:left="20"/>
        <w:spacing w:after="0"/>
        <w:tabs>
          <w:tab w:leader="none" w:pos="640" w:val="left"/>
          <w:tab w:leader="none" w:pos="8180" w:val="left"/>
        </w:tabs>
        <w:rPr>
          <w:sz w:val="20"/>
          <w:szCs w:val="20"/>
          <w:color w:val="auto"/>
        </w:rPr>
      </w:pPr>
      <w:r>
        <w:rPr>
          <w:rFonts w:ascii="Arial" w:cs="Arial" w:eastAsia="Arial" w:hAnsi="Arial"/>
          <w:sz w:val="18"/>
          <w:szCs w:val="18"/>
          <w:color w:val="auto"/>
        </w:rPr>
        <w:t>Date:</w:t>
        <w:tab/>
        <w:t>March 1, 2023</w:t>
      </w:r>
      <w:r>
        <w:rPr>
          <w:sz w:val="20"/>
          <w:szCs w:val="20"/>
          <w:color w:val="auto"/>
        </w:rPr>
        <w:tab/>
      </w:r>
      <w:r>
        <w:rPr>
          <w:rFonts w:ascii="Arial" w:cs="Arial" w:eastAsia="Arial" w:hAnsi="Arial"/>
          <w:sz w:val="16"/>
          <w:szCs w:val="16"/>
          <w:color w:val="auto"/>
        </w:rPr>
        <w:t>/s/ A</w:t>
      </w:r>
      <w:r>
        <w:rPr>
          <w:rFonts w:ascii="Arial" w:cs="Arial" w:eastAsia="Arial" w:hAnsi="Arial"/>
          <w:sz w:val="13"/>
          <w:szCs w:val="13"/>
          <w:color w:val="auto"/>
        </w:rPr>
        <w:t>LBERT</w:t>
      </w:r>
      <w:r>
        <w:rPr>
          <w:rFonts w:ascii="Arial" w:cs="Arial" w:eastAsia="Arial" w:hAnsi="Arial"/>
          <w:sz w:val="16"/>
          <w:szCs w:val="16"/>
          <w:color w:val="auto"/>
        </w:rPr>
        <w:t xml:space="preserve"> C</w:t>
      </w:r>
      <w:r>
        <w:rPr>
          <w:rFonts w:ascii="Arial" w:cs="Arial" w:eastAsia="Arial" w:hAnsi="Arial"/>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4064000</wp:posOffset>
            </wp:positionH>
            <wp:positionV relativeFrom="paragraph">
              <wp:posOffset>18415</wp:posOffset>
            </wp:positionV>
            <wp:extent cx="305816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80">
                      <a:extLst>
                        <a:ext uri="{28A0092B-C50C-407E-A947-70E740481C1C}"/>
                      </a:extLst>
                    </a:blip>
                    <a:srcRect/>
                    <a:stretch>
                      <a:fillRect/>
                    </a:stretch>
                  </pic:blipFill>
                  <pic:spPr bwMode="auto">
                    <a:xfrm>
                      <a:off x="0" y="0"/>
                      <a:ext cx="3058160" cy="8255"/>
                    </a:xfrm>
                    <a:prstGeom prst="rect">
                      <a:avLst/>
                    </a:prstGeom>
                    <a:noFill/>
                  </pic:spPr>
                </pic:pic>
              </a:graphicData>
            </a:graphic>
          </wp:anchor>
        </w:drawing>
      </w:r>
    </w:p>
    <w:p>
      <w:pPr>
        <w:spacing w:after="0" w:line="13" w:lineRule="exact"/>
        <w:rPr>
          <w:sz w:val="20"/>
          <w:szCs w:val="20"/>
          <w:color w:val="auto"/>
        </w:rPr>
      </w:pPr>
    </w:p>
    <w:p>
      <w:pPr>
        <w:ind w:left="8440"/>
        <w:spacing w:after="0"/>
        <w:rPr>
          <w:sz w:val="20"/>
          <w:szCs w:val="20"/>
          <w:color w:val="auto"/>
        </w:rPr>
      </w:pPr>
      <w:r>
        <w:rPr>
          <w:rFonts w:ascii="Arial" w:cs="Arial" w:eastAsia="Arial" w:hAnsi="Arial"/>
          <w:sz w:val="14"/>
          <w:szCs w:val="14"/>
          <w:b w:val="1"/>
          <w:bCs w:val="1"/>
          <w:color w:val="auto"/>
        </w:rPr>
        <w:t>Albert Chao</w:t>
      </w:r>
    </w:p>
    <w:p>
      <w:pPr>
        <w:ind w:left="7300"/>
        <w:spacing w:after="0" w:line="215" w:lineRule="auto"/>
        <w:rPr>
          <w:sz w:val="20"/>
          <w:szCs w:val="20"/>
          <w:color w:val="auto"/>
        </w:rPr>
      </w:pPr>
      <w:r>
        <w:rPr>
          <w:rFonts w:ascii="Arial" w:cs="Arial" w:eastAsia="Arial" w:hAnsi="Arial"/>
          <w:sz w:val="14"/>
          <w:szCs w:val="14"/>
          <w:b w:val="1"/>
          <w:bCs w:val="1"/>
          <w:color w:val="auto"/>
        </w:rPr>
        <w:t>President, Chief Executive Officer and Director of</w:t>
      </w:r>
    </w:p>
    <w:p>
      <w:pPr>
        <w:ind w:left="7660"/>
        <w:spacing w:after="0" w:line="196" w:lineRule="auto"/>
        <w:rPr>
          <w:sz w:val="20"/>
          <w:szCs w:val="20"/>
          <w:color w:val="auto"/>
        </w:rPr>
      </w:pPr>
      <w:r>
        <w:rPr>
          <w:rFonts w:ascii="Arial" w:cs="Arial" w:eastAsia="Arial" w:hAnsi="Arial"/>
          <w:sz w:val="14"/>
          <w:szCs w:val="14"/>
          <w:b w:val="1"/>
          <w:bCs w:val="1"/>
          <w:color w:val="auto"/>
        </w:rPr>
        <w:t>Westlake Chemical Partners GP LLC</w:t>
      </w:r>
    </w:p>
    <w:p>
      <w:pPr>
        <w:spacing w:after="0" w:line="1" w:lineRule="exact"/>
        <w:rPr>
          <w:sz w:val="20"/>
          <w:szCs w:val="20"/>
          <w:color w:val="auto"/>
        </w:rPr>
      </w:pPr>
    </w:p>
    <w:p>
      <w:pPr>
        <w:ind w:left="7940"/>
        <w:spacing w:after="0"/>
        <w:rPr>
          <w:sz w:val="20"/>
          <w:szCs w:val="20"/>
          <w:color w:val="auto"/>
        </w:rPr>
      </w:pPr>
      <w:r>
        <w:rPr>
          <w:rFonts w:ascii="Arial" w:cs="Arial" w:eastAsia="Arial" w:hAnsi="Arial"/>
          <w:sz w:val="14"/>
          <w:szCs w:val="14"/>
          <w:b w:val="1"/>
          <w:bCs w:val="1"/>
          <w:color w:val="auto"/>
        </w:rPr>
        <w:t>(Principal Executive Officer)</w:t>
      </w:r>
    </w:p>
    <w:p>
      <w:pPr>
        <w:spacing w:after="0" w:line="360" w:lineRule="exact"/>
        <w:rPr>
          <w:sz w:val="20"/>
          <w:szCs w:val="20"/>
          <w:color w:val="auto"/>
        </w:rPr>
      </w:pPr>
    </w:p>
    <w:p>
      <w:pPr>
        <w:ind w:firstLine="316"/>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Annual Report on Form 10-K has been signed below by the following persons on behalf of the registrant and in the capacities and on the dates indicated.</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9"/>
              </w:rPr>
              <w:t>Signature</w:t>
            </w:r>
          </w:p>
        </w:tc>
        <w:tc>
          <w:tcPr>
            <w:tcW w:w="18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80" w:type="dxa"/>
            <w:vAlign w:val="bottom"/>
          </w:tcPr>
          <w:p>
            <w:pPr>
              <w:spacing w:after="0"/>
              <w:rPr>
                <w:sz w:val="20"/>
                <w:szCs w:val="20"/>
                <w:color w:val="auto"/>
              </w:rPr>
            </w:pPr>
            <w:r>
              <w:rPr>
                <w:rFonts w:ascii="Arial" w:cs="Arial" w:eastAsia="Arial" w:hAnsi="Arial"/>
                <w:sz w:val="14"/>
                <w:szCs w:val="14"/>
                <w:b w:val="1"/>
                <w:bCs w:val="1"/>
                <w:color w:val="auto"/>
                <w:w w:val="90"/>
              </w:rPr>
              <w:t>Title</w:t>
            </w:r>
          </w:p>
        </w:tc>
        <w:tc>
          <w:tcPr>
            <w:tcW w:w="19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20"/>
        </w:trPr>
        <w:tc>
          <w:tcPr>
            <w:tcW w:w="16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0"/>
        </w:trPr>
        <w:tc>
          <w:tcPr>
            <w:tcW w:w="1660" w:type="dxa"/>
            <w:vAlign w:val="bottom"/>
            <w:gridSpan w:val="2"/>
          </w:tcPr>
          <w:p>
            <w:pPr>
              <w:ind w:left="14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580" w:type="dxa"/>
            <w:vAlign w:val="bottom"/>
            <w:gridSpan w:val="3"/>
          </w:tcPr>
          <w:p>
            <w:pPr>
              <w:jc w:val="center"/>
              <w:ind w:right="1320"/>
              <w:spacing w:after="0"/>
              <w:rPr>
                <w:sz w:val="20"/>
                <w:szCs w:val="20"/>
                <w:color w:val="auto"/>
              </w:rPr>
            </w:pPr>
            <w:r>
              <w:rPr>
                <w:rFonts w:ascii="Arial" w:cs="Arial" w:eastAsia="Arial" w:hAnsi="Arial"/>
                <w:sz w:val="18"/>
                <w:szCs w:val="18"/>
                <w:color w:val="auto"/>
                <w:w w:val="96"/>
              </w:rPr>
              <w:t>A</w:t>
            </w:r>
            <w:r>
              <w:rPr>
                <w:rFonts w:ascii="Arial" w:cs="Arial" w:eastAsia="Arial" w:hAnsi="Arial"/>
                <w:sz w:val="14"/>
                <w:szCs w:val="14"/>
                <w:color w:val="auto"/>
                <w:w w:val="96"/>
              </w:rPr>
              <w:t>LBERT</w:t>
            </w:r>
            <w:r>
              <w:rPr>
                <w:rFonts w:ascii="Arial" w:cs="Arial" w:eastAsia="Arial" w:hAnsi="Arial"/>
                <w:sz w:val="18"/>
                <w:szCs w:val="18"/>
                <w:color w:val="auto"/>
                <w:w w:val="96"/>
              </w:rPr>
              <w:t xml:space="preserve"> C</w:t>
            </w:r>
            <w:r>
              <w:rPr>
                <w:rFonts w:ascii="Arial" w:cs="Arial" w:eastAsia="Arial" w:hAnsi="Arial"/>
                <w:sz w:val="14"/>
                <w:szCs w:val="14"/>
                <w:color w:val="auto"/>
                <w:w w:val="96"/>
              </w:rPr>
              <w:t>HAO</w:t>
            </w:r>
          </w:p>
        </w:tc>
        <w:tc>
          <w:tcPr>
            <w:tcW w:w="4620" w:type="dxa"/>
            <w:vAlign w:val="bottom"/>
            <w:gridSpan w:val="3"/>
          </w:tcPr>
          <w:p>
            <w:pPr>
              <w:ind w:left="300"/>
              <w:spacing w:after="0"/>
              <w:rPr>
                <w:sz w:val="20"/>
                <w:szCs w:val="20"/>
                <w:color w:val="auto"/>
              </w:rPr>
            </w:pPr>
            <w:r>
              <w:rPr>
                <w:rFonts w:ascii="Arial" w:cs="Arial" w:eastAsia="Arial" w:hAnsi="Arial"/>
                <w:sz w:val="18"/>
                <w:szCs w:val="18"/>
                <w:color w:val="auto"/>
              </w:rPr>
              <w:t>President, Chief Executive Officer and Director</w:t>
            </w:r>
          </w:p>
        </w:tc>
        <w:tc>
          <w:tcPr>
            <w:tcW w:w="1840" w:type="dxa"/>
            <w:vAlign w:val="bottom"/>
            <w:gridSpan w:val="3"/>
            <w:vMerge w:val="restart"/>
          </w:tcPr>
          <w:p>
            <w:pPr>
              <w:jc w:val="center"/>
              <w:ind w:left="712"/>
              <w:spacing w:after="0"/>
              <w:rPr>
                <w:sz w:val="20"/>
                <w:szCs w:val="20"/>
                <w:color w:val="auto"/>
              </w:rPr>
            </w:pPr>
            <w:r>
              <w:rPr>
                <w:rFonts w:ascii="Arial" w:cs="Arial" w:eastAsia="Arial" w:hAnsi="Arial"/>
                <w:sz w:val="18"/>
                <w:szCs w:val="18"/>
                <w:color w:val="auto"/>
                <w:w w:val="90"/>
              </w:rPr>
              <w:t>March 1, 2023</w:t>
            </w:r>
          </w:p>
        </w:tc>
        <w:tc>
          <w:tcPr>
            <w:tcW w:w="0" w:type="dxa"/>
            <w:vAlign w:val="bottom"/>
          </w:tcPr>
          <w:p>
            <w:pPr>
              <w:spacing w:after="0"/>
              <w:rPr>
                <w:sz w:val="1"/>
                <w:szCs w:val="1"/>
                <w:color w:val="auto"/>
              </w:rPr>
            </w:pPr>
          </w:p>
        </w:tc>
      </w:tr>
      <w:tr>
        <w:trPr>
          <w:trHeight w:val="26"/>
        </w:trPr>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620" w:type="dxa"/>
            <w:vAlign w:val="bottom"/>
            <w:gridSpan w:val="3"/>
            <w:vMerge w:val="restart"/>
          </w:tcPr>
          <w:p>
            <w:pPr>
              <w:ind w:left="440"/>
              <w:spacing w:after="0"/>
              <w:rPr>
                <w:sz w:val="20"/>
                <w:szCs w:val="20"/>
                <w:color w:val="auto"/>
              </w:rPr>
            </w:pPr>
            <w:r>
              <w:rPr>
                <w:rFonts w:ascii="Arial" w:cs="Arial" w:eastAsia="Arial" w:hAnsi="Arial"/>
                <w:sz w:val="18"/>
                <w:szCs w:val="18"/>
                <w:color w:val="auto"/>
              </w:rPr>
              <w:t>(Principal Executive Officer)</w:t>
            </w:r>
          </w:p>
        </w:tc>
        <w:tc>
          <w:tcPr>
            <w:tcW w:w="184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5"/>
        </w:trPr>
        <w:tc>
          <w:tcPr>
            <w:tcW w:w="1580" w:type="dxa"/>
            <w:vAlign w:val="bottom"/>
          </w:tcPr>
          <w:p>
            <w:pPr>
              <w:spacing w:after="0"/>
              <w:rPr>
                <w:sz w:val="7"/>
                <w:szCs w:val="7"/>
                <w:color w:val="auto"/>
              </w:rPr>
            </w:pPr>
          </w:p>
        </w:tc>
        <w:tc>
          <w:tcPr>
            <w:tcW w:w="80" w:type="dxa"/>
            <w:vAlign w:val="bottom"/>
          </w:tcPr>
          <w:p>
            <w:pPr>
              <w:spacing w:after="0"/>
              <w:rPr>
                <w:sz w:val="7"/>
                <w:szCs w:val="7"/>
                <w:color w:val="auto"/>
              </w:rPr>
            </w:pPr>
          </w:p>
        </w:tc>
        <w:tc>
          <w:tcPr>
            <w:tcW w:w="2580" w:type="dxa"/>
            <w:vAlign w:val="bottom"/>
            <w:gridSpan w:val="3"/>
            <w:vMerge w:val="restart"/>
          </w:tcPr>
          <w:p>
            <w:pPr>
              <w:jc w:val="center"/>
              <w:ind w:right="1640"/>
              <w:spacing w:after="0"/>
              <w:rPr>
                <w:sz w:val="20"/>
                <w:szCs w:val="20"/>
                <w:color w:val="auto"/>
              </w:rPr>
            </w:pPr>
            <w:r>
              <w:rPr>
                <w:rFonts w:ascii="Arial" w:cs="Arial" w:eastAsia="Arial" w:hAnsi="Arial"/>
                <w:sz w:val="14"/>
                <w:szCs w:val="14"/>
                <w:b w:val="1"/>
                <w:bCs w:val="1"/>
                <w:color w:val="auto"/>
                <w:w w:val="93"/>
              </w:rPr>
              <w:t>Albert Chao</w:t>
            </w:r>
          </w:p>
        </w:tc>
        <w:tc>
          <w:tcPr>
            <w:tcW w:w="4620" w:type="dxa"/>
            <w:vAlign w:val="bottom"/>
            <w:gridSpan w:val="3"/>
            <w:vMerge w:val="continue"/>
          </w:tcPr>
          <w:p>
            <w:pPr>
              <w:spacing w:after="0"/>
              <w:rPr>
                <w:sz w:val="7"/>
                <w:szCs w:val="7"/>
                <w:color w:val="auto"/>
              </w:rPr>
            </w:pPr>
          </w:p>
        </w:tc>
        <w:tc>
          <w:tcPr>
            <w:tcW w:w="18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2580" w:type="dxa"/>
            <w:vAlign w:val="bottom"/>
            <w:gridSpan w:val="3"/>
            <w:vMerge w:val="continue"/>
          </w:tcPr>
          <w:p>
            <w:pPr>
              <w:spacing w:after="0"/>
              <w:rPr>
                <w:sz w:val="8"/>
                <w:szCs w:val="8"/>
                <w:color w:val="auto"/>
              </w:rPr>
            </w:pPr>
          </w:p>
        </w:tc>
        <w:tc>
          <w:tcPr>
            <w:tcW w:w="4620" w:type="dxa"/>
            <w:vAlign w:val="bottom"/>
            <w:gridSpan w:val="3"/>
            <w:vMerge w:val="continue"/>
          </w:tcPr>
          <w:p>
            <w:pPr>
              <w:spacing w:after="0"/>
              <w:rPr>
                <w:sz w:val="8"/>
                <w:szCs w:val="8"/>
                <w:color w:val="auto"/>
              </w:rPr>
            </w:pPr>
          </w:p>
        </w:tc>
        <w:tc>
          <w:tcPr>
            <w:tcW w:w="1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7"/>
        </w:trPr>
        <w:tc>
          <w:tcPr>
            <w:tcW w:w="1580" w:type="dxa"/>
            <w:vAlign w:val="bottom"/>
          </w:tcPr>
          <w:p>
            <w:pPr>
              <w:ind w:left="12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660" w:type="dxa"/>
            <w:vAlign w:val="bottom"/>
            <w:gridSpan w:val="4"/>
          </w:tcPr>
          <w:p>
            <w:pPr>
              <w:jc w:val="center"/>
              <w:ind w:right="1220"/>
              <w:spacing w:after="0"/>
              <w:rPr>
                <w:sz w:val="20"/>
                <w:szCs w:val="20"/>
                <w:color w:val="auto"/>
              </w:rPr>
            </w:pPr>
            <w:r>
              <w:rPr>
                <w:rFonts w:ascii="Arial" w:cs="Arial" w:eastAsia="Arial" w:hAnsi="Arial"/>
                <w:sz w:val="18"/>
                <w:szCs w:val="18"/>
                <w:color w:val="auto"/>
                <w:w w:val="96"/>
              </w:rPr>
              <w:t>M. S</w:t>
            </w:r>
            <w:r>
              <w:rPr>
                <w:rFonts w:ascii="Arial" w:cs="Arial" w:eastAsia="Arial" w:hAnsi="Arial"/>
                <w:sz w:val="14"/>
                <w:szCs w:val="14"/>
                <w:color w:val="auto"/>
                <w:w w:val="96"/>
              </w:rPr>
              <w:t>TEVEN</w:t>
            </w:r>
            <w:r>
              <w:rPr>
                <w:rFonts w:ascii="Arial" w:cs="Arial" w:eastAsia="Arial" w:hAnsi="Arial"/>
                <w:sz w:val="18"/>
                <w:szCs w:val="18"/>
                <w:color w:val="auto"/>
                <w:w w:val="96"/>
              </w:rPr>
              <w:t xml:space="preserve"> B</w:t>
            </w:r>
            <w:r>
              <w:rPr>
                <w:rFonts w:ascii="Arial" w:cs="Arial" w:eastAsia="Arial" w:hAnsi="Arial"/>
                <w:sz w:val="14"/>
                <w:szCs w:val="14"/>
                <w:color w:val="auto"/>
                <w:w w:val="96"/>
              </w:rPr>
              <w:t>ENDER</w:t>
            </w:r>
          </w:p>
        </w:tc>
        <w:tc>
          <w:tcPr>
            <w:tcW w:w="4620" w:type="dxa"/>
            <w:vAlign w:val="bottom"/>
            <w:gridSpan w:val="3"/>
          </w:tcPr>
          <w:p>
            <w:pPr>
              <w:ind w:left="300"/>
              <w:spacing w:after="0"/>
              <w:rPr>
                <w:sz w:val="20"/>
                <w:szCs w:val="20"/>
                <w:color w:val="auto"/>
              </w:rPr>
            </w:pPr>
            <w:r>
              <w:rPr>
                <w:rFonts w:ascii="Arial" w:cs="Arial" w:eastAsia="Arial" w:hAnsi="Arial"/>
                <w:sz w:val="18"/>
                <w:szCs w:val="18"/>
                <w:color w:val="auto"/>
              </w:rPr>
              <w:t>Executive Vice President, Chief Financial Officer</w:t>
            </w:r>
          </w:p>
        </w:tc>
        <w:tc>
          <w:tcPr>
            <w:tcW w:w="1840" w:type="dxa"/>
            <w:vAlign w:val="bottom"/>
            <w:gridSpan w:val="3"/>
            <w:vMerge w:val="restart"/>
          </w:tcPr>
          <w:p>
            <w:pPr>
              <w:jc w:val="center"/>
              <w:ind w:left="712"/>
              <w:spacing w:after="0"/>
              <w:rPr>
                <w:sz w:val="20"/>
                <w:szCs w:val="20"/>
                <w:color w:val="auto"/>
              </w:rPr>
            </w:pPr>
            <w:r>
              <w:rPr>
                <w:rFonts w:ascii="Arial" w:cs="Arial" w:eastAsia="Arial" w:hAnsi="Arial"/>
                <w:sz w:val="18"/>
                <w:szCs w:val="18"/>
                <w:color w:val="auto"/>
                <w:w w:val="90"/>
              </w:rPr>
              <w:t>March 1, 2023</w:t>
            </w:r>
          </w:p>
        </w:tc>
        <w:tc>
          <w:tcPr>
            <w:tcW w:w="0" w:type="dxa"/>
            <w:vAlign w:val="bottom"/>
          </w:tcPr>
          <w:p>
            <w:pPr>
              <w:spacing w:after="0"/>
              <w:rPr>
                <w:sz w:val="1"/>
                <w:szCs w:val="1"/>
                <w:color w:val="auto"/>
              </w:rPr>
            </w:pPr>
          </w:p>
        </w:tc>
      </w:tr>
      <w:tr>
        <w:trPr>
          <w:trHeight w:val="26"/>
        </w:trPr>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620" w:type="dxa"/>
            <w:vAlign w:val="bottom"/>
            <w:gridSpan w:val="3"/>
            <w:vMerge w:val="restart"/>
          </w:tcPr>
          <w:p>
            <w:pPr>
              <w:ind w:left="440"/>
              <w:spacing w:after="0"/>
              <w:rPr>
                <w:sz w:val="20"/>
                <w:szCs w:val="20"/>
                <w:color w:val="auto"/>
              </w:rPr>
            </w:pPr>
            <w:r>
              <w:rPr>
                <w:rFonts w:ascii="Arial" w:cs="Arial" w:eastAsia="Arial" w:hAnsi="Arial"/>
                <w:sz w:val="18"/>
                <w:szCs w:val="18"/>
                <w:color w:val="auto"/>
              </w:rPr>
              <w:t>and Director (Principal Financial Officer)</w:t>
            </w:r>
          </w:p>
        </w:tc>
        <w:tc>
          <w:tcPr>
            <w:tcW w:w="184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5"/>
        </w:trPr>
        <w:tc>
          <w:tcPr>
            <w:tcW w:w="1580" w:type="dxa"/>
            <w:vAlign w:val="bottom"/>
          </w:tcPr>
          <w:p>
            <w:pPr>
              <w:spacing w:after="0"/>
              <w:rPr>
                <w:sz w:val="7"/>
                <w:szCs w:val="7"/>
                <w:color w:val="auto"/>
              </w:rPr>
            </w:pPr>
          </w:p>
        </w:tc>
        <w:tc>
          <w:tcPr>
            <w:tcW w:w="2660" w:type="dxa"/>
            <w:vAlign w:val="bottom"/>
            <w:gridSpan w:val="4"/>
            <w:vMerge w:val="restart"/>
          </w:tcPr>
          <w:p>
            <w:pPr>
              <w:jc w:val="center"/>
              <w:ind w:right="1580"/>
              <w:spacing w:after="0"/>
              <w:rPr>
                <w:sz w:val="20"/>
                <w:szCs w:val="20"/>
                <w:color w:val="auto"/>
              </w:rPr>
            </w:pPr>
            <w:r>
              <w:rPr>
                <w:rFonts w:ascii="Arial" w:cs="Arial" w:eastAsia="Arial" w:hAnsi="Arial"/>
                <w:sz w:val="14"/>
                <w:szCs w:val="14"/>
                <w:b w:val="1"/>
                <w:bCs w:val="1"/>
                <w:color w:val="auto"/>
                <w:w w:val="91"/>
              </w:rPr>
              <w:t>M. Steven Bender</w:t>
            </w:r>
          </w:p>
        </w:tc>
        <w:tc>
          <w:tcPr>
            <w:tcW w:w="4620" w:type="dxa"/>
            <w:vAlign w:val="bottom"/>
            <w:gridSpan w:val="3"/>
            <w:vMerge w:val="continue"/>
          </w:tcPr>
          <w:p>
            <w:pPr>
              <w:spacing w:after="0"/>
              <w:rPr>
                <w:sz w:val="7"/>
                <w:szCs w:val="7"/>
                <w:color w:val="auto"/>
              </w:rPr>
            </w:pPr>
          </w:p>
        </w:tc>
        <w:tc>
          <w:tcPr>
            <w:tcW w:w="18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580" w:type="dxa"/>
            <w:vAlign w:val="bottom"/>
          </w:tcPr>
          <w:p>
            <w:pPr>
              <w:spacing w:after="0"/>
              <w:rPr>
                <w:sz w:val="8"/>
                <w:szCs w:val="8"/>
                <w:color w:val="auto"/>
              </w:rPr>
            </w:pPr>
          </w:p>
        </w:tc>
        <w:tc>
          <w:tcPr>
            <w:tcW w:w="2660" w:type="dxa"/>
            <w:vAlign w:val="bottom"/>
            <w:gridSpan w:val="4"/>
            <w:vMerge w:val="continue"/>
          </w:tcPr>
          <w:p>
            <w:pPr>
              <w:spacing w:after="0"/>
              <w:rPr>
                <w:sz w:val="8"/>
                <w:szCs w:val="8"/>
                <w:color w:val="auto"/>
              </w:rPr>
            </w:pPr>
          </w:p>
        </w:tc>
        <w:tc>
          <w:tcPr>
            <w:tcW w:w="4620" w:type="dxa"/>
            <w:vAlign w:val="bottom"/>
            <w:gridSpan w:val="3"/>
            <w:vMerge w:val="continue"/>
          </w:tcPr>
          <w:p>
            <w:pPr>
              <w:spacing w:after="0"/>
              <w:rPr>
                <w:sz w:val="8"/>
                <w:szCs w:val="8"/>
                <w:color w:val="auto"/>
              </w:rPr>
            </w:pPr>
          </w:p>
        </w:tc>
        <w:tc>
          <w:tcPr>
            <w:tcW w:w="1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7"/>
        </w:trPr>
        <w:tc>
          <w:tcPr>
            <w:tcW w:w="4240" w:type="dxa"/>
            <w:vAlign w:val="bottom"/>
            <w:gridSpan w:val="5"/>
          </w:tcPr>
          <w:p>
            <w:pPr>
              <w:jc w:val="center"/>
              <w:spacing w:after="0"/>
              <w:rPr>
                <w:sz w:val="20"/>
                <w:szCs w:val="20"/>
                <w:color w:val="auto"/>
              </w:rPr>
            </w:pPr>
            <w:r>
              <w:rPr>
                <w:rFonts w:ascii="Arial" w:cs="Arial" w:eastAsia="Arial" w:hAnsi="Arial"/>
                <w:sz w:val="18"/>
                <w:szCs w:val="18"/>
                <w:color w:val="auto"/>
                <w:w w:val="97"/>
              </w:rPr>
              <w:t>/S/  J</w:t>
            </w:r>
            <w:r>
              <w:rPr>
                <w:rFonts w:ascii="Arial" w:cs="Arial" w:eastAsia="Arial" w:hAnsi="Arial"/>
                <w:sz w:val="14"/>
                <w:szCs w:val="14"/>
                <w:color w:val="auto"/>
                <w:w w:val="97"/>
              </w:rPr>
              <w:t>OHNATHAN</w:t>
            </w:r>
            <w:r>
              <w:rPr>
                <w:rFonts w:ascii="Arial" w:cs="Arial" w:eastAsia="Arial" w:hAnsi="Arial"/>
                <w:sz w:val="18"/>
                <w:szCs w:val="18"/>
                <w:color w:val="auto"/>
                <w:w w:val="97"/>
              </w:rPr>
              <w:t xml:space="preserve"> S. Z</w:t>
            </w:r>
            <w:r>
              <w:rPr>
                <w:rFonts w:ascii="Arial" w:cs="Arial" w:eastAsia="Arial" w:hAnsi="Arial"/>
                <w:sz w:val="14"/>
                <w:szCs w:val="14"/>
                <w:color w:val="auto"/>
                <w:w w:val="97"/>
              </w:rPr>
              <w:t>OELLER</w:t>
            </w:r>
          </w:p>
        </w:tc>
        <w:tc>
          <w:tcPr>
            <w:tcW w:w="4620" w:type="dxa"/>
            <w:vAlign w:val="bottom"/>
            <w:gridSpan w:val="3"/>
          </w:tcPr>
          <w:p>
            <w:pPr>
              <w:ind w:left="300"/>
              <w:spacing w:after="0"/>
              <w:rPr>
                <w:sz w:val="20"/>
                <w:szCs w:val="20"/>
                <w:color w:val="auto"/>
              </w:rPr>
            </w:pPr>
            <w:r>
              <w:rPr>
                <w:rFonts w:ascii="Arial" w:cs="Arial" w:eastAsia="Arial" w:hAnsi="Arial"/>
                <w:sz w:val="18"/>
                <w:szCs w:val="18"/>
                <w:color w:val="auto"/>
              </w:rPr>
              <w:t>Vice President and Chief Accounting Officer</w:t>
            </w:r>
          </w:p>
        </w:tc>
        <w:tc>
          <w:tcPr>
            <w:tcW w:w="1840" w:type="dxa"/>
            <w:vAlign w:val="bottom"/>
            <w:gridSpan w:val="3"/>
            <w:vMerge w:val="restart"/>
          </w:tcPr>
          <w:p>
            <w:pPr>
              <w:jc w:val="center"/>
              <w:ind w:left="712"/>
              <w:spacing w:after="0"/>
              <w:rPr>
                <w:sz w:val="20"/>
                <w:szCs w:val="20"/>
                <w:color w:val="auto"/>
              </w:rPr>
            </w:pPr>
            <w:r>
              <w:rPr>
                <w:rFonts w:ascii="Arial" w:cs="Arial" w:eastAsia="Arial" w:hAnsi="Arial"/>
                <w:sz w:val="18"/>
                <w:szCs w:val="18"/>
                <w:color w:val="auto"/>
                <w:w w:val="90"/>
              </w:rPr>
              <w:t>March 1, 2023</w:t>
            </w:r>
          </w:p>
        </w:tc>
        <w:tc>
          <w:tcPr>
            <w:tcW w:w="0" w:type="dxa"/>
            <w:vAlign w:val="bottom"/>
          </w:tcPr>
          <w:p>
            <w:pPr>
              <w:spacing w:after="0"/>
              <w:rPr>
                <w:sz w:val="1"/>
                <w:szCs w:val="1"/>
                <w:color w:val="auto"/>
              </w:rPr>
            </w:pPr>
          </w:p>
        </w:tc>
      </w:tr>
      <w:tr>
        <w:trPr>
          <w:trHeight w:val="26"/>
        </w:trPr>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620" w:type="dxa"/>
            <w:vAlign w:val="bottom"/>
            <w:gridSpan w:val="3"/>
            <w:vMerge w:val="restart"/>
          </w:tcPr>
          <w:p>
            <w:pPr>
              <w:ind w:left="440"/>
              <w:spacing w:after="0"/>
              <w:rPr>
                <w:sz w:val="20"/>
                <w:szCs w:val="20"/>
                <w:color w:val="auto"/>
              </w:rPr>
            </w:pPr>
            <w:r>
              <w:rPr>
                <w:rFonts w:ascii="Arial" w:cs="Arial" w:eastAsia="Arial" w:hAnsi="Arial"/>
                <w:sz w:val="18"/>
                <w:szCs w:val="18"/>
                <w:color w:val="auto"/>
              </w:rPr>
              <w:t>(Principal Accounting Officer)</w:t>
            </w:r>
          </w:p>
        </w:tc>
        <w:tc>
          <w:tcPr>
            <w:tcW w:w="184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5"/>
        </w:trPr>
        <w:tc>
          <w:tcPr>
            <w:tcW w:w="424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0"/>
              </w:rPr>
              <w:t>Johnathan S. Zoeller</w:t>
            </w:r>
          </w:p>
        </w:tc>
        <w:tc>
          <w:tcPr>
            <w:tcW w:w="4620" w:type="dxa"/>
            <w:vAlign w:val="bottom"/>
            <w:gridSpan w:val="3"/>
            <w:vMerge w:val="continue"/>
          </w:tcPr>
          <w:p>
            <w:pPr>
              <w:spacing w:after="0"/>
              <w:rPr>
                <w:sz w:val="7"/>
                <w:szCs w:val="7"/>
                <w:color w:val="auto"/>
              </w:rPr>
            </w:pPr>
          </w:p>
        </w:tc>
        <w:tc>
          <w:tcPr>
            <w:tcW w:w="18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4240" w:type="dxa"/>
            <w:vAlign w:val="bottom"/>
            <w:gridSpan w:val="5"/>
            <w:vMerge w:val="continue"/>
          </w:tcPr>
          <w:p>
            <w:pPr>
              <w:spacing w:after="0"/>
              <w:rPr>
                <w:sz w:val="8"/>
                <w:szCs w:val="8"/>
                <w:color w:val="auto"/>
              </w:rPr>
            </w:pPr>
          </w:p>
        </w:tc>
        <w:tc>
          <w:tcPr>
            <w:tcW w:w="4620" w:type="dxa"/>
            <w:vAlign w:val="bottom"/>
            <w:gridSpan w:val="3"/>
            <w:vMerge w:val="continue"/>
          </w:tcPr>
          <w:p>
            <w:pPr>
              <w:spacing w:after="0"/>
              <w:rPr>
                <w:sz w:val="8"/>
                <w:szCs w:val="8"/>
                <w:color w:val="auto"/>
              </w:rPr>
            </w:pPr>
          </w:p>
        </w:tc>
        <w:tc>
          <w:tcPr>
            <w:tcW w:w="1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00"/>
        </w:trPr>
        <w:tc>
          <w:tcPr>
            <w:tcW w:w="4240" w:type="dxa"/>
            <w:vAlign w:val="bottom"/>
            <w:gridSpan w:val="5"/>
          </w:tcPr>
          <w:p>
            <w:pPr>
              <w:jc w:val="center"/>
              <w:spacing w:after="0"/>
              <w:rPr>
                <w:sz w:val="20"/>
                <w:szCs w:val="20"/>
                <w:color w:val="auto"/>
              </w:rPr>
            </w:pPr>
            <w:r>
              <w:rPr>
                <w:rFonts w:ascii="Arial" w:cs="Arial" w:eastAsia="Arial" w:hAnsi="Arial"/>
                <w:sz w:val="18"/>
                <w:szCs w:val="18"/>
                <w:color w:val="auto"/>
                <w:w w:val="96"/>
              </w:rPr>
              <w:t>/</w:t>
            </w:r>
            <w:r>
              <w:rPr>
                <w:rFonts w:ascii="Arial" w:cs="Arial" w:eastAsia="Arial" w:hAnsi="Arial"/>
                <w:sz w:val="14"/>
                <w:szCs w:val="14"/>
                <w:color w:val="auto"/>
                <w:w w:val="96"/>
              </w:rPr>
              <w:t>S</w:t>
            </w:r>
            <w:r>
              <w:rPr>
                <w:rFonts w:ascii="Arial" w:cs="Arial" w:eastAsia="Arial" w:hAnsi="Arial"/>
                <w:sz w:val="18"/>
                <w:szCs w:val="18"/>
                <w:color w:val="auto"/>
                <w:w w:val="96"/>
              </w:rPr>
              <w:t>/ L. B</w:t>
            </w:r>
            <w:r>
              <w:rPr>
                <w:rFonts w:ascii="Arial" w:cs="Arial" w:eastAsia="Arial" w:hAnsi="Arial"/>
                <w:sz w:val="14"/>
                <w:szCs w:val="14"/>
                <w:color w:val="auto"/>
                <w:w w:val="96"/>
              </w:rPr>
              <w:t>ENJAMIN</w:t>
            </w:r>
            <w:r>
              <w:rPr>
                <w:rFonts w:ascii="Arial" w:cs="Arial" w:eastAsia="Arial" w:hAnsi="Arial"/>
                <w:sz w:val="18"/>
                <w:szCs w:val="18"/>
                <w:color w:val="auto"/>
                <w:w w:val="96"/>
              </w:rPr>
              <w:t xml:space="preserve"> E</w:t>
            </w:r>
            <w:r>
              <w:rPr>
                <w:rFonts w:ascii="Arial" w:cs="Arial" w:eastAsia="Arial" w:hAnsi="Arial"/>
                <w:sz w:val="14"/>
                <w:szCs w:val="14"/>
                <w:color w:val="auto"/>
                <w:w w:val="96"/>
              </w:rPr>
              <w:t>DERINGTON</w:t>
            </w:r>
          </w:p>
        </w:tc>
        <w:tc>
          <w:tcPr>
            <w:tcW w:w="4620" w:type="dxa"/>
            <w:vAlign w:val="bottom"/>
            <w:gridSpan w:val="3"/>
          </w:tcPr>
          <w:p>
            <w:pPr>
              <w:ind w:left="300"/>
              <w:spacing w:after="0"/>
              <w:rPr>
                <w:sz w:val="20"/>
                <w:szCs w:val="20"/>
                <w:color w:val="auto"/>
              </w:rPr>
            </w:pPr>
            <w:r>
              <w:rPr>
                <w:rFonts w:ascii="Arial" w:cs="Arial" w:eastAsia="Arial" w:hAnsi="Arial"/>
                <w:sz w:val="18"/>
                <w:szCs w:val="18"/>
                <w:color w:val="auto"/>
              </w:rPr>
              <w:t>Executive Vice President, General Counsel, Chief</w:t>
            </w:r>
          </w:p>
        </w:tc>
        <w:tc>
          <w:tcPr>
            <w:tcW w:w="1840" w:type="dxa"/>
            <w:vAlign w:val="bottom"/>
            <w:gridSpan w:val="3"/>
            <w:vMerge w:val="restart"/>
          </w:tcPr>
          <w:p>
            <w:pPr>
              <w:jc w:val="center"/>
              <w:ind w:left="712"/>
              <w:spacing w:after="0"/>
              <w:rPr>
                <w:sz w:val="20"/>
                <w:szCs w:val="20"/>
                <w:color w:val="auto"/>
              </w:rPr>
            </w:pPr>
            <w:r>
              <w:rPr>
                <w:rFonts w:ascii="Arial" w:cs="Arial" w:eastAsia="Arial" w:hAnsi="Arial"/>
                <w:sz w:val="18"/>
                <w:szCs w:val="18"/>
                <w:color w:val="auto"/>
                <w:w w:val="90"/>
              </w:rPr>
              <w:t>March 1, 2023</w:t>
            </w:r>
          </w:p>
        </w:tc>
        <w:tc>
          <w:tcPr>
            <w:tcW w:w="0" w:type="dxa"/>
            <w:vAlign w:val="bottom"/>
          </w:tcPr>
          <w:p>
            <w:pPr>
              <w:spacing w:after="0"/>
              <w:rPr>
                <w:sz w:val="1"/>
                <w:szCs w:val="1"/>
                <w:color w:val="auto"/>
              </w:rPr>
            </w:pPr>
          </w:p>
        </w:tc>
      </w:tr>
      <w:tr>
        <w:trPr>
          <w:trHeight w:val="92"/>
        </w:trPr>
        <w:tc>
          <w:tcPr>
            <w:tcW w:w="15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820" w:type="dxa"/>
            <w:vAlign w:val="bottom"/>
            <w:tcBorders>
              <w:bottom w:val="single" w:sz="8" w:color="auto"/>
            </w:tcBorders>
          </w:tcPr>
          <w:p>
            <w:pPr>
              <w:spacing w:after="0"/>
              <w:rPr>
                <w:sz w:val="8"/>
                <w:szCs w:val="8"/>
                <w:color w:val="auto"/>
              </w:rPr>
            </w:pPr>
          </w:p>
        </w:tc>
        <w:tc>
          <w:tcPr>
            <w:tcW w:w="4620" w:type="dxa"/>
            <w:vAlign w:val="bottom"/>
            <w:gridSpan w:val="3"/>
            <w:vMerge w:val="restart"/>
          </w:tcPr>
          <w:p>
            <w:pPr>
              <w:ind w:left="440"/>
              <w:spacing w:after="0" w:line="158" w:lineRule="exact"/>
              <w:rPr>
                <w:sz w:val="20"/>
                <w:szCs w:val="20"/>
                <w:color w:val="auto"/>
              </w:rPr>
            </w:pPr>
            <w:r>
              <w:rPr>
                <w:rFonts w:ascii="Arial" w:cs="Arial" w:eastAsia="Arial" w:hAnsi="Arial"/>
                <w:sz w:val="18"/>
                <w:szCs w:val="18"/>
                <w:color w:val="auto"/>
              </w:rPr>
              <w:t>Administrative Officer, Corporate Secretary</w:t>
            </w:r>
          </w:p>
        </w:tc>
        <w:tc>
          <w:tcPr>
            <w:tcW w:w="184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7"/>
        </w:trPr>
        <w:tc>
          <w:tcPr>
            <w:tcW w:w="4240" w:type="dxa"/>
            <w:vAlign w:val="bottom"/>
            <w:gridSpan w:val="5"/>
            <w:vMerge w:val="restart"/>
          </w:tcPr>
          <w:p>
            <w:pPr>
              <w:jc w:val="center"/>
              <w:spacing w:after="0"/>
              <w:rPr>
                <w:sz w:val="20"/>
                <w:szCs w:val="20"/>
                <w:color w:val="auto"/>
              </w:rPr>
            </w:pPr>
            <w:r>
              <w:rPr>
                <w:rFonts w:ascii="Arial" w:cs="Arial" w:eastAsia="Arial" w:hAnsi="Arial"/>
                <w:sz w:val="14"/>
                <w:szCs w:val="14"/>
                <w:b w:val="1"/>
                <w:bCs w:val="1"/>
                <w:color w:val="auto"/>
                <w:w w:val="92"/>
              </w:rPr>
              <w:t>L. Benjamin Ederington</w:t>
            </w:r>
          </w:p>
        </w:tc>
        <w:tc>
          <w:tcPr>
            <w:tcW w:w="4620" w:type="dxa"/>
            <w:vAlign w:val="bottom"/>
            <w:gridSpan w:val="3"/>
            <w:vMerge w:val="continue"/>
          </w:tcPr>
          <w:p>
            <w:pPr>
              <w:spacing w:after="0"/>
              <w:rPr>
                <w:sz w:val="4"/>
                <w:szCs w:val="4"/>
                <w:color w:val="auto"/>
              </w:rPr>
            </w:pPr>
          </w:p>
        </w:tc>
        <w:tc>
          <w:tcPr>
            <w:tcW w:w="1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22"/>
        </w:trPr>
        <w:tc>
          <w:tcPr>
            <w:tcW w:w="4240" w:type="dxa"/>
            <w:vAlign w:val="bottom"/>
            <w:gridSpan w:val="5"/>
            <w:vMerge w:val="continue"/>
          </w:tcPr>
          <w:p>
            <w:pPr>
              <w:spacing w:after="0"/>
              <w:rPr>
                <w:sz w:val="19"/>
                <w:szCs w:val="19"/>
                <w:color w:val="auto"/>
              </w:rPr>
            </w:pPr>
          </w:p>
        </w:tc>
        <w:tc>
          <w:tcPr>
            <w:tcW w:w="4620" w:type="dxa"/>
            <w:vAlign w:val="bottom"/>
            <w:gridSpan w:val="3"/>
          </w:tcPr>
          <w:p>
            <w:pPr>
              <w:ind w:left="440"/>
              <w:spacing w:after="0"/>
              <w:rPr>
                <w:sz w:val="20"/>
                <w:szCs w:val="20"/>
                <w:color w:val="auto"/>
              </w:rPr>
            </w:pPr>
            <w:r>
              <w:rPr>
                <w:rFonts w:ascii="Arial" w:cs="Arial" w:eastAsia="Arial" w:hAnsi="Arial"/>
                <w:sz w:val="18"/>
                <w:szCs w:val="18"/>
                <w:color w:val="auto"/>
              </w:rPr>
              <w:t>and Director</w:t>
            </w: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6"/>
        </w:trPr>
        <w:tc>
          <w:tcPr>
            <w:tcW w:w="1660" w:type="dxa"/>
            <w:vAlign w:val="bottom"/>
            <w:gridSpan w:val="2"/>
          </w:tcPr>
          <w:p>
            <w:pPr>
              <w:ind w:left="1480"/>
              <w:spacing w:after="0"/>
              <w:rPr>
                <w:sz w:val="20"/>
                <w:szCs w:val="20"/>
                <w:color w:val="auto"/>
              </w:rPr>
            </w:pPr>
            <w:r>
              <w:rPr>
                <w:rFonts w:ascii="Arial" w:cs="Arial" w:eastAsia="Arial" w:hAnsi="Arial"/>
                <w:sz w:val="18"/>
                <w:szCs w:val="18"/>
                <w:color w:val="auto"/>
                <w:w w:val="82"/>
              </w:rPr>
              <w:t>/</w:t>
            </w:r>
            <w:r>
              <w:rPr>
                <w:rFonts w:ascii="Arial" w:cs="Arial" w:eastAsia="Arial" w:hAnsi="Arial"/>
                <w:sz w:val="14"/>
                <w:szCs w:val="14"/>
                <w:color w:val="auto"/>
                <w:w w:val="82"/>
              </w:rPr>
              <w:t>S</w:t>
            </w:r>
            <w:r>
              <w:rPr>
                <w:rFonts w:ascii="Arial" w:cs="Arial" w:eastAsia="Arial" w:hAnsi="Arial"/>
                <w:sz w:val="18"/>
                <w:szCs w:val="18"/>
                <w:color w:val="auto"/>
                <w:w w:val="82"/>
              </w:rPr>
              <w:t>/</w:t>
            </w:r>
          </w:p>
        </w:tc>
        <w:tc>
          <w:tcPr>
            <w:tcW w:w="180" w:type="dxa"/>
            <w:vAlign w:val="bottom"/>
          </w:tcPr>
          <w:p>
            <w:pPr>
              <w:spacing w:after="0"/>
              <w:rPr>
                <w:sz w:val="24"/>
                <w:szCs w:val="24"/>
                <w:color w:val="auto"/>
              </w:rPr>
            </w:pPr>
          </w:p>
        </w:tc>
        <w:tc>
          <w:tcPr>
            <w:tcW w:w="2400" w:type="dxa"/>
            <w:vAlign w:val="bottom"/>
            <w:gridSpan w:val="2"/>
          </w:tcPr>
          <w:p>
            <w:pPr>
              <w:jc w:val="center"/>
              <w:ind w:right="1480"/>
              <w:spacing w:after="0"/>
              <w:rPr>
                <w:sz w:val="20"/>
                <w:szCs w:val="20"/>
                <w:color w:val="auto"/>
              </w:rPr>
            </w:pPr>
            <w:r>
              <w:rPr>
                <w:rFonts w:ascii="Arial" w:cs="Arial" w:eastAsia="Arial" w:hAnsi="Arial"/>
                <w:sz w:val="18"/>
                <w:szCs w:val="18"/>
                <w:color w:val="auto"/>
                <w:w w:val="94"/>
              </w:rPr>
              <w:t>J</w:t>
            </w:r>
            <w:r>
              <w:rPr>
                <w:rFonts w:ascii="Arial" w:cs="Arial" w:eastAsia="Arial" w:hAnsi="Arial"/>
                <w:sz w:val="14"/>
                <w:szCs w:val="14"/>
                <w:color w:val="auto"/>
                <w:w w:val="94"/>
              </w:rPr>
              <w:t>AMES</w:t>
            </w:r>
            <w:r>
              <w:rPr>
                <w:rFonts w:ascii="Arial" w:cs="Arial" w:eastAsia="Arial" w:hAnsi="Arial"/>
                <w:sz w:val="18"/>
                <w:szCs w:val="18"/>
                <w:color w:val="auto"/>
                <w:w w:val="94"/>
              </w:rPr>
              <w:t xml:space="preserve"> C</w:t>
            </w:r>
            <w:r>
              <w:rPr>
                <w:rFonts w:ascii="Arial" w:cs="Arial" w:eastAsia="Arial" w:hAnsi="Arial"/>
                <w:sz w:val="14"/>
                <w:szCs w:val="14"/>
                <w:color w:val="auto"/>
                <w:w w:val="94"/>
              </w:rPr>
              <w:t>HAO</w:t>
            </w:r>
          </w:p>
        </w:tc>
        <w:tc>
          <w:tcPr>
            <w:tcW w:w="4620" w:type="dxa"/>
            <w:vAlign w:val="bottom"/>
            <w:gridSpan w:val="3"/>
            <w:vMerge w:val="restart"/>
          </w:tcPr>
          <w:p>
            <w:pPr>
              <w:ind w:left="300"/>
              <w:spacing w:after="0"/>
              <w:rPr>
                <w:sz w:val="20"/>
                <w:szCs w:val="20"/>
                <w:color w:val="auto"/>
              </w:rPr>
            </w:pPr>
            <w:r>
              <w:rPr>
                <w:rFonts w:ascii="Arial" w:cs="Arial" w:eastAsia="Arial" w:hAnsi="Arial"/>
                <w:sz w:val="18"/>
                <w:szCs w:val="18"/>
                <w:color w:val="auto"/>
              </w:rPr>
              <w:t>Chairman of the Board of Directors</w:t>
            </w:r>
          </w:p>
        </w:tc>
        <w:tc>
          <w:tcPr>
            <w:tcW w:w="1840" w:type="dxa"/>
            <w:vAlign w:val="bottom"/>
            <w:gridSpan w:val="3"/>
            <w:vMerge w:val="restart"/>
          </w:tcPr>
          <w:p>
            <w:pPr>
              <w:jc w:val="center"/>
              <w:ind w:left="712"/>
              <w:spacing w:after="0"/>
              <w:rPr>
                <w:sz w:val="20"/>
                <w:szCs w:val="20"/>
                <w:color w:val="auto"/>
              </w:rPr>
            </w:pPr>
            <w:r>
              <w:rPr>
                <w:rFonts w:ascii="Arial" w:cs="Arial" w:eastAsia="Arial" w:hAnsi="Arial"/>
                <w:sz w:val="18"/>
                <w:szCs w:val="18"/>
                <w:color w:val="auto"/>
                <w:w w:val="90"/>
              </w:rPr>
              <w:t>March 1, 2023</w:t>
            </w:r>
          </w:p>
        </w:tc>
        <w:tc>
          <w:tcPr>
            <w:tcW w:w="0" w:type="dxa"/>
            <w:vAlign w:val="bottom"/>
          </w:tcPr>
          <w:p>
            <w:pPr>
              <w:spacing w:after="0"/>
              <w:rPr>
                <w:sz w:val="1"/>
                <w:szCs w:val="1"/>
                <w:color w:val="auto"/>
              </w:rPr>
            </w:pPr>
          </w:p>
        </w:tc>
      </w:tr>
      <w:tr>
        <w:trPr>
          <w:trHeight w:val="27"/>
        </w:trPr>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620" w:type="dxa"/>
            <w:vAlign w:val="bottom"/>
            <w:gridSpan w:val="3"/>
            <w:vMerge w:val="continue"/>
          </w:tcPr>
          <w:p>
            <w:pPr>
              <w:spacing w:after="0"/>
              <w:rPr>
                <w:sz w:val="2"/>
                <w:szCs w:val="2"/>
                <w:color w:val="auto"/>
              </w:rPr>
            </w:pPr>
          </w:p>
        </w:tc>
        <w:tc>
          <w:tcPr>
            <w:tcW w:w="184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5"/>
        </w:trPr>
        <w:tc>
          <w:tcPr>
            <w:tcW w:w="1580" w:type="dxa"/>
            <w:vAlign w:val="bottom"/>
          </w:tcPr>
          <w:p>
            <w:pPr>
              <w:spacing w:after="0"/>
              <w:rPr>
                <w:sz w:val="7"/>
                <w:szCs w:val="7"/>
                <w:color w:val="auto"/>
              </w:rPr>
            </w:pPr>
          </w:p>
        </w:tc>
        <w:tc>
          <w:tcPr>
            <w:tcW w:w="80" w:type="dxa"/>
            <w:vAlign w:val="bottom"/>
          </w:tcPr>
          <w:p>
            <w:pPr>
              <w:spacing w:after="0"/>
              <w:rPr>
                <w:sz w:val="7"/>
                <w:szCs w:val="7"/>
                <w:color w:val="auto"/>
              </w:rPr>
            </w:pPr>
          </w:p>
        </w:tc>
        <w:tc>
          <w:tcPr>
            <w:tcW w:w="2580" w:type="dxa"/>
            <w:vAlign w:val="bottom"/>
            <w:gridSpan w:val="3"/>
            <w:vMerge w:val="restart"/>
          </w:tcPr>
          <w:p>
            <w:pPr>
              <w:jc w:val="center"/>
              <w:ind w:right="1660"/>
              <w:spacing w:after="0"/>
              <w:rPr>
                <w:sz w:val="20"/>
                <w:szCs w:val="20"/>
                <w:color w:val="auto"/>
              </w:rPr>
            </w:pPr>
            <w:r>
              <w:rPr>
                <w:rFonts w:ascii="Arial" w:cs="Arial" w:eastAsia="Arial" w:hAnsi="Arial"/>
                <w:sz w:val="14"/>
                <w:szCs w:val="14"/>
                <w:b w:val="1"/>
                <w:bCs w:val="1"/>
                <w:color w:val="auto"/>
                <w:w w:val="87"/>
              </w:rPr>
              <w:t>James Chao</w:t>
            </w:r>
          </w:p>
        </w:tc>
        <w:tc>
          <w:tcPr>
            <w:tcW w:w="4620" w:type="dxa"/>
            <w:vAlign w:val="bottom"/>
            <w:gridSpan w:val="3"/>
            <w:vMerge w:val="continue"/>
          </w:tcPr>
          <w:p>
            <w:pPr>
              <w:spacing w:after="0"/>
              <w:rPr>
                <w:sz w:val="7"/>
                <w:szCs w:val="7"/>
                <w:color w:val="auto"/>
              </w:rPr>
            </w:pPr>
          </w:p>
        </w:tc>
        <w:tc>
          <w:tcPr>
            <w:tcW w:w="18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2580" w:type="dxa"/>
            <w:vAlign w:val="bottom"/>
            <w:gridSpan w:val="3"/>
            <w:vMerge w:val="continue"/>
          </w:tcPr>
          <w:p>
            <w:pPr>
              <w:spacing w:after="0"/>
              <w:rPr>
                <w:sz w:val="8"/>
                <w:szCs w:val="8"/>
                <w:color w:val="auto"/>
              </w:rPr>
            </w:pPr>
          </w:p>
        </w:tc>
        <w:tc>
          <w:tcPr>
            <w:tcW w:w="2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6"/>
        </w:trPr>
        <w:tc>
          <w:tcPr>
            <w:tcW w:w="1580" w:type="dxa"/>
            <w:vAlign w:val="bottom"/>
          </w:tcPr>
          <w:p>
            <w:pPr>
              <w:ind w:left="124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w:t>
            </w:r>
          </w:p>
        </w:tc>
        <w:tc>
          <w:tcPr>
            <w:tcW w:w="2660" w:type="dxa"/>
            <w:vAlign w:val="bottom"/>
            <w:gridSpan w:val="4"/>
          </w:tcPr>
          <w:p>
            <w:pPr>
              <w:jc w:val="center"/>
              <w:ind w:right="1220"/>
              <w:spacing w:after="0"/>
              <w:rPr>
                <w:sz w:val="20"/>
                <w:szCs w:val="20"/>
                <w:color w:val="auto"/>
              </w:rPr>
            </w:pPr>
            <w:r>
              <w:rPr>
                <w:rFonts w:ascii="Arial" w:cs="Arial" w:eastAsia="Arial" w:hAnsi="Arial"/>
                <w:sz w:val="18"/>
                <w:szCs w:val="18"/>
                <w:color w:val="auto"/>
                <w:w w:val="93"/>
              </w:rPr>
              <w:t>G. S</w:t>
            </w:r>
            <w:r>
              <w:rPr>
                <w:rFonts w:ascii="Arial" w:cs="Arial" w:eastAsia="Arial" w:hAnsi="Arial"/>
                <w:sz w:val="14"/>
                <w:szCs w:val="14"/>
                <w:color w:val="auto"/>
                <w:w w:val="93"/>
              </w:rPr>
              <w:t>TEPHEN</w:t>
            </w:r>
            <w:r>
              <w:rPr>
                <w:rFonts w:ascii="Arial" w:cs="Arial" w:eastAsia="Arial" w:hAnsi="Arial"/>
                <w:sz w:val="18"/>
                <w:szCs w:val="18"/>
                <w:color w:val="auto"/>
                <w:w w:val="93"/>
              </w:rPr>
              <w:t xml:space="preserve"> F</w:t>
            </w:r>
            <w:r>
              <w:rPr>
                <w:rFonts w:ascii="Arial" w:cs="Arial" w:eastAsia="Arial" w:hAnsi="Arial"/>
                <w:sz w:val="14"/>
                <w:szCs w:val="14"/>
                <w:color w:val="auto"/>
                <w:w w:val="93"/>
              </w:rPr>
              <w:t>INLEY</w:t>
            </w:r>
          </w:p>
        </w:tc>
        <w:tc>
          <w:tcPr>
            <w:tcW w:w="4620" w:type="dxa"/>
            <w:vAlign w:val="bottom"/>
            <w:gridSpan w:val="3"/>
            <w:vMerge w:val="restart"/>
          </w:tcPr>
          <w:p>
            <w:pPr>
              <w:ind w:left="300"/>
              <w:spacing w:after="0"/>
              <w:rPr>
                <w:sz w:val="20"/>
                <w:szCs w:val="20"/>
                <w:color w:val="auto"/>
              </w:rPr>
            </w:pPr>
            <w:r>
              <w:rPr>
                <w:rFonts w:ascii="Arial" w:cs="Arial" w:eastAsia="Arial" w:hAnsi="Arial"/>
                <w:sz w:val="18"/>
                <w:szCs w:val="18"/>
                <w:color w:val="auto"/>
              </w:rPr>
              <w:t>Director</w:t>
            </w:r>
          </w:p>
        </w:tc>
        <w:tc>
          <w:tcPr>
            <w:tcW w:w="1840" w:type="dxa"/>
            <w:vAlign w:val="bottom"/>
            <w:gridSpan w:val="3"/>
            <w:vMerge w:val="restart"/>
          </w:tcPr>
          <w:p>
            <w:pPr>
              <w:jc w:val="center"/>
              <w:ind w:left="712"/>
              <w:spacing w:after="0"/>
              <w:rPr>
                <w:sz w:val="20"/>
                <w:szCs w:val="20"/>
                <w:color w:val="auto"/>
              </w:rPr>
            </w:pPr>
            <w:r>
              <w:rPr>
                <w:rFonts w:ascii="Arial" w:cs="Arial" w:eastAsia="Arial" w:hAnsi="Arial"/>
                <w:sz w:val="18"/>
                <w:szCs w:val="18"/>
                <w:color w:val="auto"/>
                <w:w w:val="90"/>
              </w:rPr>
              <w:t>March 1, 2023</w:t>
            </w:r>
          </w:p>
        </w:tc>
        <w:tc>
          <w:tcPr>
            <w:tcW w:w="0" w:type="dxa"/>
            <w:vAlign w:val="bottom"/>
          </w:tcPr>
          <w:p>
            <w:pPr>
              <w:spacing w:after="0"/>
              <w:rPr>
                <w:sz w:val="1"/>
                <w:szCs w:val="1"/>
                <w:color w:val="auto"/>
              </w:rPr>
            </w:pPr>
          </w:p>
        </w:tc>
      </w:tr>
      <w:tr>
        <w:trPr>
          <w:trHeight w:val="27"/>
        </w:trPr>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620" w:type="dxa"/>
            <w:vAlign w:val="bottom"/>
            <w:gridSpan w:val="3"/>
            <w:vMerge w:val="continue"/>
          </w:tcPr>
          <w:p>
            <w:pPr>
              <w:spacing w:after="0"/>
              <w:rPr>
                <w:sz w:val="2"/>
                <w:szCs w:val="2"/>
                <w:color w:val="auto"/>
              </w:rPr>
            </w:pPr>
          </w:p>
        </w:tc>
        <w:tc>
          <w:tcPr>
            <w:tcW w:w="184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5"/>
        </w:trPr>
        <w:tc>
          <w:tcPr>
            <w:tcW w:w="1580" w:type="dxa"/>
            <w:vAlign w:val="bottom"/>
          </w:tcPr>
          <w:p>
            <w:pPr>
              <w:spacing w:after="0"/>
              <w:rPr>
                <w:sz w:val="7"/>
                <w:szCs w:val="7"/>
                <w:color w:val="auto"/>
              </w:rPr>
            </w:pPr>
          </w:p>
        </w:tc>
        <w:tc>
          <w:tcPr>
            <w:tcW w:w="2660" w:type="dxa"/>
            <w:vAlign w:val="bottom"/>
            <w:gridSpan w:val="4"/>
            <w:vMerge w:val="restart"/>
          </w:tcPr>
          <w:p>
            <w:pPr>
              <w:jc w:val="center"/>
              <w:ind w:right="1580"/>
              <w:spacing w:after="0"/>
              <w:rPr>
                <w:sz w:val="20"/>
                <w:szCs w:val="20"/>
                <w:color w:val="auto"/>
              </w:rPr>
            </w:pPr>
            <w:r>
              <w:rPr>
                <w:rFonts w:ascii="Arial" w:cs="Arial" w:eastAsia="Arial" w:hAnsi="Arial"/>
                <w:sz w:val="14"/>
                <w:szCs w:val="14"/>
                <w:b w:val="1"/>
                <w:bCs w:val="1"/>
                <w:color w:val="auto"/>
                <w:w w:val="91"/>
              </w:rPr>
              <w:t>G. Stephen Finley</w:t>
            </w:r>
          </w:p>
        </w:tc>
        <w:tc>
          <w:tcPr>
            <w:tcW w:w="4620" w:type="dxa"/>
            <w:vAlign w:val="bottom"/>
            <w:gridSpan w:val="3"/>
            <w:vMerge w:val="continue"/>
          </w:tcPr>
          <w:p>
            <w:pPr>
              <w:spacing w:after="0"/>
              <w:rPr>
                <w:sz w:val="7"/>
                <w:szCs w:val="7"/>
                <w:color w:val="auto"/>
              </w:rPr>
            </w:pPr>
          </w:p>
        </w:tc>
        <w:tc>
          <w:tcPr>
            <w:tcW w:w="18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580" w:type="dxa"/>
            <w:vAlign w:val="bottom"/>
          </w:tcPr>
          <w:p>
            <w:pPr>
              <w:spacing w:after="0"/>
              <w:rPr>
                <w:sz w:val="8"/>
                <w:szCs w:val="8"/>
                <w:color w:val="auto"/>
              </w:rPr>
            </w:pPr>
          </w:p>
        </w:tc>
        <w:tc>
          <w:tcPr>
            <w:tcW w:w="2660" w:type="dxa"/>
            <w:vAlign w:val="bottom"/>
            <w:gridSpan w:val="4"/>
            <w:vMerge w:val="continue"/>
          </w:tcPr>
          <w:p>
            <w:pPr>
              <w:spacing w:after="0"/>
              <w:rPr>
                <w:sz w:val="8"/>
                <w:szCs w:val="8"/>
                <w:color w:val="auto"/>
              </w:rPr>
            </w:pPr>
          </w:p>
        </w:tc>
        <w:tc>
          <w:tcPr>
            <w:tcW w:w="2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6"/>
        </w:trPr>
        <w:tc>
          <w:tcPr>
            <w:tcW w:w="1580" w:type="dxa"/>
            <w:vAlign w:val="bottom"/>
          </w:tcPr>
          <w:p>
            <w:pPr>
              <w:ind w:left="1380"/>
              <w:spacing w:after="0"/>
              <w:rPr>
                <w:sz w:val="20"/>
                <w:szCs w:val="20"/>
                <w:color w:val="auto"/>
              </w:rPr>
            </w:pPr>
            <w:r>
              <w:rPr>
                <w:rFonts w:ascii="Arial" w:cs="Arial" w:eastAsia="Arial" w:hAnsi="Arial"/>
                <w:sz w:val="18"/>
                <w:szCs w:val="18"/>
                <w:color w:val="auto"/>
                <w:w w:val="92"/>
              </w:rPr>
              <w:t>/</w:t>
            </w:r>
            <w:r>
              <w:rPr>
                <w:rFonts w:ascii="Arial" w:cs="Arial" w:eastAsia="Arial" w:hAnsi="Arial"/>
                <w:sz w:val="14"/>
                <w:szCs w:val="14"/>
                <w:color w:val="auto"/>
                <w:w w:val="92"/>
              </w:rPr>
              <w:t>S</w:t>
            </w:r>
            <w:r>
              <w:rPr>
                <w:rFonts w:ascii="Arial" w:cs="Arial" w:eastAsia="Arial" w:hAnsi="Arial"/>
                <w:sz w:val="18"/>
                <w:szCs w:val="18"/>
                <w:color w:val="auto"/>
                <w:w w:val="92"/>
              </w:rPr>
              <w:t>/</w:t>
            </w:r>
          </w:p>
        </w:tc>
        <w:tc>
          <w:tcPr>
            <w:tcW w:w="80" w:type="dxa"/>
            <w:vAlign w:val="bottom"/>
          </w:tcPr>
          <w:p>
            <w:pPr>
              <w:spacing w:after="0"/>
              <w:rPr>
                <w:sz w:val="24"/>
                <w:szCs w:val="24"/>
                <w:color w:val="auto"/>
              </w:rPr>
            </w:pPr>
          </w:p>
        </w:tc>
        <w:tc>
          <w:tcPr>
            <w:tcW w:w="2580" w:type="dxa"/>
            <w:vAlign w:val="bottom"/>
            <w:gridSpan w:val="3"/>
          </w:tcPr>
          <w:p>
            <w:pPr>
              <w:jc w:val="center"/>
              <w:ind w:right="1300"/>
              <w:spacing w:after="0"/>
              <w:rPr>
                <w:sz w:val="20"/>
                <w:szCs w:val="20"/>
                <w:color w:val="auto"/>
              </w:rPr>
            </w:pPr>
            <w:r>
              <w:rPr>
                <w:rFonts w:ascii="Arial" w:cs="Arial" w:eastAsia="Arial" w:hAnsi="Arial"/>
                <w:sz w:val="18"/>
                <w:szCs w:val="18"/>
                <w:color w:val="auto"/>
                <w:w w:val="99"/>
              </w:rPr>
              <w:t>A</w:t>
            </w:r>
            <w:r>
              <w:rPr>
                <w:rFonts w:ascii="Arial" w:cs="Arial" w:eastAsia="Arial" w:hAnsi="Arial"/>
                <w:sz w:val="14"/>
                <w:szCs w:val="14"/>
                <w:color w:val="auto"/>
                <w:w w:val="99"/>
              </w:rPr>
              <w:t>NGELA</w:t>
            </w:r>
            <w:r>
              <w:rPr>
                <w:rFonts w:ascii="Arial" w:cs="Arial" w:eastAsia="Arial" w:hAnsi="Arial"/>
                <w:sz w:val="18"/>
                <w:szCs w:val="18"/>
                <w:color w:val="auto"/>
                <w:w w:val="99"/>
              </w:rPr>
              <w:t xml:space="preserve"> M</w:t>
            </w:r>
            <w:r>
              <w:rPr>
                <w:rFonts w:ascii="Arial" w:cs="Arial" w:eastAsia="Arial" w:hAnsi="Arial"/>
                <w:sz w:val="14"/>
                <w:szCs w:val="14"/>
                <w:color w:val="auto"/>
                <w:w w:val="99"/>
              </w:rPr>
              <w:t>INAS</w:t>
            </w:r>
          </w:p>
        </w:tc>
        <w:tc>
          <w:tcPr>
            <w:tcW w:w="4620" w:type="dxa"/>
            <w:vAlign w:val="bottom"/>
            <w:gridSpan w:val="3"/>
            <w:vMerge w:val="restart"/>
          </w:tcPr>
          <w:p>
            <w:pPr>
              <w:ind w:left="300"/>
              <w:spacing w:after="0"/>
              <w:rPr>
                <w:sz w:val="20"/>
                <w:szCs w:val="20"/>
                <w:color w:val="auto"/>
              </w:rPr>
            </w:pPr>
            <w:r>
              <w:rPr>
                <w:rFonts w:ascii="Arial" w:cs="Arial" w:eastAsia="Arial" w:hAnsi="Arial"/>
                <w:sz w:val="18"/>
                <w:szCs w:val="18"/>
                <w:color w:val="auto"/>
              </w:rPr>
              <w:t>Director</w:t>
            </w:r>
          </w:p>
        </w:tc>
        <w:tc>
          <w:tcPr>
            <w:tcW w:w="1840" w:type="dxa"/>
            <w:vAlign w:val="bottom"/>
            <w:gridSpan w:val="3"/>
            <w:vMerge w:val="restart"/>
          </w:tcPr>
          <w:p>
            <w:pPr>
              <w:jc w:val="center"/>
              <w:ind w:left="712"/>
              <w:spacing w:after="0"/>
              <w:rPr>
                <w:sz w:val="20"/>
                <w:szCs w:val="20"/>
                <w:color w:val="auto"/>
              </w:rPr>
            </w:pPr>
            <w:r>
              <w:rPr>
                <w:rFonts w:ascii="Arial" w:cs="Arial" w:eastAsia="Arial" w:hAnsi="Arial"/>
                <w:sz w:val="18"/>
                <w:szCs w:val="18"/>
                <w:color w:val="auto"/>
                <w:w w:val="90"/>
              </w:rPr>
              <w:t>March 1, 2023</w:t>
            </w:r>
          </w:p>
        </w:tc>
        <w:tc>
          <w:tcPr>
            <w:tcW w:w="0" w:type="dxa"/>
            <w:vAlign w:val="bottom"/>
          </w:tcPr>
          <w:p>
            <w:pPr>
              <w:spacing w:after="0"/>
              <w:rPr>
                <w:sz w:val="1"/>
                <w:szCs w:val="1"/>
                <w:color w:val="auto"/>
              </w:rPr>
            </w:pPr>
          </w:p>
        </w:tc>
      </w:tr>
      <w:tr>
        <w:trPr>
          <w:trHeight w:val="27"/>
        </w:trPr>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620" w:type="dxa"/>
            <w:vAlign w:val="bottom"/>
            <w:gridSpan w:val="3"/>
            <w:vMerge w:val="continue"/>
          </w:tcPr>
          <w:p>
            <w:pPr>
              <w:spacing w:after="0"/>
              <w:rPr>
                <w:sz w:val="2"/>
                <w:szCs w:val="2"/>
                <w:color w:val="auto"/>
              </w:rPr>
            </w:pPr>
          </w:p>
        </w:tc>
        <w:tc>
          <w:tcPr>
            <w:tcW w:w="184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85"/>
        </w:trPr>
        <w:tc>
          <w:tcPr>
            <w:tcW w:w="1580" w:type="dxa"/>
            <w:vAlign w:val="bottom"/>
          </w:tcPr>
          <w:p>
            <w:pPr>
              <w:spacing w:after="0"/>
              <w:rPr>
                <w:sz w:val="7"/>
                <w:szCs w:val="7"/>
                <w:color w:val="auto"/>
              </w:rPr>
            </w:pPr>
          </w:p>
        </w:tc>
        <w:tc>
          <w:tcPr>
            <w:tcW w:w="80" w:type="dxa"/>
            <w:vAlign w:val="bottom"/>
          </w:tcPr>
          <w:p>
            <w:pPr>
              <w:spacing w:after="0"/>
              <w:rPr>
                <w:sz w:val="7"/>
                <w:szCs w:val="7"/>
                <w:color w:val="auto"/>
              </w:rPr>
            </w:pPr>
          </w:p>
        </w:tc>
        <w:tc>
          <w:tcPr>
            <w:tcW w:w="2580" w:type="dxa"/>
            <w:vAlign w:val="bottom"/>
            <w:gridSpan w:val="3"/>
            <w:vMerge w:val="restart"/>
          </w:tcPr>
          <w:p>
            <w:pPr>
              <w:jc w:val="center"/>
              <w:ind w:right="1660"/>
              <w:spacing w:after="0"/>
              <w:rPr>
                <w:sz w:val="20"/>
                <w:szCs w:val="20"/>
                <w:color w:val="auto"/>
              </w:rPr>
            </w:pPr>
            <w:r>
              <w:rPr>
                <w:rFonts w:ascii="Arial" w:cs="Arial" w:eastAsia="Arial" w:hAnsi="Arial"/>
                <w:sz w:val="14"/>
                <w:szCs w:val="14"/>
                <w:b w:val="1"/>
                <w:bCs w:val="1"/>
                <w:color w:val="auto"/>
                <w:w w:val="93"/>
              </w:rPr>
              <w:t>Angela Minas</w:t>
            </w:r>
          </w:p>
        </w:tc>
        <w:tc>
          <w:tcPr>
            <w:tcW w:w="4620" w:type="dxa"/>
            <w:vAlign w:val="bottom"/>
            <w:gridSpan w:val="3"/>
            <w:vMerge w:val="continue"/>
          </w:tcPr>
          <w:p>
            <w:pPr>
              <w:spacing w:after="0"/>
              <w:rPr>
                <w:sz w:val="7"/>
                <w:szCs w:val="7"/>
                <w:color w:val="auto"/>
              </w:rPr>
            </w:pPr>
          </w:p>
        </w:tc>
        <w:tc>
          <w:tcPr>
            <w:tcW w:w="184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5"/>
        </w:trPr>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2580" w:type="dxa"/>
            <w:vAlign w:val="bottom"/>
            <w:gridSpan w:val="3"/>
            <w:vMerge w:val="continue"/>
          </w:tcPr>
          <w:p>
            <w:pPr>
              <w:spacing w:after="0"/>
              <w:rPr>
                <w:sz w:val="8"/>
                <w:szCs w:val="8"/>
                <w:color w:val="auto"/>
              </w:rPr>
            </w:pPr>
          </w:p>
        </w:tc>
        <w:tc>
          <w:tcPr>
            <w:tcW w:w="2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26"/>
        </w:trPr>
        <w:tc>
          <w:tcPr>
            <w:tcW w:w="1580" w:type="dxa"/>
            <w:vAlign w:val="bottom"/>
          </w:tcPr>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4"/>
                <w:szCs w:val="14"/>
                <w:color w:val="auto"/>
              </w:rPr>
              <w:t>S/</w:t>
            </w:r>
          </w:p>
        </w:tc>
        <w:tc>
          <w:tcPr>
            <w:tcW w:w="80" w:type="dxa"/>
            <w:vAlign w:val="bottom"/>
          </w:tcPr>
          <w:p>
            <w:pPr>
              <w:spacing w:after="0"/>
              <w:rPr>
                <w:sz w:val="24"/>
                <w:szCs w:val="24"/>
                <w:color w:val="auto"/>
              </w:rPr>
            </w:pPr>
          </w:p>
        </w:tc>
        <w:tc>
          <w:tcPr>
            <w:tcW w:w="2580" w:type="dxa"/>
            <w:vAlign w:val="bottom"/>
            <w:gridSpan w:val="3"/>
          </w:tcPr>
          <w:p>
            <w:pPr>
              <w:jc w:val="center"/>
              <w:ind w:right="1320"/>
              <w:spacing w:after="0"/>
              <w:rPr>
                <w:sz w:val="20"/>
                <w:szCs w:val="20"/>
                <w:color w:val="auto"/>
              </w:rPr>
            </w:pPr>
            <w:r>
              <w:rPr>
                <w:rFonts w:ascii="Arial" w:cs="Arial" w:eastAsia="Arial" w:hAnsi="Arial"/>
                <w:sz w:val="18"/>
                <w:szCs w:val="18"/>
                <w:color w:val="auto"/>
                <w:w w:val="98"/>
              </w:rPr>
              <w:t>R</w:t>
            </w:r>
            <w:r>
              <w:rPr>
                <w:rFonts w:ascii="Arial" w:cs="Arial" w:eastAsia="Arial" w:hAnsi="Arial"/>
                <w:sz w:val="14"/>
                <w:szCs w:val="14"/>
                <w:color w:val="auto"/>
                <w:w w:val="98"/>
              </w:rPr>
              <w:t>ANDY</w:t>
            </w:r>
            <w:r>
              <w:rPr>
                <w:rFonts w:ascii="Arial" w:cs="Arial" w:eastAsia="Arial" w:hAnsi="Arial"/>
                <w:sz w:val="18"/>
                <w:szCs w:val="18"/>
                <w:color w:val="auto"/>
                <w:w w:val="98"/>
              </w:rPr>
              <w:t xml:space="preserve"> W</w:t>
            </w:r>
            <w:r>
              <w:rPr>
                <w:rFonts w:ascii="Arial" w:cs="Arial" w:eastAsia="Arial" w:hAnsi="Arial"/>
                <w:sz w:val="14"/>
                <w:szCs w:val="14"/>
                <w:color w:val="auto"/>
                <w:w w:val="98"/>
              </w:rPr>
              <w:t>OELFEL</w:t>
            </w:r>
          </w:p>
        </w:tc>
        <w:tc>
          <w:tcPr>
            <w:tcW w:w="4620" w:type="dxa"/>
            <w:vAlign w:val="bottom"/>
            <w:gridSpan w:val="3"/>
            <w:vMerge w:val="restart"/>
          </w:tcPr>
          <w:p>
            <w:pPr>
              <w:ind w:left="300"/>
              <w:spacing w:after="0"/>
              <w:rPr>
                <w:sz w:val="20"/>
                <w:szCs w:val="20"/>
                <w:color w:val="auto"/>
              </w:rPr>
            </w:pPr>
            <w:r>
              <w:rPr>
                <w:rFonts w:ascii="Arial" w:cs="Arial" w:eastAsia="Arial" w:hAnsi="Arial"/>
                <w:sz w:val="18"/>
                <w:szCs w:val="18"/>
                <w:color w:val="auto"/>
              </w:rPr>
              <w:t>Director</w:t>
            </w:r>
          </w:p>
        </w:tc>
        <w:tc>
          <w:tcPr>
            <w:tcW w:w="1840" w:type="dxa"/>
            <w:vAlign w:val="bottom"/>
            <w:gridSpan w:val="3"/>
            <w:vMerge w:val="restart"/>
          </w:tcPr>
          <w:p>
            <w:pPr>
              <w:jc w:val="center"/>
              <w:ind w:left="712"/>
              <w:spacing w:after="0"/>
              <w:rPr>
                <w:sz w:val="20"/>
                <w:szCs w:val="20"/>
                <w:color w:val="auto"/>
              </w:rPr>
            </w:pPr>
            <w:r>
              <w:rPr>
                <w:rFonts w:ascii="Arial" w:cs="Arial" w:eastAsia="Arial" w:hAnsi="Arial"/>
                <w:sz w:val="18"/>
                <w:szCs w:val="18"/>
                <w:color w:val="auto"/>
                <w:w w:val="90"/>
              </w:rPr>
              <w:t>March 1, 2023</w:t>
            </w:r>
          </w:p>
        </w:tc>
        <w:tc>
          <w:tcPr>
            <w:tcW w:w="0" w:type="dxa"/>
            <w:vAlign w:val="bottom"/>
          </w:tcPr>
          <w:p>
            <w:pPr>
              <w:spacing w:after="0"/>
              <w:rPr>
                <w:sz w:val="1"/>
                <w:szCs w:val="1"/>
                <w:color w:val="auto"/>
              </w:rPr>
            </w:pPr>
          </w:p>
        </w:tc>
      </w:tr>
      <w:tr>
        <w:trPr>
          <w:trHeight w:val="27"/>
        </w:trPr>
        <w:tc>
          <w:tcPr>
            <w:tcW w:w="1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4620" w:type="dxa"/>
            <w:vAlign w:val="bottom"/>
            <w:gridSpan w:val="3"/>
            <w:vMerge w:val="continue"/>
          </w:tcPr>
          <w:p>
            <w:pPr>
              <w:spacing w:after="0"/>
              <w:rPr>
                <w:sz w:val="2"/>
                <w:szCs w:val="2"/>
                <w:color w:val="auto"/>
              </w:rPr>
            </w:pPr>
          </w:p>
        </w:tc>
        <w:tc>
          <w:tcPr>
            <w:tcW w:w="1840" w:type="dxa"/>
            <w:vAlign w:val="bottom"/>
            <w:gridSpan w:val="3"/>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50"/>
        </w:trPr>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580" w:type="dxa"/>
            <w:vAlign w:val="bottom"/>
            <w:gridSpan w:val="3"/>
            <w:vMerge w:val="restart"/>
          </w:tcPr>
          <w:p>
            <w:pPr>
              <w:jc w:val="center"/>
              <w:ind w:right="1660"/>
              <w:spacing w:after="0"/>
              <w:rPr>
                <w:sz w:val="20"/>
                <w:szCs w:val="20"/>
                <w:color w:val="auto"/>
              </w:rPr>
            </w:pPr>
            <w:r>
              <w:rPr>
                <w:rFonts w:ascii="Arial" w:cs="Arial" w:eastAsia="Arial" w:hAnsi="Arial"/>
                <w:sz w:val="14"/>
                <w:szCs w:val="14"/>
                <w:b w:val="1"/>
                <w:bCs w:val="1"/>
                <w:color w:val="auto"/>
                <w:w w:val="91"/>
              </w:rPr>
              <w:t>Randy Woelfel</w:t>
            </w:r>
          </w:p>
        </w:tc>
        <w:tc>
          <w:tcPr>
            <w:tcW w:w="4620" w:type="dxa"/>
            <w:vAlign w:val="bottom"/>
            <w:gridSpan w:val="3"/>
            <w:vMerge w:val="continue"/>
          </w:tcPr>
          <w:p>
            <w:pPr>
              <w:spacing w:after="0"/>
              <w:rPr>
                <w:sz w:val="13"/>
                <w:szCs w:val="13"/>
                <w:color w:val="auto"/>
              </w:rPr>
            </w:pPr>
          </w:p>
        </w:tc>
        <w:tc>
          <w:tcPr>
            <w:tcW w:w="18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95"/>
        </w:trPr>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2580" w:type="dxa"/>
            <w:vAlign w:val="bottom"/>
            <w:gridSpan w:val="3"/>
            <w:vMerge w:val="continue"/>
          </w:tcPr>
          <w:p>
            <w:pPr>
              <w:spacing w:after="0"/>
              <w:rPr>
                <w:sz w:val="8"/>
                <w:szCs w:val="8"/>
                <w:color w:val="auto"/>
              </w:rPr>
            </w:pPr>
          </w:p>
        </w:tc>
        <w:tc>
          <w:tcPr>
            <w:tcW w:w="2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3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121" w:right="339" w:bottom="1440"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21.1</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840" w:type="dxa"/>
            <w:vAlign w:val="bottom"/>
          </w:tcPr>
          <w:p>
            <w:pPr>
              <w:spacing w:after="0"/>
              <w:rPr>
                <w:sz w:val="19"/>
                <w:szCs w:val="19"/>
                <w:color w:val="auto"/>
              </w:rPr>
            </w:pPr>
          </w:p>
        </w:tc>
        <w:tc>
          <w:tcPr>
            <w:tcW w:w="8360" w:type="dxa"/>
            <w:vAlign w:val="bottom"/>
            <w:gridSpan w:val="3"/>
          </w:tcPr>
          <w:p>
            <w:pPr>
              <w:ind w:left="360"/>
              <w:spacing w:after="0"/>
              <w:rPr>
                <w:sz w:val="20"/>
                <w:szCs w:val="20"/>
                <w:color w:val="auto"/>
              </w:rPr>
            </w:pPr>
            <w:r>
              <w:rPr>
                <w:rFonts w:ascii="Arial" w:cs="Arial" w:eastAsia="Arial" w:hAnsi="Arial"/>
                <w:sz w:val="18"/>
                <w:szCs w:val="18"/>
                <w:b w:val="1"/>
                <w:bCs w:val="1"/>
                <w:color w:val="auto"/>
              </w:rPr>
              <w:t>SUBSIDIARIES OF WESTLAKE CHEMICAL PARTNERS LP</w:t>
            </w:r>
          </w:p>
        </w:tc>
      </w:tr>
      <w:tr>
        <w:trPr>
          <w:trHeight w:val="671"/>
        </w:trPr>
        <w:tc>
          <w:tcPr>
            <w:tcW w:w="2840" w:type="dxa"/>
            <w:vAlign w:val="bottom"/>
            <w:tcBorders>
              <w:bottom w:val="single" w:sz="8" w:color="auto"/>
            </w:tcBorders>
          </w:tcPr>
          <w:p>
            <w:pPr>
              <w:ind w:left="160"/>
              <w:spacing w:after="0"/>
              <w:rPr>
                <w:sz w:val="20"/>
                <w:szCs w:val="20"/>
                <w:color w:val="auto"/>
              </w:rPr>
            </w:pPr>
            <w:r>
              <w:rPr>
                <w:rFonts w:ascii="Arial" w:cs="Arial" w:eastAsia="Arial" w:hAnsi="Arial"/>
                <w:sz w:val="18"/>
                <w:szCs w:val="18"/>
                <w:b w:val="1"/>
                <w:bCs w:val="1"/>
                <w:color w:val="auto"/>
              </w:rPr>
              <w:t>Name of Subsidiary</w:t>
            </w:r>
          </w:p>
        </w:tc>
        <w:tc>
          <w:tcPr>
            <w:tcW w:w="60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Jurisdiction</w:t>
            </w:r>
          </w:p>
        </w:tc>
      </w:tr>
      <w:tr>
        <w:trPr>
          <w:trHeight w:val="256"/>
        </w:trPr>
        <w:tc>
          <w:tcPr>
            <w:tcW w:w="2840" w:type="dxa"/>
            <w:vAlign w:val="bottom"/>
          </w:tcPr>
          <w:p>
            <w:pPr>
              <w:ind w:left="20"/>
              <w:spacing w:after="0"/>
              <w:rPr>
                <w:sz w:val="20"/>
                <w:szCs w:val="20"/>
                <w:color w:val="auto"/>
              </w:rPr>
            </w:pPr>
            <w:r>
              <w:rPr>
                <w:rFonts w:ascii="Arial" w:cs="Arial" w:eastAsia="Arial" w:hAnsi="Arial"/>
                <w:sz w:val="18"/>
                <w:szCs w:val="18"/>
                <w:color w:val="auto"/>
              </w:rPr>
              <w:t>Westlake Chemical OpCo GP LLC</w:t>
            </w:r>
          </w:p>
        </w:tc>
        <w:tc>
          <w:tcPr>
            <w:tcW w:w="6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80" w:type="dxa"/>
            <w:vAlign w:val="bottom"/>
          </w:tcPr>
          <w:p>
            <w:pPr>
              <w:ind w:left="20"/>
              <w:spacing w:after="0"/>
              <w:rPr>
                <w:sz w:val="20"/>
                <w:szCs w:val="20"/>
                <w:color w:val="auto"/>
              </w:rPr>
            </w:pPr>
            <w:r>
              <w:rPr>
                <w:rFonts w:ascii="Arial" w:cs="Arial" w:eastAsia="Arial" w:hAnsi="Arial"/>
                <w:sz w:val="18"/>
                <w:szCs w:val="18"/>
                <w:color w:val="auto"/>
              </w:rPr>
              <w:t>Delaware</w:t>
            </w:r>
          </w:p>
        </w:tc>
      </w:tr>
      <w:tr>
        <w:trPr>
          <w:trHeight w:val="276"/>
        </w:trPr>
        <w:tc>
          <w:tcPr>
            <w:tcW w:w="2840" w:type="dxa"/>
            <w:vAlign w:val="bottom"/>
          </w:tcPr>
          <w:p>
            <w:pPr>
              <w:ind w:left="20"/>
              <w:spacing w:after="0"/>
              <w:rPr>
                <w:sz w:val="20"/>
                <w:szCs w:val="20"/>
                <w:color w:val="auto"/>
              </w:rPr>
            </w:pPr>
            <w:r>
              <w:rPr>
                <w:rFonts w:ascii="Arial" w:cs="Arial" w:eastAsia="Arial" w:hAnsi="Arial"/>
                <w:sz w:val="18"/>
                <w:szCs w:val="18"/>
                <w:color w:val="auto"/>
              </w:rPr>
              <w:t>Westlake Chemical OpCo LP</w:t>
            </w:r>
          </w:p>
        </w:tc>
        <w:tc>
          <w:tcPr>
            <w:tcW w:w="6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tcPr>
          <w:p>
            <w:pPr>
              <w:ind w:left="20"/>
              <w:spacing w:after="0"/>
              <w:rPr>
                <w:sz w:val="20"/>
                <w:szCs w:val="20"/>
                <w:color w:val="auto"/>
              </w:rPr>
            </w:pPr>
            <w:r>
              <w:rPr>
                <w:rFonts w:ascii="Arial" w:cs="Arial" w:eastAsia="Arial" w:hAnsi="Arial"/>
                <w:sz w:val="18"/>
                <w:szCs w:val="18"/>
                <w:color w:val="auto"/>
              </w:rPr>
              <w:t>Delaware</w:t>
            </w:r>
          </w:p>
        </w:tc>
      </w:tr>
    </w:tbl>
    <w:p>
      <w:pPr>
        <w:sectPr>
          <w:pgSz w:w="11900" w:h="16838" w:orient="portrait"/>
          <w:cols w:equalWidth="0" w:num="1">
            <w:col w:w="11240"/>
          </w:cols>
          <w:pgMar w:left="320" w:top="871" w:right="3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23.1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31" w:lineRule="exact"/>
        <w:rPr>
          <w:sz w:val="20"/>
          <w:szCs w:val="20"/>
          <w:color w:val="auto"/>
        </w:rPr>
      </w:pPr>
    </w:p>
    <w:p>
      <w:pPr>
        <w:jc w:val="both"/>
        <w:ind w:right="140"/>
        <w:spacing w:after="0" w:line="238" w:lineRule="auto"/>
        <w:rPr>
          <w:sz w:val="20"/>
          <w:szCs w:val="20"/>
          <w:color w:val="auto"/>
        </w:rPr>
      </w:pPr>
      <w:r>
        <w:rPr>
          <w:rFonts w:ascii="Arial" w:cs="Arial" w:eastAsia="Arial" w:hAnsi="Arial"/>
          <w:sz w:val="18"/>
          <w:szCs w:val="18"/>
          <w:color w:val="auto"/>
        </w:rPr>
        <w:t>We hereby consent to the incorporation by reference in the Registration Statements on Form S-3 (Nos. 333-236768 and 333-230611) and Form S-8 (No. 333-198233) of Westlake Chemical Partners LP of our report dated March 1, 2023 relating to the financial statements and the effectiveness of internal control over financial reporting, which appears in this Form 10-K.</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Houston, Texas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March 1, 2023</w:t>
      </w:r>
    </w:p>
    <w:p>
      <w:pPr>
        <w:sectPr>
          <w:pgSz w:w="11900" w:h="16838" w:orient="portrait"/>
          <w:cols w:equalWidth="0" w:num="1">
            <w:col w:w="11240"/>
          </w:cols>
          <w:pgMar w:left="320" w:top="871" w:right="3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Albert Chao, certify that:</w:t>
      </w:r>
    </w:p>
    <w:p>
      <w:pPr>
        <w:spacing w:after="0" w:line="214" w:lineRule="exact"/>
        <w:rPr>
          <w:sz w:val="20"/>
          <w:szCs w:val="20"/>
          <w:color w:val="auto"/>
        </w:rPr>
      </w:pPr>
    </w:p>
    <w:p>
      <w:pPr>
        <w:ind w:left="640" w:hanging="635"/>
        <w:spacing w:after="0"/>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Westlake Chemical Partners LP (the "registrant");</w:t>
      </w:r>
    </w:p>
    <w:p>
      <w:pPr>
        <w:spacing w:after="0" w:line="161" w:lineRule="exact"/>
        <w:rPr>
          <w:rFonts w:ascii="Arial" w:cs="Arial" w:eastAsia="Arial" w:hAnsi="Arial"/>
          <w:sz w:val="18"/>
          <w:szCs w:val="18"/>
          <w:color w:val="auto"/>
        </w:rPr>
      </w:pPr>
    </w:p>
    <w:p>
      <w:pPr>
        <w:jc w:val="both"/>
        <w:ind w:left="640" w:right="400" w:hanging="635"/>
        <w:spacing w:after="0" w:line="252" w:lineRule="auto"/>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8"/>
          <w:szCs w:val="18"/>
          <w:color w:val="auto"/>
        </w:rPr>
      </w:pPr>
    </w:p>
    <w:p>
      <w:pPr>
        <w:ind w:left="640" w:right="360" w:hanging="635"/>
        <w:spacing w:after="0" w:line="324" w:lineRule="auto"/>
        <w:tabs>
          <w:tab w:leader="none" w:pos="6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2" w:lineRule="exact"/>
        <w:rPr>
          <w:rFonts w:ascii="Arial" w:cs="Arial" w:eastAsia="Arial" w:hAnsi="Arial"/>
          <w:sz w:val="16"/>
          <w:szCs w:val="16"/>
          <w:color w:val="auto"/>
        </w:rPr>
      </w:pPr>
    </w:p>
    <w:p>
      <w:pPr>
        <w:jc w:val="both"/>
        <w:ind w:left="640" w:right="400" w:hanging="635"/>
        <w:spacing w:after="0" w:line="248" w:lineRule="auto"/>
        <w:tabs>
          <w:tab w:leader="none" w:pos="6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8"/>
          <w:szCs w:val="18"/>
          <w:color w:val="auto"/>
        </w:rPr>
      </w:pPr>
    </w:p>
    <w:p>
      <w:pPr>
        <w:jc w:val="both"/>
        <w:ind w:left="1260" w:right="60" w:hanging="623"/>
        <w:spacing w:after="0" w:line="244" w:lineRule="auto"/>
        <w:tabs>
          <w:tab w:leader="none" w:pos="12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260" w:right="320" w:hanging="623"/>
        <w:spacing w:after="0" w:line="244" w:lineRule="auto"/>
        <w:tabs>
          <w:tab w:leader="none" w:pos="12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260" w:right="500" w:hanging="623"/>
        <w:spacing w:after="0" w:line="292" w:lineRule="auto"/>
        <w:tabs>
          <w:tab w:leader="none" w:pos="1260" w:val="left"/>
        </w:tabs>
        <w:numPr>
          <w:ilvl w:val="1"/>
          <w:numId w:val="50"/>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5"/>
          <w:szCs w:val="15"/>
          <w:color w:val="auto"/>
        </w:rPr>
      </w:pPr>
    </w:p>
    <w:p>
      <w:pPr>
        <w:ind w:left="1260" w:right="100" w:hanging="623"/>
        <w:spacing w:after="0" w:line="246" w:lineRule="auto"/>
        <w:tabs>
          <w:tab w:leader="none" w:pos="12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1" w:lineRule="exact"/>
        <w:rPr>
          <w:rFonts w:ascii="Arial" w:cs="Arial" w:eastAsia="Arial" w:hAnsi="Arial"/>
          <w:sz w:val="18"/>
          <w:szCs w:val="18"/>
          <w:color w:val="auto"/>
        </w:rPr>
      </w:pPr>
    </w:p>
    <w:p>
      <w:pPr>
        <w:ind w:left="640" w:right="120" w:hanging="635"/>
        <w:spacing w:after="0" w:line="282" w:lineRule="auto"/>
        <w:tabs>
          <w:tab w:leader="none" w:pos="6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1260" w:right="720" w:hanging="623"/>
        <w:spacing w:after="0" w:line="274" w:lineRule="auto"/>
        <w:tabs>
          <w:tab w:leader="none" w:pos="126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60" w:right="440" w:hanging="623"/>
        <w:spacing w:after="0" w:line="248" w:lineRule="auto"/>
        <w:tabs>
          <w:tab w:leader="none" w:pos="126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20"/>
        <w:spacing w:after="0"/>
        <w:tabs>
          <w:tab w:leader="none" w:pos="640" w:val="left"/>
          <w:tab w:leader="none" w:pos="8160" w:val="left"/>
        </w:tabs>
        <w:rPr>
          <w:sz w:val="20"/>
          <w:szCs w:val="20"/>
          <w:color w:val="auto"/>
        </w:rPr>
      </w:pPr>
      <w:r>
        <w:rPr>
          <w:rFonts w:ascii="Arial" w:cs="Arial" w:eastAsia="Arial" w:hAnsi="Arial"/>
          <w:sz w:val="18"/>
          <w:szCs w:val="18"/>
          <w:color w:val="auto"/>
        </w:rPr>
        <w:t>Date:</w:t>
        <w:tab/>
        <w:t>March 1, 2023</w:t>
      </w:r>
      <w:r>
        <w:rPr>
          <w:sz w:val="20"/>
          <w:szCs w:val="20"/>
          <w:color w:val="auto"/>
        </w:rPr>
        <w:tab/>
      </w:r>
      <w:r>
        <w:rPr>
          <w:rFonts w:ascii="Arial" w:cs="Arial" w:eastAsia="Arial" w:hAnsi="Arial"/>
          <w:sz w:val="16"/>
          <w:szCs w:val="16"/>
          <w:color w:val="auto"/>
        </w:rPr>
        <w:t>/s/ A</w:t>
      </w:r>
      <w:r>
        <w:rPr>
          <w:rFonts w:ascii="Arial" w:cs="Arial" w:eastAsia="Arial" w:hAnsi="Arial"/>
          <w:sz w:val="13"/>
          <w:szCs w:val="13"/>
          <w:color w:val="auto"/>
        </w:rPr>
        <w:t>LBERT</w:t>
      </w:r>
      <w:r>
        <w:rPr>
          <w:rFonts w:ascii="Arial" w:cs="Arial" w:eastAsia="Arial" w:hAnsi="Arial"/>
          <w:sz w:val="16"/>
          <w:szCs w:val="16"/>
          <w:color w:val="auto"/>
        </w:rPr>
        <w:t xml:space="preserve"> C</w:t>
      </w:r>
      <w:r>
        <w:rPr>
          <w:rFonts w:ascii="Arial" w:cs="Arial" w:eastAsia="Arial" w:hAnsi="Arial"/>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4055745</wp:posOffset>
            </wp:positionH>
            <wp:positionV relativeFrom="paragraph">
              <wp:posOffset>18415</wp:posOffset>
            </wp:positionV>
            <wp:extent cx="305816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81">
                      <a:extLst>
                        <a:ext uri="{28A0092B-C50C-407E-A947-70E740481C1C}"/>
                      </a:extLst>
                    </a:blip>
                    <a:srcRect/>
                    <a:stretch>
                      <a:fillRect/>
                    </a:stretch>
                  </pic:blipFill>
                  <pic:spPr bwMode="auto">
                    <a:xfrm>
                      <a:off x="0" y="0"/>
                      <a:ext cx="3058160" cy="8255"/>
                    </a:xfrm>
                    <a:prstGeom prst="rect">
                      <a:avLst/>
                    </a:prstGeom>
                    <a:noFill/>
                  </pic:spPr>
                </pic:pic>
              </a:graphicData>
            </a:graphic>
          </wp:anchor>
        </w:drawing>
      </w:r>
    </w:p>
    <w:p>
      <w:pPr>
        <w:spacing w:after="0" w:line="13" w:lineRule="exact"/>
        <w:rPr>
          <w:sz w:val="20"/>
          <w:szCs w:val="20"/>
          <w:color w:val="auto"/>
        </w:rPr>
      </w:pPr>
    </w:p>
    <w:p>
      <w:pPr>
        <w:ind w:left="8420"/>
        <w:spacing w:after="0"/>
        <w:rPr>
          <w:sz w:val="20"/>
          <w:szCs w:val="20"/>
          <w:color w:val="auto"/>
        </w:rPr>
      </w:pPr>
      <w:r>
        <w:rPr>
          <w:rFonts w:ascii="Arial" w:cs="Arial" w:eastAsia="Arial" w:hAnsi="Arial"/>
          <w:sz w:val="14"/>
          <w:szCs w:val="14"/>
          <w:b w:val="1"/>
          <w:bCs w:val="1"/>
          <w:color w:val="auto"/>
        </w:rPr>
        <w:t>Albert Chao</w:t>
      </w:r>
    </w:p>
    <w:p>
      <w:pPr>
        <w:ind w:left="7280"/>
        <w:spacing w:after="0" w:line="215" w:lineRule="auto"/>
        <w:rPr>
          <w:sz w:val="20"/>
          <w:szCs w:val="20"/>
          <w:color w:val="auto"/>
        </w:rPr>
      </w:pPr>
      <w:r>
        <w:rPr>
          <w:rFonts w:ascii="Arial" w:cs="Arial" w:eastAsia="Arial" w:hAnsi="Arial"/>
          <w:sz w:val="14"/>
          <w:szCs w:val="14"/>
          <w:b w:val="1"/>
          <w:bCs w:val="1"/>
          <w:color w:val="auto"/>
        </w:rPr>
        <w:t>President, Chief Executive Officer and Director of</w:t>
      </w:r>
    </w:p>
    <w:p>
      <w:pPr>
        <w:ind w:left="7640"/>
        <w:spacing w:after="0" w:line="196" w:lineRule="auto"/>
        <w:rPr>
          <w:sz w:val="20"/>
          <w:szCs w:val="20"/>
          <w:color w:val="auto"/>
        </w:rPr>
      </w:pPr>
      <w:r>
        <w:rPr>
          <w:rFonts w:ascii="Arial" w:cs="Arial" w:eastAsia="Arial" w:hAnsi="Arial"/>
          <w:sz w:val="14"/>
          <w:szCs w:val="14"/>
          <w:b w:val="1"/>
          <w:bCs w:val="1"/>
          <w:color w:val="auto"/>
        </w:rPr>
        <w:t>Westlake Chemical Partners GP LLC</w:t>
      </w:r>
    </w:p>
    <w:p>
      <w:pPr>
        <w:spacing w:after="0" w:line="1" w:lineRule="exact"/>
        <w:rPr>
          <w:sz w:val="20"/>
          <w:szCs w:val="20"/>
          <w:color w:val="auto"/>
        </w:rPr>
      </w:pPr>
    </w:p>
    <w:p>
      <w:pPr>
        <w:ind w:left="7940"/>
        <w:spacing w:after="0"/>
        <w:rPr>
          <w:sz w:val="20"/>
          <w:szCs w:val="20"/>
          <w:color w:val="auto"/>
        </w:rPr>
      </w:pPr>
      <w:r>
        <w:rPr>
          <w:rFonts w:ascii="Arial" w:cs="Arial" w:eastAsia="Arial" w:hAnsi="Arial"/>
          <w:sz w:val="14"/>
          <w:szCs w:val="14"/>
          <w:b w:val="1"/>
          <w:bCs w:val="1"/>
          <w:color w:val="auto"/>
        </w:rPr>
        <w:t>(Principal Executive Officer)</w:t>
      </w:r>
    </w:p>
    <w:p>
      <w:pPr>
        <w:sectPr>
          <w:pgSz w:w="11900" w:h="16838" w:orient="portrait"/>
          <w:cols w:equalWidth="0" w:num="1">
            <w:col w:w="11240"/>
          </w:cols>
          <w:pgMar w:left="320" w:top="871" w:right="3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31.2</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M. Steven Bender, certify that:</w:t>
      </w:r>
    </w:p>
    <w:p>
      <w:pPr>
        <w:spacing w:after="0" w:line="214" w:lineRule="exact"/>
        <w:rPr>
          <w:sz w:val="20"/>
          <w:szCs w:val="20"/>
          <w:color w:val="auto"/>
        </w:rPr>
      </w:pPr>
    </w:p>
    <w:p>
      <w:pPr>
        <w:ind w:left="640" w:hanging="635"/>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Westlake Chemical Partners LP (the "registrant");</w:t>
      </w:r>
    </w:p>
    <w:p>
      <w:pPr>
        <w:spacing w:after="0" w:line="161" w:lineRule="exact"/>
        <w:rPr>
          <w:rFonts w:ascii="Arial" w:cs="Arial" w:eastAsia="Arial" w:hAnsi="Arial"/>
          <w:sz w:val="18"/>
          <w:szCs w:val="18"/>
          <w:color w:val="auto"/>
        </w:rPr>
      </w:pPr>
    </w:p>
    <w:p>
      <w:pPr>
        <w:jc w:val="both"/>
        <w:ind w:left="640" w:right="400" w:hanging="635"/>
        <w:spacing w:after="0" w:line="252" w:lineRule="auto"/>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7" w:lineRule="exact"/>
        <w:rPr>
          <w:rFonts w:ascii="Arial" w:cs="Arial" w:eastAsia="Arial" w:hAnsi="Arial"/>
          <w:sz w:val="18"/>
          <w:szCs w:val="18"/>
          <w:color w:val="auto"/>
        </w:rPr>
      </w:pPr>
    </w:p>
    <w:p>
      <w:pPr>
        <w:ind w:left="640" w:right="360" w:hanging="635"/>
        <w:spacing w:after="0" w:line="324" w:lineRule="auto"/>
        <w:tabs>
          <w:tab w:leader="none" w:pos="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2" w:lineRule="exact"/>
        <w:rPr>
          <w:rFonts w:ascii="Arial" w:cs="Arial" w:eastAsia="Arial" w:hAnsi="Arial"/>
          <w:sz w:val="16"/>
          <w:szCs w:val="16"/>
          <w:color w:val="auto"/>
        </w:rPr>
      </w:pPr>
    </w:p>
    <w:p>
      <w:pPr>
        <w:jc w:val="both"/>
        <w:ind w:left="640" w:right="400" w:hanging="635"/>
        <w:spacing w:after="0" w:line="248" w:lineRule="auto"/>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 w:lineRule="exact"/>
        <w:rPr>
          <w:rFonts w:ascii="Arial" w:cs="Arial" w:eastAsia="Arial" w:hAnsi="Arial"/>
          <w:sz w:val="18"/>
          <w:szCs w:val="18"/>
          <w:color w:val="auto"/>
        </w:rPr>
      </w:pPr>
    </w:p>
    <w:p>
      <w:pPr>
        <w:jc w:val="both"/>
        <w:ind w:left="1260" w:right="60" w:hanging="623"/>
        <w:spacing w:after="0" w:line="244" w:lineRule="auto"/>
        <w:tabs>
          <w:tab w:leader="none" w:pos="12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ind w:left="1260" w:right="320" w:hanging="623"/>
        <w:spacing w:after="0" w:line="244" w:lineRule="auto"/>
        <w:tabs>
          <w:tab w:leader="none" w:pos="12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ind w:left="1260" w:right="500" w:hanging="623"/>
        <w:spacing w:after="0" w:line="292" w:lineRule="auto"/>
        <w:tabs>
          <w:tab w:leader="none" w:pos="1260" w:val="left"/>
        </w:tabs>
        <w:numPr>
          <w:ilvl w:val="1"/>
          <w:numId w:val="51"/>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5"/>
          <w:szCs w:val="15"/>
          <w:color w:val="auto"/>
        </w:rPr>
      </w:pPr>
    </w:p>
    <w:p>
      <w:pPr>
        <w:ind w:left="1260" w:right="100" w:hanging="623"/>
        <w:spacing w:after="0" w:line="246" w:lineRule="auto"/>
        <w:tabs>
          <w:tab w:leader="none" w:pos="12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1" w:lineRule="exact"/>
        <w:rPr>
          <w:rFonts w:ascii="Arial" w:cs="Arial" w:eastAsia="Arial" w:hAnsi="Arial"/>
          <w:sz w:val="18"/>
          <w:szCs w:val="18"/>
          <w:color w:val="auto"/>
        </w:rPr>
      </w:pPr>
    </w:p>
    <w:p>
      <w:pPr>
        <w:ind w:left="640" w:right="120" w:hanging="635"/>
        <w:spacing w:after="0" w:line="282" w:lineRule="auto"/>
        <w:tabs>
          <w:tab w:leader="none" w:pos="6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ind w:left="1260" w:right="720" w:hanging="623"/>
        <w:spacing w:after="0" w:line="274" w:lineRule="auto"/>
        <w:tabs>
          <w:tab w:leader="none" w:pos="1260" w:val="left"/>
        </w:tabs>
        <w:numPr>
          <w:ilvl w:val="1"/>
          <w:numId w:val="5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ind w:left="1260" w:right="440" w:hanging="623"/>
        <w:spacing w:after="0" w:line="248" w:lineRule="auto"/>
        <w:tabs>
          <w:tab w:leader="none" w:pos="1260" w:val="left"/>
        </w:tabs>
        <w:numPr>
          <w:ilvl w:val="1"/>
          <w:numId w:val="5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
        <w:spacing w:after="0"/>
        <w:tabs>
          <w:tab w:leader="none" w:pos="640" w:val="left"/>
          <w:tab w:leader="none" w:pos="7960" w:val="left"/>
        </w:tabs>
        <w:rPr>
          <w:sz w:val="20"/>
          <w:szCs w:val="20"/>
          <w:color w:val="auto"/>
        </w:rPr>
      </w:pPr>
      <w:r>
        <w:rPr>
          <w:rFonts w:ascii="Arial" w:cs="Arial" w:eastAsia="Arial" w:hAnsi="Arial"/>
          <w:sz w:val="18"/>
          <w:szCs w:val="18"/>
          <w:color w:val="auto"/>
        </w:rPr>
        <w:t>Date:</w:t>
        <w:tab/>
        <w:t>March 1, 2023</w:t>
      </w:r>
      <w:r>
        <w:rPr>
          <w:sz w:val="20"/>
          <w:szCs w:val="20"/>
          <w:color w:val="auto"/>
        </w:rPr>
        <w:tab/>
      </w:r>
      <w:r>
        <w:rPr>
          <w:rFonts w:ascii="Arial" w:cs="Arial" w:eastAsia="Arial" w:hAnsi="Arial"/>
          <w:sz w:val="16"/>
          <w:szCs w:val="16"/>
          <w:color w:val="auto"/>
        </w:rPr>
        <w:t>/s/ M. S</w:t>
      </w:r>
      <w:r>
        <w:rPr>
          <w:rFonts w:ascii="Arial" w:cs="Arial" w:eastAsia="Arial" w:hAnsi="Arial"/>
          <w:sz w:val="13"/>
          <w:szCs w:val="13"/>
          <w:color w:val="auto"/>
        </w:rPr>
        <w:t>TEVEN</w:t>
      </w:r>
      <w:r>
        <w:rPr>
          <w:rFonts w:ascii="Arial" w:cs="Arial" w:eastAsia="Arial" w:hAnsi="Arial"/>
          <w:sz w:val="16"/>
          <w:szCs w:val="16"/>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4055745</wp:posOffset>
            </wp:positionH>
            <wp:positionV relativeFrom="paragraph">
              <wp:posOffset>18415</wp:posOffset>
            </wp:positionV>
            <wp:extent cx="3058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82">
                      <a:extLst>
                        <a:ext uri="{28A0092B-C50C-407E-A947-70E740481C1C}"/>
                      </a:extLst>
                    </a:blip>
                    <a:srcRect/>
                    <a:stretch>
                      <a:fillRect/>
                    </a:stretch>
                  </pic:blipFill>
                  <pic:spPr bwMode="auto">
                    <a:xfrm>
                      <a:off x="0" y="0"/>
                      <a:ext cx="3058160" cy="8255"/>
                    </a:xfrm>
                    <a:prstGeom prst="rect">
                      <a:avLst/>
                    </a:prstGeom>
                    <a:noFill/>
                  </pic:spPr>
                </pic:pic>
              </a:graphicData>
            </a:graphic>
          </wp:anchor>
        </w:drawing>
      </w:r>
    </w:p>
    <w:p>
      <w:pPr>
        <w:spacing w:after="0" w:line="13" w:lineRule="exact"/>
        <w:rPr>
          <w:sz w:val="20"/>
          <w:szCs w:val="20"/>
          <w:color w:val="auto"/>
        </w:rPr>
      </w:pPr>
    </w:p>
    <w:p>
      <w:pPr>
        <w:ind w:left="8260"/>
        <w:spacing w:after="0"/>
        <w:rPr>
          <w:sz w:val="20"/>
          <w:szCs w:val="20"/>
          <w:color w:val="auto"/>
        </w:rPr>
      </w:pPr>
      <w:r>
        <w:rPr>
          <w:rFonts w:ascii="Arial" w:cs="Arial" w:eastAsia="Arial" w:hAnsi="Arial"/>
          <w:sz w:val="14"/>
          <w:szCs w:val="14"/>
          <w:b w:val="1"/>
          <w:bCs w:val="1"/>
          <w:color w:val="auto"/>
        </w:rPr>
        <w:t>M. Steven Bender</w:t>
      </w:r>
    </w:p>
    <w:p>
      <w:pPr>
        <w:ind w:left="7200"/>
        <w:spacing w:after="0" w:line="215" w:lineRule="auto"/>
        <w:rPr>
          <w:sz w:val="20"/>
          <w:szCs w:val="20"/>
          <w:color w:val="auto"/>
        </w:rPr>
      </w:pPr>
      <w:r>
        <w:rPr>
          <w:rFonts w:ascii="Arial" w:cs="Arial" w:eastAsia="Arial" w:hAnsi="Arial"/>
          <w:sz w:val="14"/>
          <w:szCs w:val="14"/>
          <w:b w:val="1"/>
          <w:bCs w:val="1"/>
          <w:color w:val="auto"/>
        </w:rPr>
        <w:t>Executive Vice President, Chief Financial Officer and</w:t>
      </w:r>
    </w:p>
    <w:p>
      <w:pPr>
        <w:ind w:left="7320"/>
        <w:spacing w:after="0" w:line="196" w:lineRule="auto"/>
        <w:rPr>
          <w:sz w:val="20"/>
          <w:szCs w:val="20"/>
          <w:color w:val="auto"/>
        </w:rPr>
      </w:pPr>
      <w:r>
        <w:rPr>
          <w:rFonts w:ascii="Arial" w:cs="Arial" w:eastAsia="Arial" w:hAnsi="Arial"/>
          <w:sz w:val="14"/>
          <w:szCs w:val="14"/>
          <w:b w:val="1"/>
          <w:bCs w:val="1"/>
          <w:color w:val="auto"/>
        </w:rPr>
        <w:t>Director of Westlake Chemical Partners GP LLC</w:t>
      </w:r>
    </w:p>
    <w:p>
      <w:pPr>
        <w:spacing w:after="0" w:line="1" w:lineRule="exact"/>
        <w:rPr>
          <w:sz w:val="20"/>
          <w:szCs w:val="20"/>
          <w:color w:val="auto"/>
        </w:rPr>
      </w:pPr>
    </w:p>
    <w:p>
      <w:pPr>
        <w:ind w:left="7940"/>
        <w:spacing w:after="0"/>
        <w:rPr>
          <w:sz w:val="20"/>
          <w:szCs w:val="20"/>
          <w:color w:val="auto"/>
        </w:rPr>
      </w:pPr>
      <w:r>
        <w:rPr>
          <w:rFonts w:ascii="Arial" w:cs="Arial" w:eastAsia="Arial" w:hAnsi="Arial"/>
          <w:sz w:val="14"/>
          <w:szCs w:val="14"/>
          <w:b w:val="1"/>
          <w:bCs w:val="1"/>
          <w:color w:val="auto"/>
        </w:rPr>
        <w:t>(Principal Financial Officer)</w:t>
      </w:r>
    </w:p>
    <w:p>
      <w:pPr>
        <w:sectPr>
          <w:pgSz w:w="11900" w:h="16838" w:orient="portrait"/>
          <w:cols w:equalWidth="0" w:num="1">
            <w:col w:w="11240"/>
          </w:cols>
          <w:pgMar w:left="320" w:top="871" w:right="3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13" w:lineRule="exact"/>
        <w:rPr>
          <w:sz w:val="20"/>
          <w:szCs w:val="20"/>
          <w:color w:val="auto"/>
        </w:rPr>
      </w:pPr>
    </w:p>
    <w:p>
      <w:pPr>
        <w:ind w:right="200" w:firstLine="316"/>
        <w:spacing w:after="0" w:line="291" w:lineRule="auto"/>
        <w:rPr>
          <w:sz w:val="20"/>
          <w:szCs w:val="20"/>
          <w:color w:val="auto"/>
        </w:rPr>
      </w:pPr>
      <w:r>
        <w:rPr>
          <w:rFonts w:ascii="Arial" w:cs="Arial" w:eastAsia="Arial" w:hAnsi="Arial"/>
          <w:sz w:val="16"/>
          <w:szCs w:val="16"/>
          <w:color w:val="auto"/>
        </w:rPr>
        <w:t>In connection with the Annual Report on Form 10-K of Westlake Chemical Partners LP (the "Partnership"), as filed with the Securities and Exchange Commission on the date hereof (the "Report"), Albert Chao, President, Chief Executive Officer and Director of the general partner of the Partnership, and M. Steven Bender, Executive Vice President, Chief Financial Officer, and Director of the general partner of the Partnership, each certify, pursuant to 18 U.S.C. Section 1350, as adopted pursuant to Section 906 of the Sarbanes-Oxley Act of 2002, that, to his knowledge:</w:t>
      </w:r>
    </w:p>
    <w:p>
      <w:pPr>
        <w:spacing w:after="0" w:line="160" w:lineRule="exact"/>
        <w:rPr>
          <w:sz w:val="20"/>
          <w:szCs w:val="20"/>
          <w:color w:val="auto"/>
        </w:rPr>
      </w:pPr>
    </w:p>
    <w:p>
      <w:pPr>
        <w:ind w:left="1020" w:hanging="383"/>
        <w:spacing w:after="0"/>
        <w:tabs>
          <w:tab w:leader="none" w:pos="102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of the Securities Exchange Act of 1934, as amended; and</w:t>
      </w:r>
    </w:p>
    <w:p>
      <w:pPr>
        <w:spacing w:after="0" w:line="237" w:lineRule="exact"/>
        <w:rPr>
          <w:rFonts w:ascii="Arial" w:cs="Arial" w:eastAsia="Arial" w:hAnsi="Arial"/>
          <w:sz w:val="16"/>
          <w:szCs w:val="16"/>
          <w:color w:val="auto"/>
        </w:rPr>
      </w:pPr>
    </w:p>
    <w:p>
      <w:pPr>
        <w:ind w:left="1260" w:right="860" w:hanging="623"/>
        <w:spacing w:after="0" w:line="261" w:lineRule="auto"/>
        <w:tabs>
          <w:tab w:leader="none" w:pos="1008"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Partnership.</w:t>
      </w:r>
    </w:p>
    <w:p>
      <w:pPr>
        <w:spacing w:after="0" w:line="200" w:lineRule="exact"/>
        <w:rPr>
          <w:sz w:val="20"/>
          <w:szCs w:val="20"/>
          <w:color w:val="auto"/>
        </w:rPr>
      </w:pPr>
    </w:p>
    <w:p>
      <w:pPr>
        <w:spacing w:after="0" w:line="231" w:lineRule="exact"/>
        <w:rPr>
          <w:sz w:val="20"/>
          <w:szCs w:val="20"/>
          <w:color w:val="auto"/>
        </w:rPr>
      </w:pPr>
    </w:p>
    <w:p>
      <w:pPr>
        <w:ind w:left="20"/>
        <w:spacing w:after="0"/>
        <w:tabs>
          <w:tab w:leader="none" w:pos="640" w:val="left"/>
          <w:tab w:leader="none" w:pos="8160" w:val="left"/>
        </w:tabs>
        <w:rPr>
          <w:sz w:val="20"/>
          <w:szCs w:val="20"/>
          <w:color w:val="auto"/>
        </w:rPr>
      </w:pPr>
      <w:r>
        <w:rPr>
          <w:rFonts w:ascii="Arial" w:cs="Arial" w:eastAsia="Arial" w:hAnsi="Arial"/>
          <w:sz w:val="18"/>
          <w:szCs w:val="18"/>
          <w:color w:val="auto"/>
        </w:rPr>
        <w:t>Date:</w:t>
        <w:tab/>
        <w:t>March 1, 2023</w:t>
      </w:r>
      <w:r>
        <w:rPr>
          <w:sz w:val="20"/>
          <w:szCs w:val="20"/>
          <w:color w:val="auto"/>
        </w:rPr>
        <w:tab/>
      </w:r>
      <w:r>
        <w:rPr>
          <w:rFonts w:ascii="Arial" w:cs="Arial" w:eastAsia="Arial" w:hAnsi="Arial"/>
          <w:sz w:val="16"/>
          <w:szCs w:val="16"/>
          <w:color w:val="auto"/>
        </w:rPr>
        <w:t>/s/ A</w:t>
      </w:r>
      <w:r>
        <w:rPr>
          <w:rFonts w:ascii="Arial" w:cs="Arial" w:eastAsia="Arial" w:hAnsi="Arial"/>
          <w:sz w:val="13"/>
          <w:szCs w:val="13"/>
          <w:color w:val="auto"/>
        </w:rPr>
        <w:t>LBERT</w:t>
      </w:r>
      <w:r>
        <w:rPr>
          <w:rFonts w:ascii="Arial" w:cs="Arial" w:eastAsia="Arial" w:hAnsi="Arial"/>
          <w:sz w:val="16"/>
          <w:szCs w:val="16"/>
          <w:color w:val="auto"/>
        </w:rPr>
        <w:t xml:space="preserve"> C</w:t>
      </w:r>
      <w:r>
        <w:rPr>
          <w:rFonts w:ascii="Arial" w:cs="Arial" w:eastAsia="Arial" w:hAnsi="Arial"/>
          <w:sz w:val="13"/>
          <w:szCs w:val="13"/>
          <w:color w:val="auto"/>
        </w:rPr>
        <w:t>HAO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4055745</wp:posOffset>
            </wp:positionH>
            <wp:positionV relativeFrom="paragraph">
              <wp:posOffset>18415</wp:posOffset>
            </wp:positionV>
            <wp:extent cx="30581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83">
                      <a:extLst>
                        <a:ext uri="{28A0092B-C50C-407E-A947-70E740481C1C}"/>
                      </a:extLst>
                    </a:blip>
                    <a:srcRect/>
                    <a:stretch>
                      <a:fillRect/>
                    </a:stretch>
                  </pic:blipFill>
                  <pic:spPr bwMode="auto">
                    <a:xfrm>
                      <a:off x="0" y="0"/>
                      <a:ext cx="3058160" cy="8255"/>
                    </a:xfrm>
                    <a:prstGeom prst="rect">
                      <a:avLst/>
                    </a:prstGeom>
                    <a:noFill/>
                  </pic:spPr>
                </pic:pic>
              </a:graphicData>
            </a:graphic>
          </wp:anchor>
        </w:drawing>
      </w:r>
    </w:p>
    <w:p>
      <w:pPr>
        <w:jc w:val="center"/>
        <w:ind w:left="6320"/>
        <w:spacing w:after="0"/>
        <w:rPr>
          <w:sz w:val="20"/>
          <w:szCs w:val="20"/>
          <w:color w:val="auto"/>
        </w:rPr>
      </w:pPr>
      <w:r>
        <w:rPr>
          <w:rFonts w:ascii="Arial" w:cs="Arial" w:eastAsia="Arial" w:hAnsi="Arial"/>
          <w:sz w:val="14"/>
          <w:szCs w:val="14"/>
          <w:b w:val="1"/>
          <w:bCs w:val="1"/>
          <w:color w:val="auto"/>
        </w:rPr>
        <w:t>Albert Chao</w:t>
      </w:r>
    </w:p>
    <w:p>
      <w:pPr>
        <w:jc w:val="center"/>
        <w:ind w:left="6300"/>
        <w:spacing w:after="0" w:line="215" w:lineRule="auto"/>
        <w:rPr>
          <w:sz w:val="20"/>
          <w:szCs w:val="20"/>
          <w:color w:val="auto"/>
        </w:rPr>
      </w:pPr>
      <w:r>
        <w:rPr>
          <w:rFonts w:ascii="Arial" w:cs="Arial" w:eastAsia="Arial" w:hAnsi="Arial"/>
          <w:sz w:val="14"/>
          <w:szCs w:val="14"/>
          <w:b w:val="1"/>
          <w:bCs w:val="1"/>
          <w:color w:val="auto"/>
        </w:rPr>
        <w:t>President, Chief Executive Officer and Director of</w:t>
      </w:r>
    </w:p>
    <w:p>
      <w:pPr>
        <w:jc w:val="center"/>
        <w:ind w:left="6320"/>
        <w:spacing w:after="0" w:line="216" w:lineRule="auto"/>
        <w:rPr>
          <w:sz w:val="20"/>
          <w:szCs w:val="20"/>
          <w:color w:val="auto"/>
        </w:rPr>
      </w:pPr>
      <w:r>
        <w:rPr>
          <w:rFonts w:ascii="Arial" w:cs="Arial" w:eastAsia="Arial" w:hAnsi="Arial"/>
          <w:sz w:val="14"/>
          <w:szCs w:val="14"/>
          <w:b w:val="1"/>
          <w:bCs w:val="1"/>
          <w:color w:val="auto"/>
        </w:rPr>
        <w:t>Westlake Chemical Partners GP LLC</w:t>
      </w:r>
    </w:p>
    <w:p>
      <w:pPr>
        <w:jc w:val="center"/>
        <w:ind w:left="6320"/>
        <w:spacing w:after="0"/>
        <w:rPr>
          <w:sz w:val="20"/>
          <w:szCs w:val="20"/>
          <w:color w:val="auto"/>
        </w:rPr>
      </w:pPr>
      <w:r>
        <w:rPr>
          <w:rFonts w:ascii="Arial" w:cs="Arial" w:eastAsia="Arial" w:hAnsi="Arial"/>
          <w:sz w:val="14"/>
          <w:szCs w:val="14"/>
          <w:b w:val="1"/>
          <w:bCs w:val="1"/>
          <w:color w:val="auto"/>
        </w:rPr>
        <w:t>(Principal Executive Officer)</w:t>
      </w:r>
    </w:p>
    <w:p>
      <w:pPr>
        <w:spacing w:after="0" w:line="294" w:lineRule="exact"/>
        <w:rPr>
          <w:sz w:val="20"/>
          <w:szCs w:val="20"/>
          <w:color w:val="auto"/>
        </w:rPr>
      </w:pPr>
    </w:p>
    <w:p>
      <w:pPr>
        <w:ind w:left="20"/>
        <w:spacing w:after="0"/>
        <w:tabs>
          <w:tab w:leader="none" w:pos="640" w:val="left"/>
          <w:tab w:leader="none" w:pos="7960" w:val="left"/>
        </w:tabs>
        <w:rPr>
          <w:sz w:val="20"/>
          <w:szCs w:val="20"/>
          <w:color w:val="auto"/>
        </w:rPr>
      </w:pPr>
      <w:r>
        <w:rPr>
          <w:rFonts w:ascii="Arial" w:cs="Arial" w:eastAsia="Arial" w:hAnsi="Arial"/>
          <w:sz w:val="18"/>
          <w:szCs w:val="18"/>
          <w:color w:val="auto"/>
        </w:rPr>
        <w:t>Date:</w:t>
        <w:tab/>
        <w:t>March 1, 2023</w:t>
      </w:r>
      <w:r>
        <w:rPr>
          <w:sz w:val="20"/>
          <w:szCs w:val="20"/>
          <w:color w:val="auto"/>
        </w:rPr>
        <w:tab/>
      </w:r>
      <w:r>
        <w:rPr>
          <w:rFonts w:ascii="Arial" w:cs="Arial" w:eastAsia="Arial" w:hAnsi="Arial"/>
          <w:sz w:val="16"/>
          <w:szCs w:val="16"/>
          <w:color w:val="auto"/>
        </w:rPr>
        <w:t>/s/ M. S</w:t>
      </w:r>
      <w:r>
        <w:rPr>
          <w:rFonts w:ascii="Arial" w:cs="Arial" w:eastAsia="Arial" w:hAnsi="Arial"/>
          <w:sz w:val="13"/>
          <w:szCs w:val="13"/>
          <w:color w:val="auto"/>
        </w:rPr>
        <w:t>TEVEN</w:t>
      </w:r>
      <w:r>
        <w:rPr>
          <w:rFonts w:ascii="Arial" w:cs="Arial" w:eastAsia="Arial" w:hAnsi="Arial"/>
          <w:sz w:val="16"/>
          <w:szCs w:val="16"/>
          <w:color w:val="auto"/>
        </w:rPr>
        <w:t xml:space="preserve"> B</w:t>
      </w:r>
      <w:r>
        <w:rPr>
          <w:rFonts w:ascii="Arial" w:cs="Arial" w:eastAsia="Arial" w:hAnsi="Arial"/>
          <w:sz w:val="13"/>
          <w:szCs w:val="13"/>
          <w:color w:val="auto"/>
        </w:rPr>
        <w:t>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4055745</wp:posOffset>
            </wp:positionH>
            <wp:positionV relativeFrom="paragraph">
              <wp:posOffset>18415</wp:posOffset>
            </wp:positionV>
            <wp:extent cx="305816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84">
                      <a:extLst>
                        <a:ext uri="{28A0092B-C50C-407E-A947-70E740481C1C}"/>
                      </a:extLst>
                    </a:blip>
                    <a:srcRect/>
                    <a:stretch>
                      <a:fillRect/>
                    </a:stretch>
                  </pic:blipFill>
                  <pic:spPr bwMode="auto">
                    <a:xfrm>
                      <a:off x="0" y="0"/>
                      <a:ext cx="3058160" cy="8255"/>
                    </a:xfrm>
                    <a:prstGeom prst="rect">
                      <a:avLst/>
                    </a:prstGeom>
                    <a:noFill/>
                  </pic:spPr>
                </pic:pic>
              </a:graphicData>
            </a:graphic>
          </wp:anchor>
        </w:drawing>
      </w:r>
    </w:p>
    <w:p>
      <w:pPr>
        <w:jc w:val="center"/>
        <w:ind w:left="6320"/>
        <w:spacing w:after="0"/>
        <w:rPr>
          <w:sz w:val="20"/>
          <w:szCs w:val="20"/>
          <w:color w:val="auto"/>
        </w:rPr>
      </w:pPr>
      <w:r>
        <w:rPr>
          <w:rFonts w:ascii="Arial" w:cs="Arial" w:eastAsia="Arial" w:hAnsi="Arial"/>
          <w:sz w:val="14"/>
          <w:szCs w:val="14"/>
          <w:b w:val="1"/>
          <w:bCs w:val="1"/>
          <w:color w:val="auto"/>
        </w:rPr>
        <w:t>M. Steven Bender</w:t>
      </w:r>
    </w:p>
    <w:p>
      <w:pPr>
        <w:jc w:val="center"/>
        <w:ind w:left="6320"/>
        <w:spacing w:after="0" w:line="215" w:lineRule="auto"/>
        <w:rPr>
          <w:sz w:val="20"/>
          <w:szCs w:val="20"/>
          <w:color w:val="auto"/>
        </w:rPr>
      </w:pPr>
      <w:r>
        <w:rPr>
          <w:rFonts w:ascii="Arial" w:cs="Arial" w:eastAsia="Arial" w:hAnsi="Arial"/>
          <w:sz w:val="14"/>
          <w:szCs w:val="14"/>
          <w:b w:val="1"/>
          <w:bCs w:val="1"/>
          <w:color w:val="auto"/>
        </w:rPr>
        <w:t>Executive Vice President, Chief Financial Officer and</w:t>
      </w:r>
    </w:p>
    <w:p>
      <w:pPr>
        <w:jc w:val="center"/>
        <w:ind w:left="6320"/>
        <w:spacing w:after="0" w:line="216" w:lineRule="auto"/>
        <w:rPr>
          <w:sz w:val="20"/>
          <w:szCs w:val="20"/>
          <w:color w:val="auto"/>
        </w:rPr>
      </w:pPr>
      <w:r>
        <w:rPr>
          <w:rFonts w:ascii="Arial" w:cs="Arial" w:eastAsia="Arial" w:hAnsi="Arial"/>
          <w:sz w:val="14"/>
          <w:szCs w:val="14"/>
          <w:b w:val="1"/>
          <w:bCs w:val="1"/>
          <w:color w:val="auto"/>
        </w:rPr>
        <w:t>Director of Westlake Chemical Partners GP LLC</w:t>
      </w:r>
    </w:p>
    <w:p>
      <w:pPr>
        <w:jc w:val="center"/>
        <w:ind w:left="6320"/>
        <w:spacing w:after="0"/>
        <w:rPr>
          <w:sz w:val="20"/>
          <w:szCs w:val="20"/>
          <w:color w:val="auto"/>
        </w:rPr>
      </w:pPr>
      <w:r>
        <w:rPr>
          <w:rFonts w:ascii="Arial" w:cs="Arial" w:eastAsia="Arial" w:hAnsi="Arial"/>
          <w:sz w:val="14"/>
          <w:szCs w:val="14"/>
          <w:b w:val="1"/>
          <w:bCs w:val="1"/>
          <w:color w:val="auto"/>
        </w:rPr>
        <w:t>(Principal Financial Officer)</w:t>
      </w:r>
    </w:p>
    <w:sectPr>
      <w:pgSz w:w="11900" w:h="16838" w:orient="portrait"/>
      <w:cols w:equalWidth="0" w:num="1">
        <w:col w:w="11240"/>
      </w:cols>
      <w:pgMar w:left="320" w:top="87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1)"/>
      <w:numFmt w:val="decimal"/>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1)"/>
      <w:numFmt w:val="decimal"/>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
      <w:numFmt w:val="bullet"/>
      <w:start w:val="1"/>
    </w:lvl>
  </w:abstractNum>
  <w:abstractNum w:abstractNumId="27">
    <w:nsid w:val="2D517796"/>
    <w:multiLevelType w:val="hybridMultilevel"/>
    <w:lvl w:ilvl="0">
      <w:lvlJc w:val="left"/>
      <w:lvlText w:val="(%1)"/>
      <w:numFmt w:val="lowerLetter"/>
      <w:start w:val="1"/>
    </w:lvl>
  </w:abstractNum>
  <w:abstractNum w:abstractNumId="28">
    <w:nsid w:val="580BD78F"/>
    <w:multiLevelType w:val="hybridMultilevel"/>
    <w:lvl w:ilvl="0">
      <w:lvlJc w:val="left"/>
      <w:lvlText w:val="(%1)"/>
      <w:numFmt w:val="decimal"/>
      <w:start w:val="1"/>
    </w:lvl>
  </w:abstractNum>
  <w:abstractNum w:abstractNumId="29">
    <w:nsid w:val="153EA438"/>
    <w:multiLevelType w:val="hybridMultilevel"/>
    <w:lvl w:ilvl="0">
      <w:lvlJc w:val="left"/>
      <w:lvlText w:val="%1."/>
      <w:numFmt w:val="decimal"/>
      <w:start w:val="1"/>
    </w:lvl>
  </w:abstractNum>
  <w:abstractNum w:abstractNumId="30">
    <w:nsid w:val="3855585C"/>
    <w:multiLevelType w:val="hybridMultilevel"/>
    <w:lvl w:ilvl="0">
      <w:lvlJc w:val="left"/>
      <w:lvlText w:val="•"/>
      <w:numFmt w:val="bullet"/>
      <w:start w:val="1"/>
    </w:lvl>
  </w:abstractNum>
  <w:abstractNum w:abstractNumId="31">
    <w:nsid w:val="70A64E2A"/>
    <w:multiLevelType w:val="hybridMultilevel"/>
    <w:lvl w:ilvl="0">
      <w:lvlJc w:val="left"/>
      <w:lvlText w:val="%1."/>
      <w:numFmt w:val="decimal"/>
      <w:start w:val="15"/>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1)"/>
      <w:numFmt w:val="decimal"/>
      <w:start w:val="1"/>
    </w:lvl>
  </w:abstractNum>
  <w:abstractNum w:abstractNumId="35">
    <w:nsid w:val="725A06FB"/>
    <w:multiLevelType w:val="hybridMultilevel"/>
    <w:lvl w:ilvl="0">
      <w:lvlJc w:val="left"/>
      <w:lvlText w:val="(%1)"/>
      <w:numFmt w:val="decimal"/>
      <w:start w:val="1"/>
    </w:lvl>
  </w:abstractNum>
  <w:abstractNum w:abstractNumId="36">
    <w:nsid w:val="2CD89A32"/>
    <w:multiLevelType w:val="hybridMultilevel"/>
    <w:lvl w:ilvl="0">
      <w:lvlJc w:val="left"/>
      <w:lvlText w:val="•"/>
      <w:numFmt w:val="bullet"/>
      <w:start w:val="1"/>
    </w:lvl>
  </w:abstractNum>
  <w:abstractNum w:abstractNumId="37">
    <w:nsid w:val="57E4CCAF"/>
    <w:multiLevelType w:val="hybridMultilevel"/>
    <w:lvl w:ilvl="0">
      <w:lvlJc w:val="left"/>
      <w:lvlText w:val="(%1)"/>
      <w:numFmt w:val="decimal"/>
      <w:start w:val="1"/>
    </w:lvl>
  </w:abstractNum>
  <w:abstractNum w:abstractNumId="38">
    <w:nsid w:val="7A6D8D3C"/>
    <w:multiLevelType w:val="hybridMultilevel"/>
    <w:lvl w:ilvl="0">
      <w:lvlJc w:val="left"/>
      <w:lvlText w:val="*"/>
      <w:numFmt w:val="bullet"/>
      <w:start w:val="1"/>
    </w:lvl>
  </w:abstractNum>
  <w:abstractNum w:abstractNumId="39">
    <w:nsid w:val="4B588F54"/>
    <w:multiLevelType w:val="hybridMultilevel"/>
    <w:lvl w:ilvl="0">
      <w:lvlJc w:val="left"/>
      <w:lvlText w:val="(%1)"/>
      <w:numFmt w:val="decimal"/>
      <w:start w:val="1"/>
    </w:lvl>
  </w:abstractNum>
  <w:abstractNum w:abstractNumId="40">
    <w:nsid w:val="542289EC"/>
    <w:multiLevelType w:val="hybridMultilevel"/>
    <w:lvl w:ilvl="0">
      <w:lvlJc w:val="left"/>
      <w:lvlText w:val="(%1)"/>
      <w:numFmt w:val="decimal"/>
      <w:start w:val="1"/>
    </w:lvl>
  </w:abstractNum>
  <w:abstractNum w:abstractNumId="41">
    <w:nsid w:val="6DE91B18"/>
    <w:multiLevelType w:val="hybridMultilevel"/>
    <w:lvl w:ilvl="0">
      <w:lvlJc w:val="left"/>
      <w:lvlText w:val="(%1)"/>
      <w:numFmt w:val="decimal"/>
      <w:start w:val="1"/>
    </w:lvl>
  </w:abstractNum>
  <w:abstractNum w:abstractNumId="42">
    <w:nsid w:val="38437FDB"/>
    <w:multiLevelType w:val="hybridMultilevel"/>
    <w:lvl w:ilvl="0">
      <w:lvlJc w:val="left"/>
      <w:lvlText w:val="•"/>
      <w:numFmt w:val="bullet"/>
      <w:start w:val="1"/>
    </w:lvl>
  </w:abstractNum>
  <w:abstractNum w:abstractNumId="43">
    <w:nsid w:val="7644A45C"/>
    <w:multiLevelType w:val="hybridMultilevel"/>
    <w:lvl w:ilvl="0">
      <w:lvlJc w:val="left"/>
      <w:lvlText w:val="(%1)"/>
      <w:numFmt w:val="decimal"/>
      <w:start w:val="1"/>
    </w:lvl>
  </w:abstractNum>
  <w:abstractNum w:abstractNumId="44">
    <w:nsid w:val="32FFF902"/>
    <w:multiLevelType w:val="hybridMultilevel"/>
    <w:lvl w:ilvl="0">
      <w:lvlJc w:val="left"/>
      <w:lvlText w:val="%1"/>
      <w:numFmt w:val="decimal"/>
      <w:start w:val="104"/>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
      <w:numFmt w:val="bullet"/>
      <w:start w:val="1"/>
    </w:lvl>
  </w:abstractNum>
  <w:abstractNum w:abstractNumId="49">
    <w:nsid w:val="1BA026FA"/>
    <w:multiLevelType w:val="hybridMultilevel"/>
    <w:lvl w:ilvl="0">
      <w:lvlJc w:val="left"/>
      <w:lvlText w:val="%1."/>
      <w:numFmt w:val="decimal"/>
      <w:start w:val="1"/>
    </w:lvl>
    <w:lvl w:ilvl="1">
      <w:lvlJc w:val="left"/>
      <w:lvlText w:val="%2."/>
      <w:numFmt w:val="decimal"/>
      <w:start w:val="1"/>
    </w:lvl>
  </w:abstractNum>
  <w:abstractNum w:abstractNumId="50">
    <w:nsid w:val="79A1DEAA"/>
    <w:multiLevelType w:val="hybridMultilevel"/>
    <w:lvl w:ilvl="0">
      <w:lvlJc w:val="left"/>
      <w:lvlText w:val="%1."/>
      <w:numFmt w:val="decimal"/>
      <w:start w:val="1"/>
    </w:lvl>
    <w:lvl w:ilvl="1">
      <w:lvlJc w:val="left"/>
      <w:lvlText w:val="%2."/>
      <w:numFmt w:val="decimal"/>
      <w:start w:val="1"/>
    </w:lvl>
  </w:abstractNum>
  <w:abstractNum w:abstractNumId="51">
    <w:nsid w:val="75C6C3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46" Type="http://schemas.openxmlformats.org/officeDocument/2006/relationships/image" Target="media/image124.png"/><Relationship Id="rId147" Type="http://schemas.openxmlformats.org/officeDocument/2006/relationships/image" Target="media/image125.png"/><Relationship Id="rId164" Type="http://schemas.openxmlformats.org/officeDocument/2006/relationships/image" Target="media/image126.png"/><Relationship Id="rId165" Type="http://schemas.openxmlformats.org/officeDocument/2006/relationships/image" Target="media/image127.png"/><Relationship Id="rId177" Type="http://schemas.openxmlformats.org/officeDocument/2006/relationships/image" Target="media/image128.png"/><Relationship Id="rId178" Type="http://schemas.openxmlformats.org/officeDocument/2006/relationships/image" Target="media/image129.png"/><Relationship Id="rId179" Type="http://schemas.openxmlformats.org/officeDocument/2006/relationships/image" Target="media/image130.png"/><Relationship Id="rId180" Type="http://schemas.openxmlformats.org/officeDocument/2006/relationships/image" Target="media/image131.png"/><Relationship Id="rId181" Type="http://schemas.openxmlformats.org/officeDocument/2006/relationships/image" Target="media/image132.png"/><Relationship Id="rId182" Type="http://schemas.openxmlformats.org/officeDocument/2006/relationships/image" Target="media/image133.png"/><Relationship Id="rId183" Type="http://schemas.openxmlformats.org/officeDocument/2006/relationships/image" Target="media/image134.png"/><Relationship Id="rId184" Type="http://schemas.openxmlformats.org/officeDocument/2006/relationships/image" Target="media/image135.png"/><Relationship Id="rId131" Type="http://schemas.openxmlformats.org/officeDocument/2006/relationships/hyperlink" Target="http://www.sec.gov/Archives/edgar/data/1604665/000119312514164760/d715499dex31.htm" TargetMode="External"/><Relationship Id="rId132" Type="http://schemas.openxmlformats.org/officeDocument/2006/relationships/hyperlink" Target="http://www.sec.gov/Archives/edgar/data/1604665/000119312514303305/d756630dex31.htm" TargetMode="External"/><Relationship Id="rId133" Type="http://schemas.openxmlformats.org/officeDocument/2006/relationships/hyperlink" Target="http://www.sec.gov/Archives/edgar/data/1604665/000119312517345554/d493400dex31.htm" TargetMode="External"/><Relationship Id="rId134" Type="http://schemas.openxmlformats.org/officeDocument/2006/relationships/hyperlink" Target="http://www.sec.gov/Archives/edgar/data/1604665/000119312518231463/d583758dex31.htm" TargetMode="External"/><Relationship Id="rId135" Type="http://schemas.openxmlformats.org/officeDocument/2006/relationships/hyperlink" Target="http://www.sec.gov/Archives/edgar/data/1604665/000119312514303305/d756630dex107.htm" TargetMode="External"/><Relationship Id="rId136" Type="http://schemas.openxmlformats.org/officeDocument/2006/relationships/hyperlink" Target="http://www.sec.gov/Archives/edgar/data/1604665/000160466518000007/ex3412311710k.htm" TargetMode="External"/><Relationship Id="rId137" Type="http://schemas.openxmlformats.org/officeDocument/2006/relationships/hyperlink" Target="http://www.sec.gov/Archives/edgar/data/1604665/000160466520000007/ex4112311910k.htm" TargetMode="External"/><Relationship Id="rId138" Type="http://schemas.openxmlformats.org/officeDocument/2006/relationships/hyperlink" Target="http://www.sec.gov/Archives/edgar/data/1262823/000119312506005830/dex41.htm" TargetMode="External"/><Relationship Id="rId139" Type="http://schemas.openxmlformats.org/officeDocument/2006/relationships/hyperlink" Target="http://www.sec.gov/Archives/edgar/data/1262823/000119312512303588/d381139dex42.htm" TargetMode="External"/><Relationship Id="rId140" Type="http://schemas.openxmlformats.org/officeDocument/2006/relationships/hyperlink" Target="http://www.sec.gov/Archives/edgar/data/1262823/000126282313000007/exhibit41612311210k.htm" TargetMode="External"/><Relationship Id="rId141" Type="http://schemas.openxmlformats.org/officeDocument/2006/relationships/hyperlink" Target="http://www.sec.gov/Archives/edgar/data/1262823/000119312516678207/d235680dex42.htm" TargetMode="External"/><Relationship Id="rId142" Type="http://schemas.openxmlformats.org/officeDocument/2006/relationships/hyperlink" Target="http://www.sec.gov/Archives/edgar/data/1262823/000119312517353189/d499857dex42.htm" TargetMode="External"/><Relationship Id="rId143" Type="http://schemas.openxmlformats.org/officeDocument/2006/relationships/hyperlink" Target="http://www.sec.gov/Archives/edgar/data/1262823/000119312517353189/d499857dex43.htm" TargetMode="External"/><Relationship Id="rId144" Type="http://schemas.openxmlformats.org/officeDocument/2006/relationships/hyperlink" Target="http://www.sec.gov/Archives/edgar/data/1604665/000119312519092653/d728262dex41.htm" TargetMode="External"/><Relationship Id="rId145" Type="http://schemas.openxmlformats.org/officeDocument/2006/relationships/hyperlink" Target="http://www.sec.gov/Archives/edgar/data/1262823/000119312519195643/d770084dex42.htm" TargetMode="External"/><Relationship Id="rId148" Type="http://schemas.openxmlformats.org/officeDocument/2006/relationships/hyperlink" Target="http://www.sec.gov/Archives/edgar/data/1262823/000119312519195643/d770084dex44.htm" TargetMode="External"/><Relationship Id="rId149" Type="http://schemas.openxmlformats.org/officeDocument/2006/relationships/hyperlink" Target="http://www.sec.gov/Archives/edgar/data/1262823/000119312520167137/d943281dex42.htm" TargetMode="External"/><Relationship Id="rId150" Type="http://schemas.openxmlformats.org/officeDocument/2006/relationships/hyperlink" Target="http://www.sec.gov/Archives/edgar/data/1262823/000119312521250937/d198475dex42.htm" TargetMode="External"/><Relationship Id="rId151" Type="http://schemas.openxmlformats.org/officeDocument/2006/relationships/hyperlink" Target="http://www.sec.gov/Archives/edgar/data/1604665/000119312514303305/d756630dex101.htm" TargetMode="External"/><Relationship Id="rId152" Type="http://schemas.openxmlformats.org/officeDocument/2006/relationships/hyperlink" Target="http://www.sec.gov/Archives/edgar/data/1604665/000119312514303305/d756630dex102.htm" TargetMode="External"/><Relationship Id="rId153" Type="http://schemas.openxmlformats.org/officeDocument/2006/relationships/hyperlink" Target="http://www.sec.gov/Archives/edgar/data/1604665/000119312514303305/d756630dex103.htm" TargetMode="External"/><Relationship Id="rId154" Type="http://schemas.openxmlformats.org/officeDocument/2006/relationships/hyperlink" Target="http://www.sec.gov/Archives/edgar/data/1604665/000119312514303305/d756630dex104.htm" TargetMode="External"/><Relationship Id="rId155" Type="http://schemas.openxmlformats.org/officeDocument/2006/relationships/hyperlink" Target="http://www.sec.gov/Archives/edgar/data/1604665/000119312514303305/d756630dex105.htm" TargetMode="External"/><Relationship Id="rId156" Type="http://schemas.openxmlformats.org/officeDocument/2006/relationships/hyperlink" Target="http://www.sec.gov/Archives/edgar/data/1604665/000119312514303305/d756630dex106.htm" TargetMode="External"/><Relationship Id="rId157" Type="http://schemas.openxmlformats.org/officeDocument/2006/relationships/hyperlink" Target="http://www.sec.gov/Archives/edgar/data/1604665/000119312514303305/d756630dex109.htm" TargetMode="External"/><Relationship Id="rId158" Type="http://schemas.openxmlformats.org/officeDocument/2006/relationships/hyperlink" Target="http://www.sec.gov/Archives/edgar/data/1604665/000160466520000007/ex10912311910k.htm" TargetMode="External"/><Relationship Id="rId159" Type="http://schemas.openxmlformats.org/officeDocument/2006/relationships/hyperlink" Target="http://www.sec.gov/Archives/edgar/data/1604665/000119312514303305/d756630dex108.htm" TargetMode="External"/><Relationship Id="rId160" Type="http://schemas.openxmlformats.org/officeDocument/2006/relationships/hyperlink" Target="http://www.sec.gov/Archives/edgar/data/1604665/000119312515162335/d919736dex101.htm" TargetMode="External"/><Relationship Id="rId161" Type="http://schemas.openxmlformats.org/officeDocument/2006/relationships/hyperlink" Target="http://www.sec.gov/Archives/edgar/data/1604665/000160466516000044/exhibit101_20160630.htm" TargetMode="External"/><Relationship Id="rId162" Type="http://schemas.openxmlformats.org/officeDocument/2006/relationships/hyperlink" Target="http://www.sec.gov/Archives/edgar/data/1604665/000160466517000008/ex102012311610k.htm" TargetMode="External"/><Relationship Id="rId163" Type="http://schemas.openxmlformats.org/officeDocument/2006/relationships/hyperlink" Target="http://www.sec.gov/Archives/edgar/data/1604665/000160466517000033/exhibit101_20170930.htm" TargetMode="External"/><Relationship Id="rId166" Type="http://schemas.openxmlformats.org/officeDocument/2006/relationships/hyperlink" Target="http://www.sec.gov/Archives/edgar/data/1604665/000160466517000025/exhibit101_20170630.htm" TargetMode="External"/><Relationship Id="rId167" Type="http://schemas.openxmlformats.org/officeDocument/2006/relationships/hyperlink" Target="http://www.sec.gov/Archives/edgar/data/1604665/000160466518000007/ex102412311710k.htm" TargetMode="External"/><Relationship Id="rId168" Type="http://schemas.openxmlformats.org/officeDocument/2006/relationships/hyperlink" Target="http://www.sec.gov/Archives/edgar/data/1604665/000160466520000015/exhibit10120200331.htm" TargetMode="External"/><Relationship Id="rId169" Type="http://schemas.openxmlformats.org/officeDocument/2006/relationships/hyperlink" Target="http://www.sec.gov/Archives/edgar/data/1604665/000160466518000007/ex101212311710k.htm" TargetMode="External"/><Relationship Id="rId170" Type="http://schemas.openxmlformats.org/officeDocument/2006/relationships/hyperlink" Target="http://www.sec.gov/Archives/edgar/data/1604665/000119312518294123/d633576dex11.htm" TargetMode="External"/><Relationship Id="rId171" Type="http://schemas.openxmlformats.org/officeDocument/2006/relationships/hyperlink" Target="http://www.sec.gov/Archives/edgar/data/1604665/000160466518000027/exhibit101_20180930.htm" TargetMode="External"/><Relationship Id="rId172" Type="http://schemas.openxmlformats.org/officeDocument/2006/relationships/hyperlink" Target="http://www.sec.gov/Archives/edgar/data/1604665/000160466518000027/exhibit102_20180930.htm" TargetMode="External"/><Relationship Id="rId173" Type="http://schemas.openxmlformats.org/officeDocument/2006/relationships/hyperlink" Target="http://www.sec.gov/Archives/edgar/data/0001604665/000119312519087399/d929398dex21.htm" TargetMode="External"/><Relationship Id="rId174" Type="http://schemas.openxmlformats.org/officeDocument/2006/relationships/hyperlink" Target="http://www.sec.gov/Archives/edgar/data/1604665/000160466520000007/ex102212311910k.htm" TargetMode="External"/><Relationship Id="rId175" Type="http://schemas.openxmlformats.org/officeDocument/2006/relationships/hyperlink" Target="http://www.sec.gov/Archives/edgar/data/1604665/000119312522195001/d278975dex101.htm" TargetMode="External"/><Relationship Id="rId176" Type="http://schemas.openxmlformats.org/officeDocument/2006/relationships/hyperlink" Target="http://www.sec.gov/Archives/edgar/data/1604665/000119312522195001/d278975dex1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2023-03-01T11:56:47Z</dcterms:created>
  <dcterms:modified xsi:type="dcterms:W3CDTF">2023-03-01T11:56:47Z</dcterms:modified>
</cp:coreProperties>
</file>