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24, 2026</w:t>
      </w: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37"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001-36567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32-0436529</w:t>
      </w:r>
    </w:p>
    <w:p>
      <w:pPr>
        <w:spacing w:after="0" w:line="26" w:lineRule="exact"/>
        <w:rPr>
          <w:sz w:val="24"/>
          <w:szCs w:val="24"/>
          <w:color w:val="auto"/>
        </w:rPr>
      </w:pPr>
    </w:p>
    <w:p>
      <w:pPr>
        <w:sectPr>
          <w:pgSz w:w="11900" w:h="16838" w:orient="portrait"/>
          <w:cols w:equalWidth="0" w:num="3">
            <w:col w:w="4480" w:space="720"/>
            <w:col w:w="3020" w:space="720"/>
            <w:col w:w="2300"/>
          </w:cols>
          <w:pgMar w:left="320" w:top="1037" w:right="339" w:bottom="1440" w:gutter="0" w:footer="0" w:header="0"/>
          <w:type w:val="continuous"/>
        </w:sect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020" w:space="720"/>
            <w:col w:w="3360" w:space="720"/>
            <w:col w:w="2420"/>
          </w:cols>
          <w:pgMar w:left="320" w:top="1037" w:right="339" w:bottom="1440" w:gutter="0" w:footer="0" w:header="0"/>
          <w:type w:val="continuous"/>
        </w:sectPr>
      </w:pPr>
    </w:p>
    <w:p>
      <w:pPr>
        <w:spacing w:after="0" w:line="25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2801 Post Oak Boulevard,</w:t>
      </w:r>
    </w:p>
    <w:p>
      <w:pPr>
        <w:spacing w:after="0" w:line="4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Houston,</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Suite 600</w:t>
      </w:r>
    </w:p>
    <w:p>
      <w:pPr>
        <w:spacing w:after="0" w:line="43"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77056</w:t>
      </w:r>
    </w:p>
    <w:p>
      <w:pPr>
        <w:spacing w:after="0" w:line="272" w:lineRule="exact"/>
        <w:rPr>
          <w:sz w:val="24"/>
          <w:szCs w:val="24"/>
          <w:color w:val="auto"/>
        </w:rPr>
      </w:pPr>
    </w:p>
    <w:p>
      <w:pPr>
        <w:sectPr>
          <w:pgSz w:w="11900" w:h="16838" w:orient="portrait"/>
          <w:cols w:equalWidth="0" w:num="3">
            <w:col w:w="4640" w:space="720"/>
            <w:col w:w="2840" w:space="720"/>
            <w:col w:w="2320"/>
          </w:cols>
          <w:pgMar w:left="320" w:top="1037" w:right="3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080" w:space="720"/>
            <w:col w:w="2440"/>
          </w:cols>
          <w:pgMar w:left="320" w:top="1037" w:right="339" w:bottom="1440" w:gutter="0" w:footer="0" w:header="0"/>
          <w:type w:val="continuous"/>
        </w:sectPr>
      </w:pP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585-2900</w:t>
      </w:r>
    </w:p>
    <w:p>
      <w:pPr>
        <w:spacing w:after="0" w:line="200" w:lineRule="exact"/>
        <w:rPr>
          <w:sz w:val="24"/>
          <w:szCs w:val="24"/>
          <w:color w:val="auto"/>
        </w:r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1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3"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69"/>
        </w:trPr>
        <w:tc>
          <w:tcPr>
            <w:tcW w:w="324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3340" w:type="dxa"/>
            <w:vAlign w:val="bottom"/>
            <w:tcBorders>
              <w:right w:val="single" w:sz="8" w:color="auto"/>
            </w:tcBorders>
          </w:tcPr>
          <w:p>
            <w:pPr>
              <w:spacing w:after="0"/>
              <w:rPr>
                <w:sz w:val="14"/>
                <w:szCs w:val="14"/>
                <w:color w:val="auto"/>
              </w:rPr>
            </w:pPr>
          </w:p>
        </w:tc>
        <w:tc>
          <w:tcPr>
            <w:tcW w:w="4620" w:type="dxa"/>
            <w:vAlign w:val="bottom"/>
            <w:tcBorders>
              <w:right w:val="single" w:sz="8" w:color="auto"/>
            </w:tcBorders>
          </w:tcPr>
          <w:p>
            <w:pPr>
              <w:spacing w:after="0"/>
              <w:rPr>
                <w:sz w:val="14"/>
                <w:szCs w:val="14"/>
                <w:color w:val="auto"/>
              </w:rPr>
            </w:pPr>
          </w:p>
        </w:tc>
      </w:tr>
      <w:tr>
        <w:trPr>
          <w:trHeight w:val="243"/>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WLKP</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306"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368300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394335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9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On February 24, 2026, Westlake Chemical Partners LP (the "Partnership") issued a press release announcing its 2025 fourth quarter and full year results. A copy of the press release is furnished with this Current Report as Exhibit 99.1.</w:t>
      </w:r>
    </w:p>
    <w:p>
      <w:pPr>
        <w:spacing w:after="0" w:line="10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Current Report, including Exhibit 99.1, shall not be deemed to be "filed" for the purposes of Section 18 of the Securities Exchange Act of 1934, as amended, and will not be incorporated by reference into any filing by Westlake Chemical Partners LP under the Securities Act of 1933, as amended, or the Securities Exchange Act of 1934, as amended, unless specifically identified as being incorporated therein.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Partnership is holding a conference call on February 24, 2026 to discuss its 2025 fourth quarter and full year results. Information about the call can be found in the press release furnished with this Current Report as Exhibit 99.1.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 Exhibits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104"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on February 24, 2026.</w:t>
      </w:r>
    </w:p>
    <w:p>
      <w:pPr>
        <w:spacing w:after="0" w:line="104"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8"/>
          <w:szCs w:val="18"/>
          <w:color w:val="auto"/>
        </w:rPr>
        <w:t>104</w:t>
        <w:tab/>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By: Westlake Chemical Partners GP LLC</w:t>
      </w:r>
    </w:p>
    <w:p>
      <w:pPr>
        <w:spacing w:after="0" w:line="23" w:lineRule="exact"/>
        <w:rPr>
          <w:sz w:val="20"/>
          <w:szCs w:val="20"/>
          <w:color w:val="auto"/>
        </w:rPr>
      </w:pPr>
    </w:p>
    <w:p>
      <w:pPr>
        <w:ind w:left="20"/>
        <w:spacing w:after="0"/>
        <w:tabs>
          <w:tab w:leader="none" w:pos="820" w:val="left"/>
          <w:tab w:leader="none" w:pos="5460" w:val="left"/>
          <w:tab w:leader="none" w:pos="7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JEAN-MARC GILSON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3463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6"/>
          <w:szCs w:val="16"/>
          <w:b w:val="1"/>
          <w:bCs w:val="1"/>
          <w:color w:val="auto"/>
        </w:rPr>
        <w:t>Jean-Marc Gilson</w:t>
      </w:r>
    </w:p>
    <w:p>
      <w:pPr>
        <w:jc w:val="center"/>
        <w:ind w:left="5720"/>
        <w:spacing w:after="0"/>
        <w:rPr>
          <w:sz w:val="20"/>
          <w:szCs w:val="20"/>
          <w:color w:val="auto"/>
        </w:rPr>
      </w:pPr>
      <w:r>
        <w:rPr>
          <w:rFonts w:ascii="Times New Roman" w:cs="Times New Roman" w:eastAsia="Times New Roman" w:hAnsi="Times New Roman"/>
          <w:sz w:val="16"/>
          <w:szCs w:val="16"/>
          <w:b w:val="1"/>
          <w:bCs w:val="1"/>
          <w:color w:val="auto"/>
        </w:rPr>
        <w:t>President, Chief Executive Officer and Director</w:t>
      </w:r>
    </w:p>
    <w:p>
      <w:pPr>
        <w:sectPr>
          <w:pgSz w:w="11900" w:h="16838" w:orient="portrait"/>
          <w:cols w:equalWidth="0" w:num="1">
            <w:col w:w="11240"/>
          </w:cols>
          <w:pgMar w:left="320" w:top="12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Contact—(713) 585-2900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Investors—Steve Bender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 Benjamin Ederington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Westlake Chemical Partners LP Announces Fourth Quarter and Full Year 2025 Results</w:t>
      </w:r>
    </w:p>
    <w:p>
      <w:pPr>
        <w:spacing w:after="0" w:line="71"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fourth quarter coverage ratio of 1.13x following the completion of the Petro 1 turnaround</w:t>
      </w:r>
    </w:p>
    <w:p>
      <w:pPr>
        <w:spacing w:after="0" w:line="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quarterly distribution of $0.4714 per unit; 46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consecutive quarterly distribution</w:t>
      </w:r>
    </w:p>
    <w:p>
      <w:pPr>
        <w:spacing w:after="0" w:line="6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HOUSTON--(BUSINESS WIRE)--Westlake Chemical Partners LP (NYSE: WLKP) (the "Partnership") today reported net income attributable to the Partnership in the fourth quarter of 2025 of $14.5 million, or $0.41 per limited partner unit, which was relatively in line with fourth quarter 2024 net income of $15.0 million. Cash flows from operating activities in the fourth quarter of 2025 were $120.4 million, a decrease of $12.1 million compared to fourth quarter 2024 cash flows from operating activities of $132.5 million, due to lower net income and less favorable working capital changes. For the three months ended December 31, 2025, MLP distributable cash flow was $18.8 million providing a quarterly coverage ratio of 1.13x. The increase in MLP distributable cash flow of $3.8 million compared to the fourth quarter of 2024 was primarily due to lower maintenance capital expenditures due to a shift in the timing of spending to earlier in the year.</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Fourth quarter 2025 net income attributable to the Partnership of $14.5 million was relatively in line with third quarter 2025 net income attributable to the Partnership of $14.7 million. Fourth quarter 2025 cash flows from operating activities of $120.4 million increased by $15.2 million compared to third quarter 2025 cash flows from operating activities of $105.2 million primarily due to more favorable working capital changes. Fourth quarter 2025 MLP distributable cash flow of $18.8 million increased by $3.9 million compared to third quarter 2025 MLP distributable cash flow of $14.9 million, primarily due to lower maintenance capital expenditures.</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the full year 2025, net income attributable to the Partnership of $48.7 million, or $1.38 per limited partner unit, decreased by $13.7 million compared to full year 2024 net income attributable to the Partnership of $62.4 million. The decrease in net income attributable to the Partnership was primarily due to lower production and sales volume as a result of the planned Petro 1 turnaround. Cash flows from operating activities for the full year 2025 were $280.5 million, a decrease of $204.5 million compared to the full year 2024 cash flows from operating activities of $485.0 million. This decrease in cash flows from operating activities was primarily due to cash expenditures for the Petro 1 turnaround that was completed in the second quarter of 2025 and lower net income. For the year ended December 31, 2025, MLP distributable cash flow was $53.4 million, a decrease of $13.5 million compared to MLP distributable cash flow of $66.9 million for the year ended December 31, 2024.</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Partnership ended 2025 with our highest quarterly coverage ratio since the fourth quarter of 2022 due to solid production and sales volume and shifts in the timing of capital spending throughout the year," said Jean-Marc Gilson, President and Chief Executive Officer. "Looking ahead to 2026, the Partnership is positioned for increased production and sales volume with no planned turnarounds following the completion of the Petro 1 turnaround in 2025. We expect the higher production and sales volume to result in improvement in our coverage ratio in 2026, as is typical in years following turnarounds."</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27, 2026, the Partnership announced that the Board of Directors of Westlake Chemical Partners GP LLC had approved a quarterly distribution for the fourth quarter of 2025 of $0.4714 per unit, which was paid on February 23, 2026, to unitholders of record as of February 6, 2026, representing the 46th consecutive quarterly distribution to the Partnership's unitholders. MLP distributable cash flow provided trailing twelve-month coverage of 0.80x the declared distributions for the fourth quarter of 2025, which was an increase from the trailing twelve-month coverage ratio of 0.75x at the end of the third quarter of 2025.</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OpCo's Ethylene Sales Agreement with Westlake is designed to provide for stable and predictable cash flows. The agreement provides that 95% of OpCo's ethylene production is sold to Westlake for a cash margin of $0.10 per pound, net of operating costs, maintenance capital expenditures and reserves for future turnaround expenditures.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887" w:right="339" w:bottom="1440" w:gutter="0" w:footer="0" w:header="0"/>
        </w:sectPr>
      </w:pPr>
    </w:p>
    <w:bookmarkStart w:id="5" w:name="page6"/>
    <w:bookmarkEnd w:id="5"/>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The statements in this release and the related teleconference relating to matters that are not historical facts, such as those with respect to the results of our turnaround activities, including the Petro 1 turnaround, our 2026 production and sales volume, our 2026 coverage ratio, the ability to deliver value, returns, predictable cash flows and distributions to unitholders, our relationship with Westlake and the benefits of the ethylene sales agreement with Westlake, are forward-looking statements. These forward-looking statements are subject to significant risks and uncertainties. Actual results could differ materially, based on factors including, but not limited to: operating difficulties or disruptions; the volume of ethylene that we are able to sell; the price at which we are able to sell ethylene; changes in the price and availability of feedstocks; changes in prevailing economic conditions; actions and commitments of Westlake, including determinations made pursuant to contractual arrangements with Westlake; the effects of legal proceedings; actions of third parties; inclement or hazardous weather conditions; environmental hazards; changes in laws and regulations (or the interpretation thereof); inability to acquire or maintain necessary permits; inability to obtain necessary production equipment or replacement parts; technical difficulties or failures; labor disputes; inability of our customers to take delivery; fires, explosions or other industrial accidents; our ability to borrow funds and access capital markets; and other risk factors. For more detailed information about the factors that could cause actual results to differ materially, please refer to the Partnership's Annual Report on Form 10-K for the year ended December 31, 2024, which was filed with the SEC in March 2025, and Quarterly Report on Form 10-Q for the quarter ended September 30, 2025, which was filed with the SEC in October 2025.</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This release is intended to be a qualified notice under Treasury Regulation Section 1.1446-4(b). Brokers and nominees should treat one hundred percent (100.0%) of the Partnership's distributions to non-U.S. investors as being attributable to income that is effectively connected with a United States trade or business. Accordingly, the Partnership's distributions to non-U.S. investors are subject to federal income tax withholding at the highest applicable effective tax 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Non-GAAP Financial Measures</w:t>
      </w:r>
    </w:p>
    <w:p>
      <w:pPr>
        <w:spacing w:after="0" w:line="10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release makes reference to certain "non-GAAP" financial measures, such as MLP distributable cash flow, coverage ratio and EBITDA.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U.S. generally accepted accounting principles ("U.S. GAAP") in the statement of operations, balance sheet or statement of cash flows (or equivalent statements) of the registrant; or (2) includes amounts, or is subject to adjustments that have the effect of including amounts, that are excluded from the most directly comparable measure so calculated and presented. We report our financial results in accordance with U.S. GAAP, but believe that certain non-GAAP financial measures, such as MLP distributable cash flow, coverage ratio and EBITDA, provide useful supplemental information to investors regarding the underlying business trends and performance of our ongoing operations and are useful for period-over-period comparisons of such operations. These non-GAAP financial measures should be considered as a supplement to, and not as a substitute for, or superior to, the financial measures prepared in accordance with U.S. GAAP. We define MLP distributable cash flow as distributable cash flow less distributable cash flow attributable to Westlake Corporation's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coverage ratio and EBITDA are non-GAAP supplemental financial measures that management and external users of our consolidated financial statements, such as industry analysts, investors, lenders and rating agencies, may use to assess our operating performance as compared to other publicly traded partnerships, our ability to incur and service debt and fund capital expenditures and the viability of acquisitions and other capital expenditure projects and the returns on investment of various investment opportunities. Reconciliations of MLP distributable cash flow to net income and to net cash provided by operating activities and of EBITDA to net income, income from operations and net cash provided by operating activities can be found in the financial schedules at the end of this press release.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Westlake Chemical Partners LP</w:t>
      </w:r>
    </w:p>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Westlake Chemical Partners is a limited partnership formed by Westlake Corporation to operate, acquire and develop ethylene production facilities and other qualified assets. Headquartered in Houston, the Partnership owns a 22.8% interest in Westlake Chemical OpCo LP. Westlake Chemical OpCo LP's assets consist of three ethylene production facilities in Calvert City, Kentucky, and Lake Charles, Louisiana, and an ethylene pipeline. For more information about Westlake Chemical Partners LP, please visit </w:t>
      </w:r>
      <w:r>
        <w:rPr>
          <w:rFonts w:ascii="Times New Roman" w:cs="Times New Roman" w:eastAsia="Times New Roman" w:hAnsi="Times New Roman"/>
          <w:sz w:val="18"/>
          <w:szCs w:val="18"/>
          <w:color w:val="0000FF"/>
        </w:rPr>
        <w:t>http://www.wlkpartners.com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98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Westlake Chemical Partners LP Conference Call Information:</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A conference call to discuss Westlake Chemical Partners' fourth quarter and full year 2025 results will be held Tuesday, February 24th, 2026 at 1:00 PM Eastern Time (12:00 PM Central Time). To access the conference call, please register at: </w:t>
      </w:r>
      <w:r>
        <w:rPr>
          <w:rFonts w:ascii="Times New Roman" w:cs="Times New Roman" w:eastAsia="Times New Roman" w:hAnsi="Times New Roman"/>
          <w:sz w:val="18"/>
          <w:szCs w:val="18"/>
          <w:color w:val="0000FF"/>
        </w:rPr>
        <w:t>https://register-conf.media-server.com/register/BI75a6b835bd404a6196626a29eaf3bd8f</w:t>
      </w:r>
      <w:r>
        <w:rPr>
          <w:rFonts w:ascii="Times New Roman" w:cs="Times New Roman" w:eastAsia="Times New Roman" w:hAnsi="Times New Roman"/>
          <w:sz w:val="18"/>
          <w:szCs w:val="18"/>
          <w:color w:val="000000"/>
        </w:rPr>
        <w:t>. A dial-in will be provided upon registration.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conference call will also be available via webcast at: </w:t>
      </w:r>
      <w:r>
        <w:rPr>
          <w:rFonts w:ascii="Times New Roman" w:cs="Times New Roman" w:eastAsia="Times New Roman" w:hAnsi="Times New Roman"/>
          <w:sz w:val="17"/>
          <w:szCs w:val="17"/>
          <w:color w:val="0000FF"/>
        </w:rPr>
        <w:t>https://edge.media-server.com/mmc/p/tvh9ufjk</w:t>
      </w:r>
      <w:r>
        <w:rPr>
          <w:rFonts w:ascii="Times New Roman" w:cs="Times New Roman" w:eastAsia="Times New Roman" w:hAnsi="Times New Roman"/>
          <w:sz w:val="17"/>
          <w:szCs w:val="17"/>
          <w:color w:val="auto"/>
        </w:rPr>
        <w:t xml:space="preserve"> and the earnings release can be obtained via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Partnership web page at: </w:t>
      </w:r>
      <w:r>
        <w:rPr>
          <w:rFonts w:ascii="Times New Roman" w:cs="Times New Roman" w:eastAsia="Times New Roman" w:hAnsi="Times New Roman"/>
          <w:sz w:val="18"/>
          <w:szCs w:val="18"/>
          <w:color w:val="0000FF"/>
        </w:rPr>
        <w:t>https://investors.wlkpartners.com/corporate-profile/default.aspx.</w:t>
      </w: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00"/>
          </w:cols>
          <w:pgMar w:left="320" w:top="1147" w:right="579" w:bottom="1440" w:gutter="0" w:footer="0" w:header="0"/>
        </w:sectPr>
      </w:pPr>
    </w:p>
    <w:bookmarkStart w:id="7" w:name="page8"/>
    <w:bookmarkEnd w:id="7"/>
    <w:p>
      <w:pPr>
        <w:ind w:left="2740"/>
        <w:spacing w:after="0"/>
        <w:rPr>
          <w:sz w:val="20"/>
          <w:szCs w:val="20"/>
          <w:color w:val="auto"/>
        </w:rPr>
      </w:pPr>
      <w:r>
        <w:rPr>
          <w:rFonts w:ascii="Times New Roman" w:cs="Times New Roman" w:eastAsia="Times New Roman" w:hAnsi="Times New Roman"/>
          <w:sz w:val="18"/>
          <w:szCs w:val="18"/>
          <w:b w:val="1"/>
          <w:bCs w:val="1"/>
          <w:color w:val="auto"/>
        </w:rPr>
        <w:t>WESTLAKE CHEMICAL PARTNERS LP ("WESTLAKE PARTNERS")</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6"/>
                <w:szCs w:val="16"/>
                <w:color w:val="auto"/>
              </w:rPr>
            </w:pPr>
          </w:p>
        </w:tc>
        <w:tc>
          <w:tcPr>
            <w:tcW w:w="27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of dollars, except per unit data)</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sales—Westlake Corporation ("Westlake")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296,880</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260,266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950,801</w:t>
            </w:r>
          </w:p>
        </w:tc>
      </w:tr>
      <w:tr>
        <w:trPr>
          <w:trHeight w:val="229"/>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1,135,896</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716,957</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418,939</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390,444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(25,701)</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369,994</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369,159</w:t>
            </w:r>
          </w:p>
        </w:tc>
      </w:tr>
      <w:tr>
        <w:trPr>
          <w:trHeight w:val="176"/>
        </w:trPr>
        <w:tc>
          <w:tcPr>
            <w:tcW w:w="52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 in</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Westlake Chemical OpCo LP ("OpCo")</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306,767</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Partners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14,539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62,392</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per limited partner unit attributable to Westlake Partners</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2"/>
        </w:trPr>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units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declared per unit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declared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Limited partner units—publicly and privately held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39,809</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Limited partner units—Westlake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26,628</w:t>
            </w:r>
          </w:p>
        </w:tc>
      </w:tr>
      <w:tr>
        <w:trPr>
          <w:trHeight w:val="223"/>
        </w:trPr>
        <w:tc>
          <w:tcPr>
            <w:tcW w:w="5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distributions declared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66,437</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507,594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00"/>
          </w:cols>
          <w:pgMar w:left="340" w:top="1130" w:right="359" w:bottom="1440" w:gutter="0" w:footer="0" w:header="0"/>
        </w:sectPr>
      </w:pPr>
    </w:p>
    <w:bookmarkStart w:id="8" w:name="page9"/>
    <w:bookmarkEnd w:id="8"/>
    <w:p>
      <w:pPr>
        <w:ind w:left="392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7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24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134,557</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903,588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143,442</w:t>
            </w:r>
          </w:p>
        </w:tc>
      </w:tr>
      <w:tr>
        <w:trPr>
          <w:trHeight w:val="223"/>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1,256,533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4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(accounts payable and accrued and other liabilities)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223"/>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454,181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458,642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unitholders—publicly and privately held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unitholder—Westlake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r>
      <w:tr>
        <w:trPr>
          <w:trHeight w:val="223"/>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Westlake Partners partners' capital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276,129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OpCo</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543,816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553,185</w:t>
            </w:r>
          </w:p>
        </w:tc>
      </w:tr>
      <w:tr>
        <w:trPr>
          <w:trHeight w:val="223"/>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802,352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829,314</w:t>
            </w:r>
          </w:p>
        </w:tc>
      </w:tr>
      <w:tr>
        <w:trPr>
          <w:trHeight w:val="248"/>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1,287,956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00"/>
          </w:cols>
          <w:pgMar w:left="340" w:top="1130" w:right="359" w:bottom="1440" w:gutter="0" w:footer="0" w:header="0"/>
        </w:sectPr>
      </w:pPr>
    </w:p>
    <w:bookmarkStart w:id="9" w:name="page10"/>
    <w:bookmarkEnd w:id="9"/>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111,899</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on disposition and 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balance sheet changes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485,001</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(88,971)</w:t>
            </w: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(329,898)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(66,435)</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(396,333)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20"/>
          </w:cols>
          <w:pgMar w:left="320" w:top="1130" w:right="359" w:bottom="1440" w:gutter="0" w:footer="0" w:header="0"/>
        </w:sectPr>
      </w:pPr>
    </w:p>
    <w:bookmarkStart w:id="10" w:name="page11"/>
    <w:bookmarkEnd w:id="10"/>
    <w:p>
      <w:pPr>
        <w:ind w:left="390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7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RECONCILIATION OF MLP DISTRIBUTABLE CASH FLOW TO NET INCOME</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AND NET CASH PROVIDED BY OPERATING ACTIVITIES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80"/>
          </w:cols>
          <w:pgMar w:left="360" w:top="1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31" w:lineRule="exact"/>
        <w:rPr>
          <w:sz w:val="20"/>
          <w:szCs w:val="20"/>
          <w:color w:val="auto"/>
        </w:rPr>
      </w:pPr>
    </w:p>
    <w:p>
      <w:pPr>
        <w:ind w:left="500" w:right="60" w:hanging="161"/>
        <w:spacing w:after="0" w:line="234" w:lineRule="auto"/>
        <w:rPr>
          <w:sz w:val="20"/>
          <w:szCs w:val="20"/>
          <w:color w:val="auto"/>
        </w:rPr>
      </w:pPr>
      <w:r>
        <w:rPr>
          <w:rFonts w:ascii="Times New Roman" w:cs="Times New Roman" w:eastAsia="Times New Roman" w:hAnsi="Times New Roman"/>
          <w:sz w:val="18"/>
          <w:szCs w:val="18"/>
          <w:color w:val="auto"/>
        </w:rPr>
        <w:t>Changes in operating assets and liabilities and other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w:t>
      </w:r>
    </w:p>
    <w:p>
      <w:pPr>
        <w:spacing w:after="0" w:line="23" w:lineRule="exact"/>
        <w:rPr>
          <w:sz w:val="20"/>
          <w:szCs w:val="20"/>
          <w:color w:val="auto"/>
        </w:rPr>
      </w:pPr>
    </w:p>
    <w:p>
      <w:pPr>
        <w:ind w:left="500" w:hanging="161"/>
        <w:spacing w:after="0" w:line="253" w:lineRule="auto"/>
        <w:rPr>
          <w:sz w:val="20"/>
          <w:szCs w:val="20"/>
          <w:color w:val="auto"/>
        </w:rPr>
      </w:pPr>
      <w:r>
        <w:rPr>
          <w:rFonts w:ascii="Times New Roman" w:cs="Times New Roman" w:eastAsia="Times New Roman" w:hAnsi="Times New Roman"/>
          <w:sz w:val="17"/>
          <w:szCs w:val="17"/>
          <w:color w:val="auto"/>
        </w:rPr>
        <w:t>Depreciation, amortization and disposition of property, plant and equipment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27" w:lineRule="exact"/>
        <w:rPr>
          <w:sz w:val="20"/>
          <w:szCs w:val="20"/>
          <w:color w:val="auto"/>
        </w:rPr>
      </w:pPr>
    </w:p>
    <w:p>
      <w:pPr>
        <w:ind w:left="340" w:right="500"/>
        <w:spacing w:after="0" w:line="281" w:lineRule="auto"/>
        <w:rPr>
          <w:sz w:val="20"/>
          <w:szCs w:val="20"/>
          <w:color w:val="auto"/>
        </w:rPr>
      </w:pPr>
      <w:r>
        <w:rPr>
          <w:rFonts w:ascii="Times New Roman" w:cs="Times New Roman" w:eastAsia="Times New Roman" w:hAnsi="Times New Roman"/>
          <w:sz w:val="17"/>
          <w:szCs w:val="17"/>
          <w:color w:val="auto"/>
        </w:rPr>
        <w:t>Contribution to turnaround reserves Maintenance capital expenditures</w:t>
      </w:r>
    </w:p>
    <w:p>
      <w:pPr>
        <w:spacing w:after="0" w:line="1" w:lineRule="exact"/>
        <w:rPr>
          <w:sz w:val="20"/>
          <w:szCs w:val="20"/>
          <w:color w:val="auto"/>
        </w:rPr>
      </w:pPr>
    </w:p>
    <w:p>
      <w:pPr>
        <w:ind w:left="500" w:right="340" w:hanging="161"/>
        <w:spacing w:after="0" w:line="234" w:lineRule="auto"/>
        <w:rPr>
          <w:sz w:val="20"/>
          <w:szCs w:val="20"/>
          <w:color w:val="auto"/>
        </w:rPr>
      </w:pPr>
      <w:r>
        <w:rPr>
          <w:rFonts w:ascii="Times New Roman" w:cs="Times New Roman" w:eastAsia="Times New Roman" w:hAnsi="Times New Roman"/>
          <w:sz w:val="18"/>
          <w:szCs w:val="18"/>
          <w:color w:val="auto"/>
        </w:rPr>
        <w:t>Distributable cash flow attributable to noncontrolling interest in OpCo</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8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3"/>
                <w:szCs w:val="13"/>
                <w:color w:val="auto"/>
              </w:rPr>
            </w:pPr>
          </w:p>
        </w:tc>
        <w:tc>
          <w:tcPr>
            <w:tcW w:w="2720" w:type="dxa"/>
            <w:vAlign w:val="bottom"/>
            <w:gridSpan w:val="4"/>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7"/>
                <w:szCs w:val="17"/>
                <w:color w:val="auto"/>
              </w:rPr>
            </w:pPr>
          </w:p>
        </w:tc>
        <w:tc>
          <w:tcPr>
            <w:tcW w:w="282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105,238</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132,469</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280,469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485,001</w:t>
            </w:r>
          </w:p>
        </w:tc>
        <w:tc>
          <w:tcPr>
            <w:tcW w:w="0" w:type="dxa"/>
            <w:vAlign w:val="bottom"/>
          </w:tcPr>
          <w:p>
            <w:pPr>
              <w:spacing w:after="0"/>
              <w:rPr>
                <w:sz w:val="1"/>
                <w:szCs w:val="1"/>
                <w:color w:val="auto"/>
              </w:rPr>
            </w:pPr>
          </w:p>
        </w:tc>
      </w:tr>
      <w:tr>
        <w:trPr>
          <w:trHeight w:val="418"/>
        </w:trPr>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(115,842)</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298,576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0" w:type="dxa"/>
            <w:vAlign w:val="bottom"/>
          </w:tcPr>
          <w:p>
            <w:pPr>
              <w:spacing w:after="0"/>
              <w:rPr>
                <w:sz w:val="1"/>
                <w:szCs w:val="1"/>
                <w:color w:val="auto"/>
              </w:rPr>
            </w:pPr>
          </w:p>
        </w:tc>
      </w:tr>
      <w:tr>
        <w:trPr>
          <w:trHeight w:val="628"/>
        </w:trPr>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114,244</w:t>
            </w:r>
          </w:p>
        </w:tc>
        <w:tc>
          <w:tcPr>
            <w:tcW w:w="0" w:type="dxa"/>
            <w:vAlign w:val="bottom"/>
          </w:tcPr>
          <w:p>
            <w:pPr>
              <w:spacing w:after="0"/>
              <w:rPr>
                <w:sz w:val="1"/>
                <w:szCs w:val="1"/>
                <w:color w:val="auto"/>
              </w:rPr>
            </w:pPr>
          </w:p>
        </w:tc>
      </w:tr>
      <w:tr>
        <w:trPr>
          <w:trHeight w:val="454"/>
        </w:trPr>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(43,880)</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0" w:type="dxa"/>
            <w:vAlign w:val="bottom"/>
          </w:tcPr>
          <w:p>
            <w:pPr>
              <w:spacing w:after="0"/>
              <w:rPr>
                <w:sz w:val="1"/>
                <w:szCs w:val="1"/>
                <w:color w:val="auto"/>
              </w:rPr>
            </w:pPr>
          </w:p>
        </w:tc>
      </w:tr>
      <w:tr>
        <w:trPr>
          <w:trHeight w:val="418"/>
        </w:trPr>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(265,812)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(321,928)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66,864</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-1868170</wp:posOffset>
            </wp:positionV>
            <wp:extent cx="710628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-1456690</wp:posOffset>
            </wp:positionV>
            <wp:extent cx="710628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-1156335</wp:posOffset>
            </wp:positionV>
            <wp:extent cx="7106285"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-744855</wp:posOffset>
            </wp:positionV>
            <wp:extent cx="710628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-453390</wp:posOffset>
            </wp:positionV>
            <wp:extent cx="7106285"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260"/>
            <w:col w:w="7520"/>
          </w:cols>
          <w:pgMar w:left="360" w:top="1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80"/>
          </w:cols>
          <w:pgMar w:left="360" w:top="1130" w:right="359" w:bottom="1440" w:gutter="0" w:footer="0" w:header="0"/>
          <w:type w:val="continuous"/>
        </w:sectPr>
      </w:pPr>
    </w:p>
    <w:bookmarkStart w:id="11" w:name="page12"/>
    <w:bookmarkEnd w:id="11"/>
    <w:p>
      <w:pPr>
        <w:ind w:left="390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8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3"/>
                <w:szCs w:val="13"/>
                <w:color w:val="auto"/>
              </w:rPr>
            </w:pPr>
          </w:p>
        </w:tc>
        <w:tc>
          <w:tcPr>
            <w:tcW w:w="2720" w:type="dxa"/>
            <w:vAlign w:val="bottom"/>
            <w:gridSpan w:val="4"/>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7"/>
                <w:szCs w:val="17"/>
                <w:color w:val="auto"/>
              </w:rPr>
            </w:pPr>
          </w:p>
        </w:tc>
        <w:tc>
          <w:tcPr>
            <w:tcW w:w="282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485,001</w:t>
            </w:r>
          </w:p>
        </w:tc>
        <w:tc>
          <w:tcPr>
            <w:tcW w:w="0" w:type="dxa"/>
            <w:vAlign w:val="bottom"/>
          </w:tcPr>
          <w:p>
            <w:pPr>
              <w:spacing w:after="0"/>
              <w:rPr>
                <w:sz w:val="1"/>
                <w:szCs w:val="1"/>
                <w:color w:val="auto"/>
              </w:rPr>
            </w:pPr>
          </w:p>
        </w:tc>
      </w:tr>
      <w:tr>
        <w:trPr>
          <w:trHeight w:val="176"/>
        </w:trPr>
        <w:tc>
          <w:tcPr>
            <w:tcW w:w="36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and other</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(115,842)</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29"/>
        </w:trPr>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390,444</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111,899</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126,075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124,513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507,594</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viii</w:t>
      </w:r>
    </w:p>
    <w:sectPr>
      <w:pgSz w:w="11900" w:h="16838" w:orient="portrait"/>
      <w:cols w:equalWidth="0" w:num="1">
        <w:col w:w="11180"/>
      </w:cols>
      <w:pgMar w:left="360" w:top="113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2026-02-24T06:27:25Z</dcterms:created>
  <dcterms:modified xsi:type="dcterms:W3CDTF">2026-02-24T06:27:25Z</dcterms:modified>
</cp:coreProperties>
</file>