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4"/>
          <w:szCs w:val="24"/>
          <w:color w:val="auto"/>
        </w:rPr>
      </w:pP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158750</wp:posOffset>
            </wp:positionV>
            <wp:extent cx="3370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127000</wp:posOffset>
            </wp:positionV>
            <wp:extent cx="3370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3" w:lineRule="exact"/>
        <w:rPr>
          <w:sz w:val="24"/>
          <w:szCs w:val="24"/>
          <w:color w:val="auto"/>
        </w:rPr>
      </w:pPr>
    </w:p>
    <w:p>
      <w:pPr>
        <w:ind w:left="720"/>
        <w:spacing w:after="0"/>
        <w:tabs>
          <w:tab w:leader="none" w:pos="390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6"/>
          <w:szCs w:val="16"/>
          <w:b w:val="1"/>
          <w:bCs w:val="1"/>
          <w:color w:val="auto"/>
        </w:rPr>
        <w:t>December 31, 2019</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ind w:left="720" w:hanging="685"/>
        <w:spacing w:after="0" w:line="213"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72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001-36567</w:t>
      </w:r>
    </w:p>
    <w:p>
      <w:pPr>
        <w:spacing w:after="0" w:line="29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Westlake Chemical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-302895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90805</wp:posOffset>
            </wp:positionV>
            <wp:extent cx="3370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840" w:type="dxa"/>
            <w:vAlign w:val="bottom"/>
            <w:gridSpan w:val="3"/>
          </w:tcPr>
          <w:p>
            <w:pPr>
              <w:jc w:val="center"/>
              <w:ind w:left="1697"/>
              <w:spacing w:after="0"/>
              <w:rPr>
                <w:sz w:val="20"/>
                <w:szCs w:val="20"/>
                <w:color w:val="auto"/>
              </w:rPr>
            </w:pPr>
            <w:r>
              <w:rPr>
                <w:rFonts w:ascii="Arial" w:cs="Arial" w:eastAsia="Arial" w:hAnsi="Arial"/>
                <w:sz w:val="18"/>
                <w:szCs w:val="18"/>
                <w:b w:val="1"/>
                <w:bCs w:val="1"/>
                <w:color w:val="auto"/>
                <w:w w:val="93"/>
              </w:rPr>
              <w:t>Delaware</w:t>
            </w:r>
          </w:p>
        </w:tc>
        <w:tc>
          <w:tcPr>
            <w:tcW w:w="2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00" w:type="dxa"/>
            <w:vAlign w:val="bottom"/>
            <w:gridSpan w:val="3"/>
          </w:tcPr>
          <w:p>
            <w:pPr>
              <w:jc w:val="center"/>
              <w:ind w:left="61"/>
              <w:spacing w:after="0"/>
              <w:rPr>
                <w:sz w:val="20"/>
                <w:szCs w:val="20"/>
                <w:color w:val="auto"/>
              </w:rPr>
            </w:pPr>
            <w:r>
              <w:rPr>
                <w:rFonts w:ascii="Arial" w:cs="Arial" w:eastAsia="Arial" w:hAnsi="Arial"/>
                <w:sz w:val="18"/>
                <w:szCs w:val="18"/>
                <w:b w:val="1"/>
                <w:bCs w:val="1"/>
                <w:color w:val="auto"/>
                <w:w w:val="91"/>
              </w:rPr>
              <w:t>32-0436529</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840" w:type="dxa"/>
            <w:vAlign w:val="bottom"/>
            <w:gridSpan w:val="3"/>
          </w:tcPr>
          <w:p>
            <w:pPr>
              <w:jc w:val="center"/>
              <w:ind w:left="1697"/>
              <w:spacing w:after="0"/>
              <w:rPr>
                <w:sz w:val="20"/>
                <w:szCs w:val="20"/>
                <w:color w:val="auto"/>
              </w:rPr>
            </w:pPr>
            <w:r>
              <w:rPr>
                <w:rFonts w:ascii="Arial" w:cs="Arial" w:eastAsia="Arial" w:hAnsi="Arial"/>
                <w:sz w:val="14"/>
                <w:szCs w:val="14"/>
                <w:b w:val="1"/>
                <w:bCs w:val="1"/>
                <w:color w:val="auto"/>
                <w:w w:val="92"/>
              </w:rPr>
              <w:t>(State or other jurisdiction of</w:t>
            </w:r>
          </w:p>
        </w:tc>
        <w:tc>
          <w:tcPr>
            <w:tcW w:w="2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00" w:type="dxa"/>
            <w:vAlign w:val="bottom"/>
            <w:gridSpan w:val="3"/>
          </w:tcPr>
          <w:p>
            <w:pPr>
              <w:jc w:val="center"/>
              <w:ind w:left="61"/>
              <w:spacing w:after="0"/>
              <w:rPr>
                <w:sz w:val="20"/>
                <w:szCs w:val="20"/>
                <w:color w:val="auto"/>
              </w:rPr>
            </w:pPr>
            <w:r>
              <w:rPr>
                <w:rFonts w:ascii="Arial" w:cs="Arial" w:eastAsia="Arial" w:hAnsi="Arial"/>
                <w:sz w:val="14"/>
                <w:szCs w:val="14"/>
                <w:b w:val="1"/>
                <w:bCs w:val="1"/>
                <w:color w:val="auto"/>
                <w:w w:val="96"/>
              </w:rPr>
              <w:t>(I.R.S. Employer</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gridSpan w:val="3"/>
          </w:tcPr>
          <w:p>
            <w:pPr>
              <w:jc w:val="center"/>
              <w:ind w:left="1697"/>
              <w:spacing w:after="0"/>
              <w:rPr>
                <w:sz w:val="20"/>
                <w:szCs w:val="20"/>
                <w:color w:val="auto"/>
              </w:rPr>
            </w:pPr>
            <w:r>
              <w:rPr>
                <w:rFonts w:ascii="Arial" w:cs="Arial" w:eastAsia="Arial" w:hAnsi="Arial"/>
                <w:sz w:val="14"/>
                <w:szCs w:val="14"/>
                <w:b w:val="1"/>
                <w:bCs w:val="1"/>
                <w:color w:val="auto"/>
                <w:w w:val="93"/>
              </w:rPr>
              <w:t>incorporation or organization)</w:t>
            </w:r>
          </w:p>
        </w:tc>
        <w:tc>
          <w:tcPr>
            <w:tcW w:w="2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00" w:type="dxa"/>
            <w:vAlign w:val="bottom"/>
            <w:gridSpan w:val="3"/>
          </w:tcPr>
          <w:p>
            <w:pPr>
              <w:jc w:val="center"/>
              <w:ind w:left="61"/>
              <w:spacing w:after="0"/>
              <w:rPr>
                <w:sz w:val="20"/>
                <w:szCs w:val="20"/>
                <w:color w:val="auto"/>
              </w:rPr>
            </w:pPr>
            <w:r>
              <w:rPr>
                <w:rFonts w:ascii="Arial" w:cs="Arial" w:eastAsia="Arial" w:hAnsi="Arial"/>
                <w:sz w:val="14"/>
                <w:szCs w:val="14"/>
                <w:b w:val="1"/>
                <w:bCs w:val="1"/>
                <w:color w:val="auto"/>
                <w:w w:val="94"/>
              </w:rPr>
              <w:t>Identification No.)</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2801 Post Oak Boulevard, Suite 600</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Houston, Texas 77056</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20" w:type="dxa"/>
            <w:vAlign w:val="bottom"/>
          </w:tcPr>
          <w:p>
            <w:pPr>
              <w:jc w:val="center"/>
              <w:ind w:left="758"/>
              <w:spacing w:after="0"/>
              <w:rPr>
                <w:sz w:val="20"/>
                <w:szCs w:val="20"/>
                <w:color w:val="auto"/>
              </w:rPr>
            </w:pPr>
            <w:r>
              <w:rPr>
                <w:rFonts w:ascii="Arial" w:cs="Arial" w:eastAsia="Arial" w:hAnsi="Arial"/>
                <w:sz w:val="18"/>
                <w:szCs w:val="18"/>
                <w:b w:val="1"/>
                <w:bCs w:val="1"/>
                <w:color w:val="auto"/>
                <w:w w:val="90"/>
              </w:rPr>
              <w:t>(713) 585-2900</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gridSpan w:val="2"/>
          </w:tcPr>
          <w:p>
            <w:pPr>
              <w:spacing w:after="0"/>
              <w:rPr>
                <w:sz w:val="11"/>
                <w:szCs w:val="11"/>
                <w:color w:val="auto"/>
              </w:rPr>
            </w:pPr>
          </w:p>
        </w:tc>
        <w:tc>
          <w:tcPr>
            <w:tcW w:w="1600" w:type="dxa"/>
            <w:vAlign w:val="bottom"/>
            <w:tcBorders>
              <w:bottom w:val="single" w:sz="8" w:color="auto"/>
            </w:tcBorders>
            <w:gridSpan w:val="2"/>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80" w:type="dxa"/>
            <w:vAlign w:val="bottom"/>
            <w:gridSpan w:val="5"/>
          </w:tcPr>
          <w:p>
            <w:pPr>
              <w:ind w:left="18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60" w:type="dxa"/>
            <w:vAlign w:val="bottom"/>
            <w:tcBorders>
              <w:bottom w:val="single" w:sz="8" w:color="auto"/>
            </w:tcBorders>
            <w:gridSpan w:val="2"/>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gridSpan w:val="4"/>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36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jc w:val="center"/>
              <w:ind w:right="418"/>
              <w:spacing w:after="0"/>
              <w:rPr>
                <w:sz w:val="20"/>
                <w:szCs w:val="20"/>
                <w:color w:val="auto"/>
              </w:rPr>
            </w:pPr>
            <w:r>
              <w:rPr>
                <w:rFonts w:ascii="Arial" w:cs="Arial" w:eastAsia="Arial" w:hAnsi="Arial"/>
                <w:sz w:val="14"/>
                <w:szCs w:val="14"/>
                <w:b w:val="1"/>
                <w:bCs w:val="1"/>
                <w:color w:val="auto"/>
                <w:w w:val="92"/>
              </w:rPr>
              <w:t>Trading Symbol(s)</w:t>
            </w:r>
          </w:p>
        </w:tc>
        <w:tc>
          <w:tcPr>
            <w:tcW w:w="860" w:type="dxa"/>
            <w:vAlign w:val="bottom"/>
            <w:tcBorders>
              <w:bottom w:val="single" w:sz="8" w:color="auto"/>
            </w:tcBorders>
          </w:tcPr>
          <w:p>
            <w:pPr>
              <w:spacing w:after="0"/>
              <w:rPr>
                <w:sz w:val="16"/>
                <w:szCs w:val="16"/>
                <w:color w:val="auto"/>
              </w:rPr>
            </w:pPr>
          </w:p>
        </w:tc>
        <w:tc>
          <w:tcPr>
            <w:tcW w:w="3820" w:type="dxa"/>
            <w:vAlign w:val="bottom"/>
            <w:tcBorders>
              <w:bottom w:val="single" w:sz="8" w:color="auto"/>
              <w:right w:val="single" w:sz="8" w:color="auto"/>
            </w:tcBorders>
            <w:gridSpan w:val="4"/>
          </w:tcPr>
          <w:p>
            <w:pPr>
              <w:jc w:val="center"/>
              <w:ind w:right="79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4"/>
        </w:trPr>
        <w:tc>
          <w:tcPr>
            <w:tcW w:w="33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Common units representing limited</w:t>
            </w:r>
          </w:p>
        </w:tc>
        <w:tc>
          <w:tcPr>
            <w:tcW w:w="480" w:type="dxa"/>
            <w:vAlign w:val="bottom"/>
          </w:tcPr>
          <w:p>
            <w:pPr>
              <w:spacing w:after="0"/>
              <w:rPr>
                <w:sz w:val="19"/>
                <w:szCs w:val="19"/>
                <w:color w:val="auto"/>
              </w:rPr>
            </w:pPr>
          </w:p>
        </w:tc>
        <w:tc>
          <w:tcPr>
            <w:tcW w:w="2920" w:type="dxa"/>
            <w:vAlign w:val="bottom"/>
            <w:tcBorders>
              <w:right w:val="single" w:sz="8" w:color="auto"/>
            </w:tcBorders>
          </w:tcPr>
          <w:p>
            <w:pPr>
              <w:jc w:val="center"/>
              <w:ind w:right="418"/>
              <w:spacing w:after="0"/>
              <w:rPr>
                <w:sz w:val="20"/>
                <w:szCs w:val="20"/>
                <w:color w:val="auto"/>
              </w:rPr>
            </w:pPr>
            <w:r>
              <w:rPr>
                <w:rFonts w:ascii="Arial" w:cs="Arial" w:eastAsia="Arial" w:hAnsi="Arial"/>
                <w:sz w:val="18"/>
                <w:szCs w:val="18"/>
                <w:b w:val="1"/>
                <w:bCs w:val="1"/>
                <w:color w:val="auto"/>
              </w:rPr>
              <w:t>WLKP</w:t>
            </w:r>
          </w:p>
        </w:tc>
        <w:tc>
          <w:tcPr>
            <w:tcW w:w="860" w:type="dxa"/>
            <w:vAlign w:val="bottom"/>
          </w:tcPr>
          <w:p>
            <w:pPr>
              <w:spacing w:after="0"/>
              <w:rPr>
                <w:sz w:val="19"/>
                <w:szCs w:val="19"/>
                <w:color w:val="auto"/>
              </w:rPr>
            </w:pPr>
          </w:p>
        </w:tc>
        <w:tc>
          <w:tcPr>
            <w:tcW w:w="3820" w:type="dxa"/>
            <w:vAlign w:val="bottom"/>
            <w:tcBorders>
              <w:right w:val="single" w:sz="8" w:color="auto"/>
            </w:tcBorders>
            <w:gridSpan w:val="4"/>
          </w:tcPr>
          <w:p>
            <w:pPr>
              <w:jc w:val="center"/>
              <w:ind w:right="790"/>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34"/>
        </w:trPr>
        <w:tc>
          <w:tcPr>
            <w:tcW w:w="33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partner interests</w:t>
            </w:r>
          </w:p>
        </w:tc>
        <w:tc>
          <w:tcPr>
            <w:tcW w:w="48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gridSpan w:val="2"/>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60" w:type="dxa"/>
            <w:vAlign w:val="bottom"/>
          </w:tcPr>
          <w:p>
            <w:pPr>
              <w:spacing w:after="0"/>
              <w:rPr>
                <w:sz w:val="24"/>
                <w:szCs w:val="24"/>
                <w:color w:val="auto"/>
              </w:rPr>
            </w:pPr>
          </w:p>
        </w:tc>
        <w:tc>
          <w:tcPr>
            <w:tcW w:w="598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89"/>
              </w:rPr>
              <w:t>Securities registered pursuant to Section 12(g) of the Act: NONE</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5300" w:type="dxa"/>
            <w:vAlign w:val="bottom"/>
            <w:tcBorders>
              <w:bottom w:val="single" w:sz="8" w:color="auto"/>
            </w:tcBorders>
            <w:gridSpan w:val="5"/>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72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5"/>
        </w:trPr>
        <w:tc>
          <w:tcPr>
            <w:tcW w:w="9040" w:type="dxa"/>
            <w:vAlign w:val="bottom"/>
            <w:gridSpan w:val="7"/>
          </w:tcPr>
          <w:p>
            <w:pPr>
              <w:ind w:left="42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40" w:type="dxa"/>
            <w:vAlign w:val="bottom"/>
            <w:gridSpan w:val="7"/>
          </w:tcPr>
          <w:p>
            <w:pPr>
              <w:ind w:left="42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7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8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firstLine="405"/>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40" w:type="dxa"/>
            <w:vAlign w:val="bottom"/>
          </w:tcPr>
          <w:p>
            <w:pPr>
              <w:ind w:left="232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30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20"/>
        <w:spacing w:after="0" w:line="207" w:lineRule="exact"/>
        <w:tabs>
          <w:tab w:leader="none" w:pos="7980" w:val="left"/>
          <w:tab w:leader="none" w:pos="8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ind w:right="20" w:firstLine="405"/>
        <w:spacing w:after="0" w:line="279" w:lineRule="auto"/>
        <w:rPr>
          <w:sz w:val="20"/>
          <w:szCs w:val="20"/>
          <w:color w:val="auto"/>
        </w:rPr>
      </w:pPr>
      <w:r>
        <w:rPr>
          <w:rFonts w:ascii="Arial" w:cs="Arial" w:eastAsia="Arial" w:hAnsi="Arial"/>
          <w:sz w:val="17"/>
          <w:szCs w:val="17"/>
          <w:color w:val="auto"/>
        </w:rPr>
        <w:t>The aggregate market value of registrant's common units held by non-affiliates of the registrant on June 30, 2019, the end of the registrant's most recently completed second fiscal quarter, based on the closing price on June 28, 2019 of $24.59 on the New York Stock Exchange, was approximately $473.5 million. Common units held by executive officers and directors of the registrant and its affiliates are not included in the computation. The registrant, solely for the purpose of this required presentation, has deemed its directors and executive officers and those of its affiliates to be affiliates.</w:t>
      </w:r>
    </w:p>
    <w:p>
      <w:pPr>
        <w:spacing w:after="0" w:line="117"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February 21, 2020, the registrant had 35,194,545 common units and no subordinated units outstanding.</w:t>
      </w:r>
    </w:p>
    <w:p>
      <w:pPr>
        <w:sectPr>
          <w:pgSz w:w="11900" w:h="16838" w:orient="portrait"/>
          <w:cols w:equalWidth="0" w:num="1">
            <w:col w:w="11440"/>
          </w:cols>
          <w:pgMar w:left="240" w:top="229" w:right="219" w:bottom="262"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88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8"/>
        </w:trPr>
        <w:tc>
          <w:tcPr>
            <w:tcW w:w="44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Item</w:t>
            </w:r>
          </w:p>
        </w:tc>
        <w:tc>
          <w:tcPr>
            <w:tcW w:w="9880" w:type="dxa"/>
            <w:vAlign w:val="bottom"/>
            <w:vMerge w:val="restart"/>
          </w:tcPr>
          <w:p>
            <w:pPr>
              <w:jc w:val="center"/>
              <w:spacing w:after="0"/>
              <w:rPr>
                <w:rFonts w:ascii="Arial" w:cs="Arial" w:eastAsia="Arial" w:hAnsi="Arial"/>
                <w:sz w:val="18"/>
                <w:szCs w:val="18"/>
                <w:b w:val="1"/>
                <w:bCs w:val="1"/>
                <w:color w:val="auto"/>
                <w:w w:val="98"/>
              </w:rPr>
            </w:pPr>
            <w:hyperlink w:anchor="page5">
              <w:r>
                <w:rPr>
                  <w:rFonts w:ascii="Arial" w:cs="Arial" w:eastAsia="Arial" w:hAnsi="Arial"/>
                  <w:sz w:val="18"/>
                  <w:szCs w:val="18"/>
                  <w:b w:val="1"/>
                  <w:bCs w:val="1"/>
                  <w:color w:val="auto"/>
                  <w:w w:val="98"/>
                </w:rPr>
                <w:t>PART I</w:t>
              </w:r>
            </w:hyperlink>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40" w:type="dxa"/>
            <w:vAlign w:val="bottom"/>
            <w:vMerge w:val="continue"/>
          </w:tcPr>
          <w:p>
            <w:pPr>
              <w:spacing w:after="0"/>
              <w:rPr>
                <w:sz w:val="19"/>
                <w:szCs w:val="19"/>
                <w:color w:val="auto"/>
              </w:rPr>
            </w:pPr>
          </w:p>
        </w:tc>
        <w:tc>
          <w:tcPr>
            <w:tcW w:w="98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40" w:type="dxa"/>
            <w:vAlign w:val="bottom"/>
            <w:vMerge w:val="continue"/>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c>
          <w:tcPr>
            <w:tcW w:w="9880" w:type="dxa"/>
            <w:vAlign w:val="bottom"/>
          </w:tcPr>
          <w:p>
            <w:pPr>
              <w:ind w:left="10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9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1A)</w:t>
              </w:r>
            </w:hyperlink>
          </w:p>
        </w:tc>
        <w:tc>
          <w:tcPr>
            <w:tcW w:w="9880" w:type="dxa"/>
            <w:vAlign w:val="bottom"/>
          </w:tcPr>
          <w:p>
            <w:pPr>
              <w:ind w:left="100"/>
              <w:spacing w:after="0"/>
              <w:rPr>
                <w:rFonts w:ascii="Arial" w:cs="Arial" w:eastAsia="Arial" w:hAnsi="Arial"/>
                <w:sz w:val="18"/>
                <w:szCs w:val="18"/>
                <w:color w:val="auto"/>
              </w:rPr>
            </w:pPr>
            <w:hyperlink w:anchor="page11">
              <w:r>
                <w:rPr>
                  <w:rFonts w:ascii="Arial" w:cs="Arial" w:eastAsia="Arial" w:hAnsi="Arial"/>
                  <w:sz w:val="18"/>
                  <w:szCs w:val="18"/>
                  <w:color w:val="auto"/>
                </w:rPr>
                <w:t>Risk Factors</w:t>
              </w:r>
            </w:hyperlink>
          </w:p>
        </w:tc>
        <w:tc>
          <w:tcPr>
            <w:tcW w:w="90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1B)</w:t>
              </w:r>
            </w:hyperlink>
          </w:p>
        </w:tc>
        <w:tc>
          <w:tcPr>
            <w:tcW w:w="9880" w:type="dxa"/>
            <w:vAlign w:val="bottom"/>
          </w:tcPr>
          <w:p>
            <w:pPr>
              <w:ind w:left="100"/>
              <w:spacing w:after="0"/>
              <w:rPr>
                <w:rFonts w:ascii="Arial" w:cs="Arial" w:eastAsia="Arial" w:hAnsi="Arial"/>
                <w:sz w:val="18"/>
                <w:szCs w:val="18"/>
                <w:color w:val="auto"/>
              </w:rPr>
            </w:pPr>
            <w:hyperlink w:anchor="page27">
              <w:r>
                <w:rPr>
                  <w:rFonts w:ascii="Arial" w:cs="Arial" w:eastAsia="Arial" w:hAnsi="Arial"/>
                  <w:sz w:val="18"/>
                  <w:szCs w:val="18"/>
                  <w:color w:val="auto"/>
                </w:rPr>
                <w:t>Unresolved Staff Comments</w:t>
              </w:r>
            </w:hyperlink>
          </w:p>
        </w:tc>
        <w:tc>
          <w:tcPr>
            <w:tcW w:w="90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w:t>
              </w:r>
            </w:hyperlink>
          </w:p>
        </w:tc>
        <w:tc>
          <w:tcPr>
            <w:tcW w:w="9880" w:type="dxa"/>
            <w:vAlign w:val="bottom"/>
          </w:tcPr>
          <w:p>
            <w:pPr>
              <w:ind w:left="100"/>
              <w:spacing w:after="0"/>
              <w:rPr>
                <w:rFonts w:ascii="Arial" w:cs="Arial" w:eastAsia="Arial" w:hAnsi="Arial"/>
                <w:sz w:val="18"/>
                <w:szCs w:val="18"/>
                <w:color w:val="auto"/>
              </w:rPr>
            </w:pPr>
            <w:hyperlink w:anchor="page27">
              <w:r>
                <w:rPr>
                  <w:rFonts w:ascii="Arial" w:cs="Arial" w:eastAsia="Arial" w:hAnsi="Arial"/>
                  <w:sz w:val="18"/>
                  <w:szCs w:val="18"/>
                  <w:color w:val="auto"/>
                </w:rPr>
                <w:t>Properties</w:t>
              </w:r>
            </w:hyperlink>
          </w:p>
        </w:tc>
        <w:tc>
          <w:tcPr>
            <w:tcW w:w="90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3)</w:t>
              </w:r>
            </w:hyperlink>
          </w:p>
        </w:tc>
        <w:tc>
          <w:tcPr>
            <w:tcW w:w="9880" w:type="dxa"/>
            <w:vAlign w:val="bottom"/>
          </w:tcPr>
          <w:p>
            <w:pPr>
              <w:ind w:left="100"/>
              <w:spacing w:after="0"/>
              <w:rPr>
                <w:rFonts w:ascii="Arial" w:cs="Arial" w:eastAsia="Arial" w:hAnsi="Arial"/>
                <w:sz w:val="18"/>
                <w:szCs w:val="18"/>
                <w:color w:val="auto"/>
              </w:rPr>
            </w:pPr>
            <w:hyperlink w:anchor="page28">
              <w:r>
                <w:rPr>
                  <w:rFonts w:ascii="Arial" w:cs="Arial" w:eastAsia="Arial" w:hAnsi="Arial"/>
                  <w:sz w:val="18"/>
                  <w:szCs w:val="18"/>
                  <w:color w:val="auto"/>
                </w:rPr>
                <w:t>Legal Proceedings</w:t>
              </w:r>
            </w:hyperlink>
          </w:p>
        </w:tc>
        <w:tc>
          <w:tcPr>
            <w:tcW w:w="900" w:type="dxa"/>
            <w:vAlign w:val="bottom"/>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4)</w:t>
              </w:r>
            </w:hyperlink>
          </w:p>
        </w:tc>
        <w:tc>
          <w:tcPr>
            <w:tcW w:w="9880" w:type="dxa"/>
            <w:vAlign w:val="bottom"/>
          </w:tcPr>
          <w:p>
            <w:pPr>
              <w:ind w:left="100"/>
              <w:spacing w:after="0"/>
              <w:rPr>
                <w:rFonts w:ascii="Arial" w:cs="Arial" w:eastAsia="Arial" w:hAnsi="Arial"/>
                <w:sz w:val="18"/>
                <w:szCs w:val="18"/>
                <w:color w:val="auto"/>
              </w:rPr>
            </w:pPr>
            <w:hyperlink w:anchor="page28">
              <w:r>
                <w:rPr>
                  <w:rFonts w:ascii="Arial" w:cs="Arial" w:eastAsia="Arial" w:hAnsi="Arial"/>
                  <w:sz w:val="18"/>
                  <w:szCs w:val="18"/>
                  <w:color w:val="auto"/>
                </w:rPr>
                <w:t>Mine Safety Disclosure</w:t>
              </w:r>
            </w:hyperlink>
          </w:p>
        </w:tc>
        <w:tc>
          <w:tcPr>
            <w:tcW w:w="900" w:type="dxa"/>
            <w:vAlign w:val="bottom"/>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5)</w:t>
              </w:r>
            </w:hyperlink>
          </w:p>
        </w:tc>
        <w:tc>
          <w:tcPr>
            <w:tcW w:w="9880" w:type="dxa"/>
            <w:vAlign w:val="bottom"/>
          </w:tcPr>
          <w:p>
            <w:pPr>
              <w:ind w:left="100"/>
              <w:spacing w:after="0"/>
              <w:rPr>
                <w:rFonts w:ascii="Arial" w:cs="Arial" w:eastAsia="Arial" w:hAnsi="Arial"/>
                <w:sz w:val="18"/>
                <w:szCs w:val="18"/>
                <w:color w:val="auto"/>
              </w:rPr>
            </w:pPr>
            <w:hyperlink w:anchor="page29">
              <w:r>
                <w:rPr>
                  <w:rFonts w:ascii="Arial" w:cs="Arial" w:eastAsia="Arial" w:hAnsi="Arial"/>
                  <w:sz w:val="18"/>
                  <w:szCs w:val="18"/>
                  <w:color w:val="auto"/>
                </w:rPr>
                <w:t>Market for Registrant's Common Equity, Related Stockholder Matters and Issuer Purchases</w:t>
              </w:r>
            </w:hyperlink>
          </w:p>
        </w:tc>
        <w:tc>
          <w:tcPr>
            <w:tcW w:w="90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880" w:type="dxa"/>
            <w:vAlign w:val="bottom"/>
          </w:tcPr>
          <w:p>
            <w:pPr>
              <w:ind w:left="240"/>
              <w:spacing w:after="0"/>
              <w:rPr>
                <w:rFonts w:ascii="Arial" w:cs="Arial" w:eastAsia="Arial" w:hAnsi="Arial"/>
                <w:sz w:val="18"/>
                <w:szCs w:val="18"/>
                <w:color w:val="auto"/>
              </w:rPr>
            </w:pPr>
            <w:hyperlink w:anchor="page29">
              <w:r>
                <w:rPr>
                  <w:rFonts w:ascii="Arial" w:cs="Arial" w:eastAsia="Arial" w:hAnsi="Arial"/>
                  <w:sz w:val="18"/>
                  <w:szCs w:val="18"/>
                  <w:color w:val="auto"/>
                </w:rPr>
                <w:t>of Equity Securities</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6)</w:t>
              </w:r>
            </w:hyperlink>
          </w:p>
        </w:tc>
        <w:tc>
          <w:tcPr>
            <w:tcW w:w="9880" w:type="dxa"/>
            <w:vAlign w:val="bottom"/>
          </w:tcPr>
          <w:p>
            <w:pPr>
              <w:ind w:left="100"/>
              <w:spacing w:after="0"/>
              <w:rPr>
                <w:rFonts w:ascii="Arial" w:cs="Arial" w:eastAsia="Arial" w:hAnsi="Arial"/>
                <w:sz w:val="18"/>
                <w:szCs w:val="18"/>
                <w:color w:val="auto"/>
              </w:rPr>
            </w:pPr>
            <w:hyperlink w:anchor="page31">
              <w:r>
                <w:rPr>
                  <w:rFonts w:ascii="Arial" w:cs="Arial" w:eastAsia="Arial" w:hAnsi="Arial"/>
                  <w:sz w:val="18"/>
                  <w:szCs w:val="18"/>
                  <w:color w:val="auto"/>
                </w:rPr>
                <w:t xml:space="preserve">Selected Financial </w:t>
              </w:r>
            </w:hyperlink>
            <w:r>
              <w:rPr>
                <w:rFonts w:ascii="Arial" w:cs="Arial" w:eastAsia="Arial" w:hAnsi="Arial"/>
                <w:sz w:val="18"/>
                <w:szCs w:val="18"/>
                <w:color w:val="auto"/>
              </w:rPr>
              <w:t>Data</w:t>
            </w:r>
          </w:p>
        </w:tc>
        <w:tc>
          <w:tcPr>
            <w:tcW w:w="90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7)</w:t>
              </w:r>
            </w:hyperlink>
          </w:p>
        </w:tc>
        <w:tc>
          <w:tcPr>
            <w:tcW w:w="9880" w:type="dxa"/>
            <w:vAlign w:val="bottom"/>
          </w:tcPr>
          <w:p>
            <w:pPr>
              <w:ind w:left="100"/>
              <w:spacing w:after="0"/>
              <w:rPr>
                <w:rFonts w:ascii="Arial" w:cs="Arial" w:eastAsia="Arial" w:hAnsi="Arial"/>
                <w:sz w:val="18"/>
                <w:szCs w:val="18"/>
                <w:color w:val="auto"/>
              </w:rPr>
            </w:pPr>
            <w:hyperlink w:anchor="page34">
              <w:r>
                <w:rPr>
                  <w:rFonts w:ascii="Arial" w:cs="Arial" w:eastAsia="Arial" w:hAnsi="Arial"/>
                  <w:sz w:val="18"/>
                  <w:szCs w:val="18"/>
                  <w:color w:val="auto"/>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7A)</w:t>
              </w:r>
            </w:hyperlink>
          </w:p>
        </w:tc>
        <w:tc>
          <w:tcPr>
            <w:tcW w:w="9880" w:type="dxa"/>
            <w:vAlign w:val="bottom"/>
          </w:tcPr>
          <w:p>
            <w:pPr>
              <w:ind w:left="100"/>
              <w:spacing w:after="0"/>
              <w:rPr>
                <w:rFonts w:ascii="Arial" w:cs="Arial" w:eastAsia="Arial" w:hAnsi="Arial"/>
                <w:sz w:val="18"/>
                <w:szCs w:val="18"/>
                <w:color w:val="auto"/>
              </w:rPr>
            </w:pPr>
            <w:hyperlink w:anchor="page45">
              <w:r>
                <w:rPr>
                  <w:rFonts w:ascii="Arial" w:cs="Arial" w:eastAsia="Arial" w:hAnsi="Arial"/>
                  <w:sz w:val="18"/>
                  <w:szCs w:val="18"/>
                  <w:color w:val="auto"/>
                </w:rPr>
                <w:t>Quantitative and Qualitative Disclosures about Market Risk</w:t>
              </w:r>
            </w:hyperlink>
          </w:p>
        </w:tc>
        <w:tc>
          <w:tcPr>
            <w:tcW w:w="90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8)</w:t>
              </w:r>
            </w:hyperlink>
          </w:p>
        </w:tc>
        <w:tc>
          <w:tcPr>
            <w:tcW w:w="9880" w:type="dxa"/>
            <w:vAlign w:val="bottom"/>
          </w:tcPr>
          <w:p>
            <w:pPr>
              <w:ind w:left="100"/>
              <w:spacing w:after="0"/>
              <w:rPr>
                <w:rFonts w:ascii="Arial" w:cs="Arial" w:eastAsia="Arial" w:hAnsi="Arial"/>
                <w:sz w:val="18"/>
                <w:szCs w:val="18"/>
                <w:color w:val="auto"/>
              </w:rPr>
            </w:pPr>
            <w:hyperlink w:anchor="page46">
              <w:r>
                <w:rPr>
                  <w:rFonts w:ascii="Arial" w:cs="Arial" w:eastAsia="Arial" w:hAnsi="Arial"/>
                  <w:sz w:val="18"/>
                  <w:szCs w:val="18"/>
                  <w:color w:val="auto"/>
                </w:rPr>
                <w:t>Financial Statements and Supplementary Data</w:t>
              </w:r>
            </w:hyperlink>
          </w:p>
        </w:tc>
        <w:tc>
          <w:tcPr>
            <w:tcW w:w="90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9)</w:t>
              </w:r>
            </w:hyperlink>
          </w:p>
        </w:tc>
        <w:tc>
          <w:tcPr>
            <w:tcW w:w="9880" w:type="dxa"/>
            <w:vAlign w:val="bottom"/>
          </w:tcPr>
          <w:p>
            <w:pPr>
              <w:ind w:left="100"/>
              <w:spacing w:after="0"/>
              <w:rPr>
                <w:rFonts w:ascii="Arial" w:cs="Arial" w:eastAsia="Arial" w:hAnsi="Arial"/>
                <w:sz w:val="18"/>
                <w:szCs w:val="18"/>
                <w:color w:val="auto"/>
              </w:rPr>
            </w:pPr>
            <w:hyperlink w:anchor="page72">
              <w:r>
                <w:rPr>
                  <w:rFonts w:ascii="Arial" w:cs="Arial" w:eastAsia="Arial" w:hAnsi="Arial"/>
                  <w:sz w:val="18"/>
                  <w:szCs w:val="18"/>
                  <w:color w:val="auto"/>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9A)</w:t>
              </w:r>
            </w:hyperlink>
          </w:p>
        </w:tc>
        <w:tc>
          <w:tcPr>
            <w:tcW w:w="9880" w:type="dxa"/>
            <w:vAlign w:val="bottom"/>
          </w:tcPr>
          <w:p>
            <w:pPr>
              <w:ind w:left="100"/>
              <w:spacing w:after="0"/>
              <w:rPr>
                <w:rFonts w:ascii="Arial" w:cs="Arial" w:eastAsia="Arial" w:hAnsi="Arial"/>
                <w:sz w:val="18"/>
                <w:szCs w:val="18"/>
                <w:color w:val="auto"/>
              </w:rPr>
            </w:pPr>
            <w:hyperlink w:anchor="page72">
              <w:r>
                <w:rPr>
                  <w:rFonts w:ascii="Arial" w:cs="Arial" w:eastAsia="Arial" w:hAnsi="Arial"/>
                  <w:sz w:val="18"/>
                  <w:szCs w:val="18"/>
                  <w:color w:val="auto"/>
                </w:rPr>
                <w:t>Controls and Procedures</w:t>
              </w:r>
            </w:hyperlink>
          </w:p>
        </w:tc>
        <w:tc>
          <w:tcPr>
            <w:tcW w:w="900" w:type="dxa"/>
            <w:vAlign w:val="bottom"/>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9B)</w:t>
              </w:r>
            </w:hyperlink>
          </w:p>
        </w:tc>
        <w:tc>
          <w:tcPr>
            <w:tcW w:w="9880" w:type="dxa"/>
            <w:vAlign w:val="bottom"/>
          </w:tcPr>
          <w:p>
            <w:pPr>
              <w:ind w:left="100"/>
              <w:spacing w:after="0"/>
              <w:rPr>
                <w:rFonts w:ascii="Arial" w:cs="Arial" w:eastAsia="Arial" w:hAnsi="Arial"/>
                <w:sz w:val="18"/>
                <w:szCs w:val="18"/>
                <w:color w:val="auto"/>
              </w:rPr>
            </w:pPr>
            <w:hyperlink w:anchor="page72">
              <w:r>
                <w:rPr>
                  <w:rFonts w:ascii="Arial" w:cs="Arial" w:eastAsia="Arial" w:hAnsi="Arial"/>
                  <w:sz w:val="18"/>
                  <w:szCs w:val="18"/>
                  <w:color w:val="auto"/>
                </w:rPr>
                <w:t>Other Information</w:t>
              </w:r>
            </w:hyperlink>
          </w:p>
        </w:tc>
        <w:tc>
          <w:tcPr>
            <w:tcW w:w="900" w:type="dxa"/>
            <w:vAlign w:val="bottom"/>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73">
              <w:r>
                <w:rPr>
                  <w:rFonts w:ascii="Arial" w:cs="Arial" w:eastAsia="Arial" w:hAnsi="Arial"/>
                  <w:sz w:val="18"/>
                  <w:szCs w:val="18"/>
                  <w:b w:val="1"/>
                  <w:bCs w:val="1"/>
                  <w:color w:val="auto"/>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10)</w:t>
              </w:r>
            </w:hyperlink>
          </w:p>
        </w:tc>
        <w:tc>
          <w:tcPr>
            <w:tcW w:w="9880" w:type="dxa"/>
            <w:vAlign w:val="bottom"/>
          </w:tcPr>
          <w:p>
            <w:pPr>
              <w:ind w:left="100"/>
              <w:spacing w:after="0"/>
              <w:rPr>
                <w:rFonts w:ascii="Arial" w:cs="Arial" w:eastAsia="Arial" w:hAnsi="Arial"/>
                <w:sz w:val="18"/>
                <w:szCs w:val="18"/>
                <w:color w:val="auto"/>
              </w:rPr>
            </w:pPr>
            <w:hyperlink w:anchor="page73">
              <w:r>
                <w:rPr>
                  <w:rFonts w:ascii="Arial" w:cs="Arial" w:eastAsia="Arial" w:hAnsi="Arial"/>
                  <w:sz w:val="18"/>
                  <w:szCs w:val="18"/>
                  <w:color w:val="auto"/>
                </w:rPr>
                <w:t>Directors, Executive Officers and Corporate Governance</w:t>
              </w:r>
            </w:hyperlink>
          </w:p>
        </w:tc>
        <w:tc>
          <w:tcPr>
            <w:tcW w:w="90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11)</w:t>
              </w:r>
            </w:hyperlink>
          </w:p>
        </w:tc>
        <w:tc>
          <w:tcPr>
            <w:tcW w:w="9880" w:type="dxa"/>
            <w:vAlign w:val="bottom"/>
          </w:tcPr>
          <w:p>
            <w:pPr>
              <w:ind w:left="100"/>
              <w:spacing w:after="0"/>
              <w:rPr>
                <w:rFonts w:ascii="Arial" w:cs="Arial" w:eastAsia="Arial" w:hAnsi="Arial"/>
                <w:sz w:val="18"/>
                <w:szCs w:val="18"/>
                <w:color w:val="auto"/>
              </w:rPr>
            </w:pPr>
            <w:hyperlink w:anchor="page77">
              <w:r>
                <w:rPr>
                  <w:rFonts w:ascii="Arial" w:cs="Arial" w:eastAsia="Arial" w:hAnsi="Arial"/>
                  <w:sz w:val="18"/>
                  <w:szCs w:val="18"/>
                  <w:color w:val="auto"/>
                </w:rPr>
                <w:t>Executive Compensation</w:t>
              </w:r>
            </w:hyperlink>
          </w:p>
        </w:tc>
        <w:tc>
          <w:tcPr>
            <w:tcW w:w="900" w:type="dxa"/>
            <w:vAlign w:val="bottom"/>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12)</w:t>
              </w:r>
            </w:hyperlink>
          </w:p>
        </w:tc>
        <w:tc>
          <w:tcPr>
            <w:tcW w:w="9880" w:type="dxa"/>
            <w:vAlign w:val="bottom"/>
          </w:tcPr>
          <w:p>
            <w:pPr>
              <w:ind w:left="100"/>
              <w:spacing w:after="0"/>
              <w:rPr>
                <w:rFonts w:ascii="Arial" w:cs="Arial" w:eastAsia="Arial" w:hAnsi="Arial"/>
                <w:sz w:val="18"/>
                <w:szCs w:val="18"/>
                <w:color w:val="auto"/>
              </w:rPr>
            </w:pPr>
            <w:hyperlink w:anchor="page83">
              <w:r>
                <w:rPr>
                  <w:rFonts w:ascii="Arial" w:cs="Arial" w:eastAsia="Arial" w:hAnsi="Arial"/>
                  <w:sz w:val="18"/>
                  <w:szCs w:val="18"/>
                  <w:color w:val="auto"/>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13)</w:t>
              </w:r>
            </w:hyperlink>
          </w:p>
        </w:tc>
        <w:tc>
          <w:tcPr>
            <w:tcW w:w="9880" w:type="dxa"/>
            <w:vAlign w:val="bottom"/>
          </w:tcPr>
          <w:p>
            <w:pPr>
              <w:ind w:left="100"/>
              <w:spacing w:after="0"/>
              <w:rPr>
                <w:rFonts w:ascii="Arial" w:cs="Arial" w:eastAsia="Arial" w:hAnsi="Arial"/>
                <w:sz w:val="18"/>
                <w:szCs w:val="18"/>
                <w:color w:val="auto"/>
              </w:rPr>
            </w:pPr>
            <w:hyperlink w:anchor="page85">
              <w:r>
                <w:rPr>
                  <w:rFonts w:ascii="Arial" w:cs="Arial" w:eastAsia="Arial" w:hAnsi="Arial"/>
                  <w:sz w:val="18"/>
                  <w:szCs w:val="18"/>
                  <w:color w:val="auto"/>
                </w:rPr>
                <w:t>Certain Relationships and Related Transactions, and Director Independence</w:t>
              </w:r>
            </w:hyperlink>
          </w:p>
        </w:tc>
        <w:tc>
          <w:tcPr>
            <w:tcW w:w="900" w:type="dxa"/>
            <w:vAlign w:val="bottom"/>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14)</w:t>
              </w:r>
            </w:hyperlink>
          </w:p>
        </w:tc>
        <w:tc>
          <w:tcPr>
            <w:tcW w:w="9880" w:type="dxa"/>
            <w:vAlign w:val="bottom"/>
          </w:tcPr>
          <w:p>
            <w:pPr>
              <w:ind w:left="100"/>
              <w:spacing w:after="0"/>
              <w:rPr>
                <w:rFonts w:ascii="Arial" w:cs="Arial" w:eastAsia="Arial" w:hAnsi="Arial"/>
                <w:sz w:val="18"/>
                <w:szCs w:val="18"/>
                <w:color w:val="auto"/>
              </w:rPr>
            </w:pPr>
            <w:hyperlink w:anchor="page89">
              <w:r>
                <w:rPr>
                  <w:rFonts w:ascii="Arial" w:cs="Arial" w:eastAsia="Arial" w:hAnsi="Arial"/>
                  <w:sz w:val="18"/>
                  <w:szCs w:val="18"/>
                  <w:color w:val="auto"/>
                </w:rPr>
                <w:t>Principal Accountant Fees and Services</w:t>
              </w:r>
            </w:hyperlink>
          </w:p>
        </w:tc>
        <w:tc>
          <w:tcPr>
            <w:tcW w:w="900" w:type="dxa"/>
            <w:vAlign w:val="bottom"/>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90">
              <w:r>
                <w:rPr>
                  <w:rFonts w:ascii="Arial" w:cs="Arial" w:eastAsia="Arial" w:hAnsi="Arial"/>
                  <w:sz w:val="18"/>
                  <w:szCs w:val="18"/>
                  <w:b w:val="1"/>
                  <w:bCs w:val="1"/>
                  <w:color w:val="auto"/>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15)</w:t>
              </w:r>
            </w:hyperlink>
          </w:p>
        </w:tc>
        <w:tc>
          <w:tcPr>
            <w:tcW w:w="9880" w:type="dxa"/>
            <w:vAlign w:val="bottom"/>
          </w:tcPr>
          <w:p>
            <w:pPr>
              <w:ind w:left="100"/>
              <w:spacing w:after="0"/>
              <w:rPr>
                <w:rFonts w:ascii="Arial" w:cs="Arial" w:eastAsia="Arial" w:hAnsi="Arial"/>
                <w:sz w:val="18"/>
                <w:szCs w:val="18"/>
                <w:color w:val="auto"/>
              </w:rPr>
            </w:pPr>
            <w:hyperlink w:anchor="page90">
              <w:r>
                <w:rPr>
                  <w:rFonts w:ascii="Arial" w:cs="Arial" w:eastAsia="Arial" w:hAnsi="Arial"/>
                  <w:sz w:val="18"/>
                  <w:szCs w:val="18"/>
                  <w:color w:val="auto"/>
                </w:rPr>
                <w:t>Exhibits and Financial Statement Schedules</w:t>
              </w:r>
            </w:hyperlink>
          </w:p>
        </w:tc>
        <w:tc>
          <w:tcPr>
            <w:tcW w:w="900" w:type="dxa"/>
            <w:vAlign w:val="bottom"/>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9880" w:type="dxa"/>
            <w:vAlign w:val="bottom"/>
          </w:tcPr>
          <w:p>
            <w:pPr>
              <w:ind w:left="100"/>
              <w:spacing w:after="0"/>
              <w:rPr>
                <w:sz w:val="20"/>
                <w:szCs w:val="20"/>
                <w:color w:val="auto"/>
              </w:rPr>
            </w:pPr>
            <w:r>
              <w:rPr>
                <w:rFonts w:ascii="Arial" w:cs="Arial" w:eastAsia="Arial" w:hAnsi="Arial"/>
                <w:sz w:val="18"/>
                <w:szCs w:val="18"/>
                <w:color w:val="auto"/>
              </w:rPr>
              <w:t>Form 10-K Summary</w:t>
            </w:r>
          </w:p>
        </w:tc>
        <w:tc>
          <w:tcPr>
            <w:tcW w:w="900" w:type="dxa"/>
            <w:vAlign w:val="bottom"/>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jc w:val="both"/>
        <w:ind w:right="40" w:firstLine="405"/>
        <w:spacing w:after="0" w:line="288" w:lineRule="auto"/>
        <w:rPr>
          <w:sz w:val="20"/>
          <w:szCs w:val="20"/>
          <w:color w:val="auto"/>
        </w:rPr>
      </w:pPr>
      <w:r>
        <w:rPr>
          <w:rFonts w:ascii="Arial" w:cs="Arial" w:eastAsia="Arial" w:hAnsi="Arial"/>
          <w:sz w:val="16"/>
          <w:szCs w:val="16"/>
          <w:color w:val="auto"/>
        </w:rPr>
        <w:t>Unless otherwise indicated, references in this Annual Report on Form 10-K (this "report") to "we," "our," "us" or like terms refer to Westlake Chemical Partners LP ("Westlake Chemical Partners LP" or the "Partnership"), Westlake Chemical OpCo LP ("OpCo") and Westlake Chemical OpCo GP LLC ("OpCo GP"). References to "Westlake" refer to Westlake Chemical Corporation and its consolidated subsidiaries other than the Partnership, OpCo GP and OpCo.</w:t>
      </w:r>
    </w:p>
    <w:p>
      <w:pPr>
        <w:ind w:right="180"/>
        <w:spacing w:after="0" w:line="261" w:lineRule="auto"/>
        <w:rPr>
          <w:sz w:val="20"/>
          <w:szCs w:val="20"/>
          <w:color w:val="auto"/>
        </w:rPr>
      </w:pPr>
      <w:r>
        <w:rPr>
          <w:rFonts w:ascii="Arial" w:cs="Arial" w:eastAsia="Arial" w:hAnsi="Arial"/>
          <w:sz w:val="18"/>
          <w:szCs w:val="18"/>
          <w:color w:val="auto"/>
        </w:rPr>
        <w:t>Unless the context otherwise requires, references to our "board of directors" or our "directors" refer to the board of directors of our general partner and such board's directors, respectively.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funding and results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Partnership's At-the-Market program and the use of any net proceeds from any sales under that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"Part 1. Item 1A. Risk Factors" of this report and the following:</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other countries;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market conditions, including our cost of capital, and our ability to raise adequate capital to execute our business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or regulations (including regulations concerning our operations, products and the downstream applications in which our products are used);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capital resources and liquidity, including but not limited to, availability of sufficient cash flow to execute our business strategies and to pay distributions;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25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Industry and market data used throughout this report were obtained through internal research, surveys and studies conducted by unrelated third parties and publicly available industry and general publications, including information from IHS Markit ("IHS").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Capacity</w:t>
      </w:r>
    </w:p>
    <w:p>
      <w:pPr>
        <w:spacing w:after="0" w:line="175"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Unless we state otherwise, annual production capacity estimates used throughout this report represent rated capacity of the facilities at December 31, 2019.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340" w:firstLine="405"/>
        <w:spacing w:after="0" w:line="255" w:lineRule="auto"/>
        <w:rPr>
          <w:sz w:val="20"/>
          <w:szCs w:val="20"/>
          <w:color w:val="auto"/>
        </w:rPr>
      </w:pPr>
      <w:r>
        <w:rPr>
          <w:rFonts w:ascii="Arial" w:cs="Arial" w:eastAsia="Arial" w:hAnsi="Arial"/>
          <w:sz w:val="18"/>
          <w:szCs w:val="18"/>
          <w:color w:val="auto"/>
        </w:rPr>
        <w:t>We are a Delaware limited partnership formed by Westlake in March 2014 to operate, acquire and develop ethylene production facilities and related assets. On August 4, 2014, we completed our initial public offering (the "IPO") of 12,937,500 common units representing limited partner interests. In connection with the IPO, we acquired an initial 10.6% interest in OpCo and a 100% interest in OpCo GP, which is the general partner of OpCo. As of December 31, 2018, we had an aggregate 18.3% limited partner interest in OpCo.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58"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Our business and operations are conducted through OpCo. Because we own OpCo's general partner, we have control over all of OpCo's assets and operations. As of December 31, 2019, Westlake held a 77.2% limited partner interest in OpCo and held a 40.1% limited partner interest in us (consisting of 14,122,230 common units), our general partner interest and our incentive distribution rights.</w:t>
      </w:r>
    </w:p>
    <w:p>
      <w:pPr>
        <w:spacing w:after="0" w:line="127"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6"/>
          <w:szCs w:val="16"/>
          <w:color w:val="auto"/>
        </w:rPr>
        <w:t>OpCo's assets are comprised of three ethylene production facilities, which primarily convert ethane into ethylene and have an aggregate annual capacity of approximately 3.7 billion pounds, and a 200-mile ethylene pipeline. OpCo derives substantially all of its revenue from these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22.8% limited partner interest in OpCo.</w:t>
      </w:r>
    </w:p>
    <w:p>
      <w:pPr>
        <w:spacing w:after="0" w:line="119"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Among other agreements entered into in connection with the closing of the IPO, OpCo entered into a 12-year ethylene sales agreement with Westlake,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ethane (and any other feedstocks) required for OpCo to produce ethylene under the Ethylene Sales Agreement (the "Feedstock Supply Agreement"). OpCo primarily uses ethane (a component of natural gas liquids, or NGLs) to produce ethylene.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Westlake Chemical Partners LP</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simplified diagram depicts our organizational structure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66040</wp:posOffset>
            </wp:positionV>
            <wp:extent cx="5659755" cy="4579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9755" cy="457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Public Common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340" w:type="dxa"/>
            <w:vAlign w:val="bottom"/>
            <w:shd w:val="clear" w:color="auto" w:fill="CCEEFF"/>
          </w:tcPr>
          <w:p>
            <w:pPr>
              <w:spacing w:after="0"/>
              <w:rPr>
                <w:sz w:val="23"/>
                <w:szCs w:val="23"/>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Interests of Westlake: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9520" w:type="dxa"/>
            <w:vAlign w:val="bottom"/>
          </w:tcPr>
          <w:p>
            <w:pPr>
              <w:ind w:left="380"/>
              <w:spacing w:after="0"/>
              <w:rPr>
                <w:sz w:val="20"/>
                <w:szCs w:val="20"/>
                <w:color w:val="auto"/>
              </w:rPr>
            </w:pPr>
            <w:r>
              <w:rPr>
                <w:rFonts w:ascii="Arial" w:cs="Arial" w:eastAsia="Arial" w:hAnsi="Arial"/>
                <w:sz w:val="18"/>
                <w:szCs w:val="18"/>
                <w:color w:val="auto"/>
              </w:rPr>
              <w:t>Non-Economic General Partner Interest</w:t>
            </w: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9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Incentive Distribution Rights</w:t>
            </w:r>
          </w:p>
        </w:tc>
        <w:tc>
          <w:tcPr>
            <w:tcW w:w="1900" w:type="dxa"/>
            <w:vAlign w:val="bottom"/>
            <w:gridSpan w:val="2"/>
            <w:shd w:val="clear" w:color="auto" w:fill="CCEEFF"/>
          </w:tcPr>
          <w:p>
            <w:pPr>
              <w:ind w:left="12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r>
      <w:tr>
        <w:trPr>
          <w:trHeight w:val="237"/>
        </w:trPr>
        <w:tc>
          <w:tcPr>
            <w:tcW w:w="95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0"/>
                <w:szCs w:val="20"/>
                <w:color w:val="auto"/>
              </w:rPr>
            </w:pPr>
          </w:p>
        </w:tc>
      </w:tr>
      <w:tr>
        <w:trPr>
          <w:trHeight w:val="27"/>
        </w:trPr>
        <w:tc>
          <w:tcPr>
            <w:tcW w:w="95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0"/>
        </w:trPr>
        <w:tc>
          <w:tcPr>
            <w:tcW w:w="95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0" w:hanging="412"/>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 and Operations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sole revenue generating asset is our 22.8% limited partner interest in OpCo. We also own the general partner interest of OpCo. OpCo owns:</w:t>
      </w:r>
    </w:p>
    <w:p>
      <w:pPr>
        <w:spacing w:after="0" w:line="102" w:lineRule="exact"/>
        <w:rPr>
          <w:sz w:val="20"/>
          <w:szCs w:val="20"/>
          <w:color w:val="auto"/>
        </w:rPr>
      </w:pPr>
    </w:p>
    <w:p>
      <w:pPr>
        <w:ind w:left="660" w:right="5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ethylene production facilities at Westlake's Lake Charles, Louisiana site ("Petro 1" and "Petro 2," collectively referred to as "Lake Charles Olefins"), with an annual combined capacity of approximately 3.0 billion pounds;</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ethylene production facility at Westlake's Calvert City, Kentucky site ("Calvert City Olefins"), with an annual capacity of approximately 730 million pounds; and</w:t>
      </w:r>
    </w:p>
    <w:p>
      <w:pPr>
        <w:spacing w:after="0" w:line="3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200-mile common carrier ethylene pipeline that runs from Mont Belvieu, Texas to the Longview, Texas chemical site, which includes Westlake's Longview PE production facility (the "Longview Pipeline").</w:t>
      </w:r>
    </w:p>
    <w:p>
      <w:pPr>
        <w:spacing w:after="0" w:line="11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the owner of the general partner interest of OpCo, we control all aspects of the management of OpCo, including its cash distribution policy. See "— OpCo's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OpCo's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Production Facilities</w:t>
      </w:r>
      <w:r>
        <w:rPr>
          <w:rFonts w:ascii="Arial" w:cs="Arial" w:eastAsia="Arial" w:hAnsi="Arial"/>
          <w:sz w:val="18"/>
          <w:szCs w:val="18"/>
          <w:color w:val="auto"/>
        </w:rPr>
        <w:t>.</w:t>
      </w:r>
    </w:p>
    <w:p>
      <w:pPr>
        <w:spacing w:after="0" w:line="9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OpCo operates three ethylene production facilities that are situated on real property leased to OpCo by Westlake pursuant to 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regarding OpCo's ethylene production facilities as of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Production</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10"/>
              <w:spacing w:after="0" w:line="149" w:lineRule="exact"/>
              <w:rPr>
                <w:sz w:val="20"/>
                <w:szCs w:val="20"/>
                <w:color w:val="auto"/>
              </w:rPr>
            </w:pPr>
            <w:r>
              <w:rPr>
                <w:rFonts w:ascii="Arial" w:cs="Arial" w:eastAsia="Arial" w:hAnsi="Arial"/>
                <w:sz w:val="14"/>
                <w:szCs w:val="14"/>
                <w:b w:val="1"/>
                <w:bCs w:val="1"/>
                <w:color w:val="auto"/>
              </w:rPr>
              <w:t>Capacity</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Primary Uses of</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Plant Location (Description)</w:t>
            </w:r>
          </w:p>
        </w:tc>
        <w:tc>
          <w:tcPr>
            <w:tcW w:w="120" w:type="dxa"/>
            <w:vAlign w:val="bottom"/>
            <w:vMerge w:val="restart"/>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(millions of</w:t>
            </w:r>
          </w:p>
        </w:tc>
        <w:tc>
          <w:tcPr>
            <w:tcW w:w="100" w:type="dxa"/>
            <w:vAlign w:val="bottom"/>
          </w:tcPr>
          <w:p>
            <w:pPr>
              <w:spacing w:after="0"/>
              <w:rPr>
                <w:sz w:val="12"/>
                <w:szCs w:val="12"/>
                <w:color w:val="auto"/>
              </w:rPr>
            </w:pPr>
          </w:p>
        </w:tc>
        <w:tc>
          <w:tcPr>
            <w:tcW w:w="3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Feedstock</w:t>
            </w:r>
          </w:p>
        </w:tc>
        <w:tc>
          <w:tcPr>
            <w:tcW w:w="10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pounds)</w:t>
            </w: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Ethylene</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Lake Charles, Louisiana (Petro 1)</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Ethane, ethane/propane mix, propane,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Lake Charles, Louisiana (Petro 2)</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butane or naphtha</w:t>
            </w:r>
          </w:p>
        </w:tc>
        <w:tc>
          <w:tcPr>
            <w:tcW w:w="1480" w:type="dxa"/>
            <w:vAlign w:val="bottom"/>
          </w:tcPr>
          <w:p>
            <w:pPr>
              <w:ind w:left="4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Calvert City, Kentucky (Calvert City Olefins)</w:t>
            </w:r>
          </w:p>
        </w:tc>
        <w:tc>
          <w:tcPr>
            <w:tcW w:w="6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 or propane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Lake Charles Olefins</w:t>
      </w:r>
    </w:p>
    <w:p>
      <w:pPr>
        <w:spacing w:after="0" w:line="90" w:lineRule="exact"/>
        <w:rPr>
          <w:sz w:val="20"/>
          <w:szCs w:val="20"/>
          <w:color w:val="auto"/>
        </w:rPr>
      </w:pPr>
    </w:p>
    <w:p>
      <w:pPr>
        <w:ind w:right="720" w:firstLine="405"/>
        <w:spacing w:after="0" w:line="342" w:lineRule="auto"/>
        <w:rPr>
          <w:sz w:val="20"/>
          <w:szCs w:val="20"/>
          <w:color w:val="auto"/>
        </w:rPr>
      </w:pPr>
      <w:r>
        <w:rPr>
          <w:rFonts w:ascii="Arial" w:cs="Arial" w:eastAsia="Arial" w:hAnsi="Arial"/>
          <w:sz w:val="16"/>
          <w:szCs w:val="16"/>
          <w:color w:val="auto"/>
        </w:rPr>
        <w:t>Two of OpCo's ethylene production facilities, which we refer to as Petro 1 and Petro 2 and, collectively, as Lake Charles Olefins, are located at Westlake's Lake Charles site. The combined capacity of these two ethylene production facilities is approximately 3.0 billion pounds per year.</w:t>
      </w:r>
    </w:p>
    <w:p>
      <w:pPr>
        <w:spacing w:after="0" w:line="70"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Within Westlake's Lake Charles site, Petro 1 and Petro 2 are connected by pipeline systems to Westlake's polyethylene plants. Westlake may use the ethylene it purchases from OpCo at its Lake Charles facilities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addition, OpCo produces ethylene co-products including chemical grade propylene, crude butadiene, pyrolysis gasoline and hydrogen. OpCo sells its output of these co-products to external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 City Olefins</w:t>
      </w:r>
    </w:p>
    <w:p>
      <w:pPr>
        <w:spacing w:after="0" w:line="9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One of OpCo's ethylene production facilities is located at Westlake's Calvert City site, which we refer to as Calvert City Olefins. The capacity of Calvert City Olefins is approximately 730 million pounds per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has perpetual and paid-up licenses for steam cracking and process recovery technology used at its ethylene plants.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Agreements with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Except as otherwise indicated, the agreements described below became effective on August 4, 2014, concurrent with the closing of the IPO.</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takes are rebated to Westlake. Under specified circumstances, unrecovered costs may be carried forward for recovery in subsequent years.</w:t>
      </w:r>
    </w:p>
    <w:p>
      <w:pPr>
        <w:spacing w:after="0" w:line="32"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4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sells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OpCo and Westlake are parties 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OpCo and Westlake are parties to two 50-year site lease agreements (the "Site Leases"). Under the Site Leases, OpCo leases the real property underlying Calvert City Olefins and Lake Charles Olefins and is granted certain use and access right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7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OpCo and Westlake are parties to an exchange agreement, which had an initial term through August 1, 2015 and continues on an annual basis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360" w:firstLine="405"/>
        <w:spacing w:after="0" w:line="312" w:lineRule="auto"/>
        <w:rPr>
          <w:sz w:val="20"/>
          <w:szCs w:val="20"/>
          <w:color w:val="auto"/>
        </w:rPr>
      </w:pPr>
      <w:r>
        <w:rPr>
          <w:rFonts w:ascii="Arial" w:cs="Arial" w:eastAsia="Arial" w:hAnsi="Arial"/>
          <w:sz w:val="16"/>
          <w:szCs w:val="16"/>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9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August 17, 2017, we, OpCo and Westlake executed an Investment Management Agreement that authorizes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w:t>
      </w:r>
    </w:p>
    <w:p>
      <w:pPr>
        <w:spacing w:after="0" w:line="133"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See "Liquidity and Capital Resources" in Item 7. "Management's Discussion and Analysis" for discussions of the Partnership's and OpCo's debt agreements with Westlake and "Interest Rate Risk" in Item 7A. "Quantitative and Qualitative Disclosures about Market Risk" for the Partnership's interest rate contract with Westlake.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is common in our industry, we and OpCo are subject to environmental laws and regulations related to the use, storage, handling, generation, transportation, emission, discharge, disposal and remediation of, and exposure to, hazardous and non-hazardous substances and wastes in all of the jurisdictions in which we do business. National, state or provincial and local standards regulating air, water and land quality affect substantially all of our manufacturing locations. Compliance with such laws and regulations has required and will continue to require capital expenditures and increase operating costs. Pursuant to our arrangement with Westlake, Westlake will indemnify us for liabilities that occurred or existed (in connection with compliance with such laws and regulations) prior to August 4, 2014.</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It is our policy to comply with all environmental, health and safety requirements in the jurisdictions in which we and OpCo operate and to provide safe and environmentally sound workplaces for our employees. In some cases, compliance can be achieved only by incurring capital expenditures. In 2019, OpCo incurred capital expenditures of $2.7 million related to environmental compliance. We estimate that OpCo will make capital expenditures of approximately $3.2 million in 2020 and $3.3 million in 2021, respectively, related to environmental compliance. The expected 2020 and 2021 capital expenditures are relatively higher than the amounts we have spent related to environmental compliance in recent years due to increased capital expenditures related to Environmental Protection Agency (the "EPA") regulations. We anticipate that stringent environmental regulations will continue to be imposed on us and the industry in general. Although we cannot predict with certainty future expenditures, management believes that our current spending trends will continue.</w:t>
      </w:r>
    </w:p>
    <w:p>
      <w:pPr>
        <w:spacing w:after="0" w:line="11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EPA has been conducting an enforcement initiative against petroleum refineries and petrochemical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spacing w:after="0" w:line="124"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Also, see the discussion of our environmental matters contained in "Item 1A. Risk Factors" and "Item 3—Legal Proceedings"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Neither we nor OpCo has any employees. Under the Services and Secondment Agreement with Westlake, Westlake seconds employees to OpCo to allow OpCo to operate its facilities. Such seconded employees are under OpCo's control while they work on OpCo's facilities. As of December 31, 2019, 150 employees were seconded to OpCo. Of these, 25 are covered by collective bargaining agreements that expire on November 1, 2024. There have been no strikes, lockouts or work stoppages at OpCo's facilities. We believe that Westlake's relationship with the local union officials and bargaining committees is open and positive.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the ordinary conduct of our business, we and Westlake and our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ind w:right="340" w:firstLine="405"/>
        <w:spacing w:after="0" w:line="312" w:lineRule="auto"/>
        <w:rPr>
          <w:sz w:val="20"/>
          <w:szCs w:val="20"/>
          <w:color w:val="auto"/>
        </w:rPr>
      </w:pPr>
      <w:r>
        <w:rPr>
          <w:rFonts w:ascii="Arial" w:cs="Arial" w:eastAsia="Arial" w:hAnsi="Arial"/>
          <w:sz w:val="16"/>
          <w:szCs w:val="16"/>
          <w:color w:val="auto"/>
        </w:rPr>
        <w:t>Due to the Ethylene Sales Agreement and integration with Westlake, OpCo does not directly compete with other ethylene producers for 95% of the planned volumes it produces. It is only on the 5% of planned ethylene volumes not sold to Westlake where OpCo competes with other regional merchant ethylene producers, including LyondellBasell Industries, N.V., Shell Chemical Company, BASF Corporation and Motiva Enterprises LLC.</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website address is www.wlkpartners.com</w:t>
      </w:r>
      <w:r>
        <w:rPr>
          <w:rFonts w:ascii="Arial" w:cs="Arial" w:eastAsia="Arial" w:hAnsi="Arial"/>
          <w:sz w:val="17"/>
          <w:szCs w:val="17"/>
          <w:i w:val="1"/>
          <w:iCs w:val="1"/>
          <w:color w:val="auto"/>
        </w:rPr>
        <w:t>.</w:t>
      </w:r>
      <w:r>
        <w:rPr>
          <w:rFonts w:ascii="Arial" w:cs="Arial" w:eastAsia="Arial" w:hAnsi="Arial"/>
          <w:sz w:val="17"/>
          <w:szCs w:val="17"/>
          <w:color w:val="auto"/>
        </w:rPr>
        <w:t xml:space="preserve"> Our website content is available for information purposes only. It should not be relied upon for investment purposes, nor is it incorporated by reference in this Form 10-K. We make available on this website under "Investor Relations/SEC Filings," free of charge, our proxy statements, annual reports on Form 10-K, quarterly reports on Form 10-Q, current reports on Form 8-K and amendments to those materials as soon as reasonably practicable after we electronically file those materials with, or furnish those materials to, the SEC. The SEC also maintains a website at www.sec.gov that contains reports, proxy statements and other information regarding SEC registrants, including us.</w:t>
      </w:r>
    </w:p>
    <w:p>
      <w:pPr>
        <w:spacing w:after="0" w:line="119"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We intend to satisfy the requirement under Item 5.05 of Form 8-K to disclose any amendments to our Code of Ethics and any waiver from a provision of our Code of Ethics by posting such information on our website at www.wlkpartners.com under "Investor Relations/Corporate Governance."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133"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any of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(which occur approximately every five years) other than under certain circumstances relating to the occurrence of force majeure. We expect that each of OpCo's facilities will have a turnaround once every five years and will not operate for typically between 25 and 45 days during each turnaround by itself. However, the duration of a turnaround by itself may be longer than expected or may cost more than originally estimated. Furthermore, expansions may also coincide with turnarounds, which may complicate and delay the completion of such turnarounds.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11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Westlake may be unable to generate enough cash flow from operations to meet its minimum obligations under the Ethylene Sales Agreement if its business is adversely impacted by competition, operational problems, general adverse economic conditions or the inability to obtain feedstock. For example, sustained lower prices of crude oil, such as the prices experienced from the third quarter of 2014 through 2019 (as of December 31, 2019, approximately 43% lower than their 2014 peak levels) have led and may lead to lower margins for Westlake in the United States. If Westlake were unable to meet its minimum payment obligations to OpCo as a result of any one or more of these factors, our ability to make distributions to our unitholders would be reduced or eliminated. The level of payments made by Westlake will depend upon its ability to pay its minimum obligations under the Ethylene Sales Agreement and its ability and election to increase volumes above the minimums specified in the Ethylene Sales Agreement, which in turn are dependent upon, among other things, the level of production at Westlake's other facilities.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which will fluctuate from quarter to quarter based on the following factors, some of which are beyond our control: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3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and cyclical downturns in the chemicals industry and other industries which materially and adversely impact Westlake and our other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Westlake's inability to perform, or any other default on its obligations, under the Ethylene Sales Agreement;</w:t>
      </w:r>
    </w:p>
    <w:p>
      <w:pPr>
        <w:spacing w:after="0" w:line="9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environmental remediation at OpCo's facilities not covered by Westlake or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expected operating levels of OpCo's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OpCo's ability to meet minimum volume requirements, yield standards and ethylene quality requirements in the Ethylene Sales Agreement;</w:t>
      </w:r>
    </w:p>
    <w:p>
      <w:pPr>
        <w:spacing w:after="0" w:line="101" w:lineRule="exact"/>
        <w:rPr>
          <w:rFonts w:ascii="Arial" w:cs="Arial" w:eastAsia="Arial" w:hAnsi="Arial"/>
          <w:sz w:val="17"/>
          <w:szCs w:val="17"/>
          <w:color w:val="auto"/>
        </w:rPr>
      </w:pPr>
    </w:p>
    <w:p>
      <w:pPr>
        <w:ind w:left="660" w:right="3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OpCo's ability to renew the Ethylene Sales Agreement or to enter into new, long-term agreements for the sale of ethylene under terms similar or more favorable;</w:t>
      </w:r>
    </w:p>
    <w:p>
      <w:pPr>
        <w:spacing w:after="0" w:line="35" w:lineRule="exact"/>
        <w:rPr>
          <w:rFonts w:ascii="Arial" w:cs="Arial" w:eastAsia="Arial" w:hAnsi="Arial"/>
          <w:sz w:val="18"/>
          <w:szCs w:val="18"/>
          <w:color w:val="auto"/>
        </w:rPr>
      </w:pPr>
    </w:p>
    <w:p>
      <w:pPr>
        <w:ind w:left="660" w:right="16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marketplace that may affect supply and demand for ethane or ethylene, including decreased availability of ethane (which may result from greater restrictions on hydraulic fracturing, any reduction in hydraulic fracturing due to low crude oil prices or exports of natural gas liquids from the United States, for example), increased production of ethylene or export of ethane or ethylene from the United States;</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overall levels of production, production capacity, pricing and/or margins for ethylene;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OpCo's ability to secure adequate supplies of ethane, other feedstocks and natural gas from Westlake or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use higher priced or less attractive feedstock due to the unavailability of ethane;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pipeline, railroad, barge, truck and other transportation performance and costs, including any transportation disruptions;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cost of labor;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employees and workplace safety;</w:t>
      </w:r>
    </w:p>
    <w:p>
      <w:pPr>
        <w:spacing w:after="0" w:line="9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product specifications for the ethylene that we produce;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insurance markets and the level, types and costs of coverage available, and the financial ability of our insurers to meet their obligations;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or new, statutes, regulations or governmental policies by federal, state and local authorities with respect to protection of the environment;</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rules and/or tax laws or their interpretations;</w:t>
      </w:r>
    </w:p>
    <w:p>
      <w:pPr>
        <w:spacing w:after="0" w:line="9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or force majeure by, or disputes with or changes in contract terms with, Westlake, our other major customers, suppliers, dealers, distributors or other business partners;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or new, statutes, regulations, governmental policies and taxes, or their interpretations.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actual amount of cash we will have available for distribution will depend on other factors, including:</w:t>
      </w:r>
    </w:p>
    <w:p>
      <w:pPr>
        <w:spacing w:after="0" w:line="90" w:lineRule="exact"/>
        <w:rPr>
          <w:sz w:val="20"/>
          <w:szCs w:val="20"/>
          <w:color w:val="auto"/>
        </w:rPr>
      </w:pPr>
    </w:p>
    <w:p>
      <w:pPr>
        <w:ind w:left="660" w:right="18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 of cash we or OpCo are able to generate from sales of ethylene, and associated co-products, to third parties, which will be impacted by changes in prices for ethane (or other feedstocks), natural gas, ethylene and co-products and sustained lower prices of crude oil, such as those experienced from the third quarter of 2014 through 2019, and could be less than the margin we earn from ethylene sales to Westlake;</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capital expenditures we or OpCo make;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acquisitions;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or OpCo's working capital needs;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or OpCo's ability to borrow funds (including under our or OpCo's revolving credit facilities) and access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or OpCo's debt service requirements and other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contained in our or OpCo's existing or future debt agreements;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w:t>
      </w:r>
    </w:p>
    <w:p>
      <w:pPr>
        <w:spacing w:after="0" w:line="3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would be reduced or eliminated. Westlake has not pledged any assets to us as security for the performance of its obligations.</w:t>
      </w:r>
    </w:p>
    <w:p>
      <w:pPr>
        <w:spacing w:after="0" w:line="1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OpCo is a restricted subsidiary under certain indentures governing Westlake's senior notes. Restrictions in the indentures could limit OpCo's ability to make distributions to us.</w:t>
      </w:r>
    </w:p>
    <w:p>
      <w:pPr>
        <w:spacing w:after="0" w:line="3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All of our cash is currently generated from cash distributions from OpCo. Certain indentures governing Westlake's senior notes impose significant operating and financial restrictions on OpCo. These restrictions limit OpCo's ability to:</w:t>
      </w:r>
    </w:p>
    <w:p>
      <w:pPr>
        <w:spacing w:after="0" w:line="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investments and other restricted payments;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indebtedness or issue preferred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all or substantially all of its assets or consolidate or merge with or into other companies;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addition, the indentures governing Westlake's senior notes prevent OpCo from making distributions to us if any default or event of default (as defined in the indentures) exists.</w:t>
      </w:r>
    </w:p>
    <w:p>
      <w:pPr>
        <w:spacing w:after="0" w:line="116"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These limitations are subject to a number of important qualifications and exceptions. Currently, many of these restrictions in the indentures governing Westlake's senior notes are suspended because the senior notes are currently rated investment grade by at least two nationally recognized credit rating agencies.</w:t>
      </w:r>
    </w:p>
    <w:p>
      <w:pPr>
        <w:spacing w:after="0" w:line="12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w:t>
      </w:r>
    </w:p>
    <w:p>
      <w:pPr>
        <w:spacing w:after="0" w:line="181" w:lineRule="exact"/>
        <w:rPr>
          <w:sz w:val="20"/>
          <w:szCs w:val="20"/>
          <w:color w:val="auto"/>
        </w:rPr>
      </w:pPr>
    </w:p>
    <w:p>
      <w:pPr>
        <w:ind w:right="380"/>
        <w:spacing w:after="0" w:line="334" w:lineRule="auto"/>
        <w:rPr>
          <w:sz w:val="20"/>
          <w:szCs w:val="20"/>
          <w:color w:val="auto"/>
        </w:rPr>
      </w:pPr>
      <w:r>
        <w:rPr>
          <w:rFonts w:ascii="Arial" w:cs="Arial" w:eastAsia="Arial" w:hAnsi="Arial"/>
          <w:sz w:val="16"/>
          <w:szCs w:val="16"/>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Any sustained disruption in its ability to meet its supply obligations under the Ethylene Sales Agreement could have a material adverse effect on our results of operations and therefore our ability to distribute cash to unitholders.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ethylene sales price charged under the Ethylene Sales Agreement is designed to permit OpCo to cover the substantial majority of its operating costs, but not our public partnership and other OpCo costs, which will reduce our net operating profit.</w:t>
      </w:r>
    </w:p>
    <w:p>
      <w:pPr>
        <w:spacing w:after="0" w:line="3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price is not designed to allow OpCo to recover any capital expenditures related to expansion, or operational efficiency. The ethylene sales price also does not increase to cover our public partnership costs. Both of these costs reduce our net operating profit.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fee structure of the Ethylene Sales Agreement may limit OpCo's ability to take advantage of favorable market developments in the future.</w:t>
      </w:r>
    </w:p>
    <w:p>
      <w:pPr>
        <w:spacing w:after="0" w:line="11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0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4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Westlake's obligations under the Ethylene Sales Agreement, the Feedstock Supply Agreement and the related Services and Secondment Agreement will become terminable by either party commencing December 31, 2026. If OpCo were unable to reach agreement with Westlake on an extension or replacement of these agreements, then our ability to make distributions on our common units could be materially adversely affected and the value of our common units could decline.</w:t>
      </w: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3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2" w:right="27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depends upon Westlake for numerous services and for its labor force.</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Pursuant to the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OpCo's ability to receive greater cash flows from increased production may be limited by the Ethylene Sales Agreement.</w:t>
      </w:r>
    </w:p>
    <w:p>
      <w:pPr>
        <w:spacing w:after="0" w:line="9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35" w:lineRule="exact"/>
        <w:rPr>
          <w:sz w:val="20"/>
          <w:szCs w:val="20"/>
          <w:color w:val="auto"/>
        </w:rPr>
      </w:pPr>
    </w:p>
    <w:p>
      <w:pPr>
        <w:jc w:val="both"/>
        <w:ind w:right="40" w:firstLine="405"/>
        <w:spacing w:after="0" w:line="302" w:lineRule="auto"/>
        <w:rPr>
          <w:sz w:val="20"/>
          <w:szCs w:val="20"/>
          <w:color w:val="auto"/>
        </w:rPr>
      </w:pPr>
      <w:r>
        <w:rPr>
          <w:rFonts w:ascii="Arial" w:cs="Arial" w:eastAsia="Arial" w:hAnsi="Arial"/>
          <w:sz w:val="16"/>
          <w:szCs w:val="16"/>
          <w:color w:val="auto"/>
        </w:rPr>
        <w:t>The amount of cash we have available for distribution depends primarily upon our cash flow, including cash flow from reserves and working capital or borrowings (including any under our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revolving credit facilities when we do not have sufficient cash flows to pay cash distributions.</w:t>
      </w:r>
    </w:p>
    <w:p>
      <w:pPr>
        <w:spacing w:after="0" w:line="18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1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5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mistaken assumptions about revenues and costs, including synergies;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successfully integrate the businesses we acquire;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hire, train or retain qualified personnel to manage and operate our business and newly acquired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unknown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difficulties in connection with operating in new product areas or new geographic areas;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or key employee losses at the acquired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0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intend to establish cash reserves in order to cover turnaround expenditures, the amounts we reserve may not be sufficient to fully cover such expenditures.</w:t>
      </w:r>
    </w:p>
    <w:p>
      <w:pPr>
        <w:spacing w:after="0" w:line="46"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Many of the assets we use to produce ethylene are generally long-lived assets. As a result, some of those assets have been in service for many decades. The age and condition of these assets could result in increased maintenance or repair expenditures. In addition, while we intend to establish cash reserves in order to cover our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Regulations concerning the transportation of hazardous chemicals and the security of chemical manufacturing facilities could result in higher operating costs.</w:t>
      </w:r>
    </w:p>
    <w:p>
      <w:pPr>
        <w:spacing w:after="0" w:line="3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Chemical manufacturing facilities may be at greater risk of terrorist attacks than other potential targets in the U.S. As a result, the chemicals industry responded to the issues surrounding the terrorist attacks of September 11, 2001 by starting initiatives relating to the security of chemicals industry facilities and the transportation of hazardous chemicals in the U.S. Simultaneously, local, state and federal governments began a regulatory process that led to new regulations impacting the security of chemical plant locations and the transportation of hazardous chemicals. Our business or our customers' businesses could be adversely affected because of the cost of complying with these regulations.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production facilities process volatile and hazardous materials that subject us to operating risks that could adversely affect our operating results.</w:t>
      </w:r>
    </w:p>
    <w:p>
      <w:pPr>
        <w:spacing w:after="0" w:line="113"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operations are subject to the usual hazards associated with commodity chemical manufacturing and the related use, storage, transportation and disposal of feedstocks, products and wastes, including:</w:t>
      </w:r>
    </w:p>
    <w:p>
      <w:pPr>
        <w:spacing w:after="0" w:line="3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explosions;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environmental risks;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90"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We use hazardous substances and generate hazardous wastes and emissions in our manufacturing operations. Our industry is highly regulated and monitored by various environmental regulatory authorities such as the EPA.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1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April 2016, the EPA issued an Information Collection Request ("ICR") for ethylene production facilities to inform the agency's mandatory Risk and Technology Review of the existing ethylene maximum available technology ("MACT") rule, which regulates the emissions of organic Hazardous Air Pollutants (HAP) including benzene, toluene and xylene among others. The EPA evaluated companies' responses and testing data from the ICR and published a proposed rule amending the ethylene MACT rule in October 2019. Among other things, the proposed rule would strengthen heat exchange system and storage vessel control requirements, add monitoring and operational requirements for flares, and remove exemptions for periods of startup, shutdown, and malfunctions. Our operations also produce greenhouse gas ("GHG") emissions, which have been the subject of increased scrutiny and regulation.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processing results in GHG emissions, these and other GHG laws and regulations could affect our costs of doing business.</w:t>
      </w:r>
    </w:p>
    <w:p>
      <w:pPr>
        <w:spacing w:after="0" w:line="1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133"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and similar state laws impose joint and several liability for the costs of remedial investigations and actions on the entities that are deemed responsible for a release of hazardous substances into the environment, including entities that have generated hazardous substances or arranged for their transportation or disposal, as well as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1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2" w:right="27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90"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Information technology system failures, network disruptions and breaches of data security due to internal or external factors including cyber-attacks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Westlake, which manages our security protocol under the omnibus agreement, has taken steps to address these concerns by implementing network security and internal control measures, including employee training, comprehensive monitoring of our networks and systems, maintenance of backup and protective systems and disaster recovery and incident response plans, Westlake's employees, systems, networks, products, facilities and services remain potentially vulnerable to sophisticated cyber-assault, and, as such, there can be no assurance that a system failure, network disruption or data security breach will not have a material adverse effect on our operations, business, financial condition, operating results or cash flow.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9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Terrorist activities, anti-terrorist efforts and other armed conflicts involving the U.S. or other jurisdictions could adversely affect the U.S.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Partnership Structure</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4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23" w:lineRule="exact"/>
        <w:rPr>
          <w:sz w:val="20"/>
          <w:szCs w:val="20"/>
          <w:color w:val="auto"/>
        </w:rPr>
      </w:pPr>
    </w:p>
    <w:p>
      <w:pPr>
        <w:ind w:left="660" w:right="4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Westlake, in exercising certain rights under our partnership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Westlake to pursue a business strategy that favors us;</w:t>
      </w:r>
    </w:p>
    <w:p>
      <w:pPr>
        <w:spacing w:after="0" w:line="9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in limited circumstances, our general partner has the power and authority to conduct our business without unitholder approval;</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3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w:t>
      </w:r>
    </w:p>
    <w:p>
      <w:pPr>
        <w:spacing w:after="0" w:line="4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general partner may cause us to borrow funds in order to permit the payment of cash distributions, even if the purpose or effect of the borrowing is to make incentive distributions or may cause us not to borrow funds to pay cash distributions when we do not otherwise have the funds pay such cash distributions;</w:t>
      </w:r>
    </w:p>
    <w:p>
      <w:pPr>
        <w:spacing w:after="0" w:line="46" w:lineRule="exact"/>
        <w:rPr>
          <w:rFonts w:ascii="Arial" w:cs="Arial" w:eastAsia="Arial" w:hAnsi="Arial"/>
          <w:sz w:val="18"/>
          <w:szCs w:val="18"/>
          <w:color w:val="auto"/>
        </w:rPr>
      </w:pPr>
    </w:p>
    <w:p>
      <w:pPr>
        <w:jc w:val="both"/>
        <w:ind w:left="660" w:right="4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the incentive distribution rights;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and its affiliates are reimbursable by us;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general partner may exercise its right to call and purchase common units if it and its affiliates own more than 80% of the common units;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that it and its affiliates owe to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 and</w:t>
      </w:r>
    </w:p>
    <w:p>
      <w:pPr>
        <w:spacing w:after="0" w:line="9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Please read "Westlake and other affiliates of our general partner may compete with us."</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35"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The board of directors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93" w:lineRule="exact"/>
        <w:rPr>
          <w:sz w:val="20"/>
          <w:szCs w:val="20"/>
          <w:color w:val="auto"/>
        </w:rPr>
      </w:pPr>
    </w:p>
    <w:p>
      <w:pPr>
        <w:ind w:right="360" w:firstLine="405"/>
        <w:spacing w:after="0" w:line="297" w:lineRule="auto"/>
        <w:rPr>
          <w:sz w:val="20"/>
          <w:szCs w:val="20"/>
          <w:color w:val="auto"/>
        </w:rPr>
      </w:pPr>
      <w:r>
        <w:rPr>
          <w:rFonts w:ascii="Arial" w:cs="Arial" w:eastAsia="Arial" w:hAnsi="Arial"/>
          <w:sz w:val="16"/>
          <w:szCs w:val="16"/>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intends to limit its liability regarding our obligations.</w:t>
      </w:r>
    </w:p>
    <w:p>
      <w:pPr>
        <w:spacing w:after="0" w:line="90"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Our general partner intends to limit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distribute a significant portion of our available cash to our partners, which could limit our ability to grow and make acquisitions.</w:t>
      </w:r>
    </w:p>
    <w:p>
      <w:pPr>
        <w:spacing w:after="0" w:line="11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 commercial borrowings or other debt to finance our growth strategy would result in increased interest expense, which, in turn, may impact the cash that we have available to distribute to our unitholders.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holders of our units.</w:t>
      </w:r>
    </w:p>
    <w:p>
      <w:pPr>
        <w:spacing w:after="0" w:line="90"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2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how to allocate business opportunities among us and its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to exercise its call right;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to exercise its registration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to elect to reset target distribution levels;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the partnership or amendment to the partnership agreement.</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35"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11" w:lineRule="exact"/>
        <w:rPr>
          <w:sz w:val="20"/>
          <w:szCs w:val="20"/>
          <w:color w:val="auto"/>
        </w:rPr>
      </w:pPr>
    </w:p>
    <w:p>
      <w:pPr>
        <w:ind w:left="660" w:right="14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30"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5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approved by the conflicts committee of the board of directors, although our general partner is not obligated to seek such approval; or</w:t>
      </w:r>
    </w:p>
    <w:p>
      <w:pPr>
        <w:spacing w:after="0" w:line="101" w:lineRule="exact"/>
        <w:rPr>
          <w:rFonts w:ascii="Arial" w:cs="Arial" w:eastAsia="Arial" w:hAnsi="Arial"/>
          <w:sz w:val="17"/>
          <w:szCs w:val="17"/>
          <w:color w:val="auto"/>
        </w:rPr>
      </w:pPr>
    </w:p>
    <w:p>
      <w:pPr>
        <w:ind w:left="980" w:right="6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approved by the vote of a majority of the outstanding common units, excluding any common units owned by our general partner and its affiliates.</w:t>
      </w:r>
    </w:p>
    <w:p>
      <w:pPr>
        <w:spacing w:after="0" w:line="116"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1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and other affiliates of our general partner may compete with us.</w:t>
      </w:r>
    </w:p>
    <w:p>
      <w:pPr>
        <w:spacing w:after="0" w:line="90"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1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30" w:lineRule="exact"/>
        <w:rPr>
          <w:sz w:val="20"/>
          <w:szCs w:val="20"/>
          <w:color w:val="auto"/>
        </w:rPr>
      </w:pPr>
    </w:p>
    <w:p>
      <w:pPr>
        <w:jc w:val="both"/>
        <w:ind w:right="220" w:firstLine="405"/>
        <w:spacing w:after="0" w:line="288" w:lineRule="auto"/>
        <w:rPr>
          <w:sz w:val="20"/>
          <w:szCs w:val="20"/>
          <w:color w:val="auto"/>
        </w:rPr>
      </w:pPr>
      <w:r>
        <w:rPr>
          <w:rFonts w:ascii="Arial" w:cs="Arial" w:eastAsia="Arial" w:hAnsi="Arial"/>
          <w:sz w:val="16"/>
          <w:szCs w:val="16"/>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ind w:right="20"/>
        <w:spacing w:after="0" w:line="252" w:lineRule="auto"/>
        <w:rPr>
          <w:sz w:val="20"/>
          <w:szCs w:val="20"/>
          <w:color w:val="auto"/>
        </w:rPr>
      </w:pPr>
      <w:r>
        <w:rPr>
          <w:rFonts w:ascii="Arial" w:cs="Arial" w:eastAsia="Arial" w:hAnsi="Arial"/>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3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35"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 traded corporations, we will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holders of our common units are dissatisfied, they cannot currently remove our general partner without its consent.</w:t>
      </w:r>
    </w:p>
    <w:p>
      <w:pPr>
        <w:spacing w:after="0" w:line="90" w:lineRule="exact"/>
        <w:rPr>
          <w:sz w:val="20"/>
          <w:szCs w:val="20"/>
          <w:color w:val="auto"/>
        </w:rPr>
      </w:pPr>
    </w:p>
    <w:p>
      <w:pPr>
        <w:ind w:right="60" w:firstLine="405"/>
        <w:spacing w:after="0" w:line="235" w:lineRule="auto"/>
        <w:rPr>
          <w:sz w:val="20"/>
          <w:szCs w:val="20"/>
          <w:color w:val="auto"/>
        </w:rPr>
      </w:pPr>
      <w:r>
        <w:rPr>
          <w:rFonts w:ascii="Arial" w:cs="Arial" w:eastAsia="Arial" w:hAnsi="Arial"/>
          <w:sz w:val="18"/>
          <w:szCs w:val="18"/>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all outstanding common and subordinated units voting together as a single class is required to remove our general partner. As of February 21, 2020, Westlake owned an aggregate of 40.1% of our common units. This condition provides Westlake the ability to prevent the removal of our general partner.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of our general partner may be transferred to a third party without unitholder consent.</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incentive distribution rights may be transferred to a third party without unitholder consent.</w:t>
      </w:r>
    </w:p>
    <w:p>
      <w:pPr>
        <w:spacing w:after="0" w:line="9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9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units without unitholder approval, which would dilute existing unitholder ownership interests.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Our partnership agreement does not limit the number of additional limited partner interests we may issue at any time without the approval of our unitholders. The issuance of additional common units or other equity interests of equal or senior rank will have the following effects:</w:t>
      </w:r>
    </w:p>
    <w:p>
      <w:pPr>
        <w:spacing w:after="0" w:line="1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existing unitholders' proportionate ownership interest in us will decrease;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earnings per each unit may decrease;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3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common units.</w:t>
      </w:r>
    </w:p>
    <w:p>
      <w:pPr>
        <w:spacing w:after="0" w:line="9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208" w:lineRule="exact"/>
        <w:rPr>
          <w:sz w:val="20"/>
          <w:szCs w:val="20"/>
          <w:color w:val="auto"/>
        </w:rPr>
      </w:pPr>
    </w:p>
    <w:p>
      <w:pPr>
        <w:ind w:right="340"/>
        <w:spacing w:after="0" w:line="334" w:lineRule="auto"/>
        <w:rPr>
          <w:sz w:val="20"/>
          <w:szCs w:val="20"/>
          <w:color w:val="auto"/>
        </w:rPr>
      </w:pPr>
      <w:r>
        <w:rPr>
          <w:rFonts w:ascii="Arial" w:cs="Arial" w:eastAsia="Arial" w:hAnsi="Arial"/>
          <w:sz w:val="16"/>
          <w:szCs w:val="16"/>
          <w:b w:val="1"/>
          <w:bCs w:val="1"/>
          <w:i w:val="1"/>
          <w:iCs w:val="1"/>
          <w:color w:val="auto"/>
        </w:rPr>
        <w:t>Cost reimbursements due to our general partner and Westlake for services provided to us or on our behalf will reduce our earnings and therefore our cash available for distribution to our unitholders. The amount and timing of such reimbursements will be determined by our general partner.</w:t>
      </w:r>
    </w:p>
    <w:p>
      <w:pPr>
        <w:spacing w:after="0" w:line="1"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are obligated under our partnership agreement to reimburse our general partner and its affiliates for all expenses they incur and payments they make on our behalf, including expenses we and OpCo will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The reimbursement of expenses and payment of fees, if any, to our general partner and its affiliates will reduce the amount of our earnings and, thereby, our ability to distribute cash to our unitholders.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9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Under certain circumstances, unitholders may have to repay amounts wrongfully returned or distributed to them. Under Section 17-607 of the Delaware Revised Uniform Limited Partnership Act, or the Delaware Act,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federal income tax purposes, and not being subject to a material amount of entity-level taxation. If the Internal Revenue Service ("IRS"), were to treat us as a corporation for federal income tax purposes, or we become subject to entity-level taxation for state tax purposes, our cash available for distribution to our unitholders would be substantially reduced.</w:t>
      </w:r>
    </w:p>
    <w:p>
      <w:pPr>
        <w:spacing w:after="0" w:line="1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anticipated after-tax economic benefit of an investment in our common units depends largely on us being treated as a partnership for U.S. federal income tax purposes. Despite the fact that we are organized as a limited partnership under Delaware law, we would be treated as a corporation for U.S. federal income tax purposes unless we satisfy a "qualifying income" requirement. Based upon our current operations and current Treasury Regulations, we believe we satisfy the qualifying income requirement.</w:t>
      </w:r>
    </w:p>
    <w:p>
      <w:pPr>
        <w:spacing w:after="0" w:line="133"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Prior to our initial public offering, we requested and obtained a favorable private letter ruling from the IRS to the effect that, based on facts presented in the private letter ruling request, our income from the production, transportation, storage and marketing of ethylene and its co-products constitutes "qualifying income" within the meaning of Section 7704 of the Internal Revenue Code of 1986, as amended (the "Code").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If we were treated as a corporation for federal income tax purposes, we would pay U.S. federal income tax on our taxable income at the corporate tax rate.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 Therefore, treatment of us as a corporation would result in a material reduction in the anticipated cash flow and after-tax return to our unitholders, likely causing a substantial reduction in the value of our common units.</w:t>
      </w:r>
    </w:p>
    <w:p>
      <w:pPr>
        <w:spacing w:after="0" w:line="13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Specifically, we currently own assets and conduct business in Louisiana, Kentucky and Texas. Texas and Kentucky impose entity-level franchise or gross receipt taxes on partnerships. In the future, we may expand our operations. Imposition of similar entity-level taxes on us in Louisiana or other jurisdictions that we may expand to could substantially reduce our cash available for distribution to you.</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16" w:lineRule="exact"/>
        <w:rPr>
          <w:sz w:val="20"/>
          <w:szCs w:val="20"/>
          <w:color w:val="auto"/>
        </w:rPr>
      </w:pPr>
    </w:p>
    <w:p>
      <w:pPr>
        <w:ind w:right="80" w:firstLine="405"/>
        <w:spacing w:after="0" w:line="284"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changes or differing interpretations at any time. From time to time, members of Congress have proposed and considered substantive changes to the existing U.S. federal income tax laws that would affect publicly traded partnerships, including elimination of partnership tax treatment for certain publicly traded partnerships. Any modification to the U.S. federal income tax laws may be applied retroactively and could make it more difficult or impossible for us to meet the exception for certain publicly traded partnerships to be treated as partnerships for U.S. federal income tax purposes. For example, the "Clean Energy for America Act," which is similar to legislation that was commonly proposed during the Obama Administration, was introduced in the Senate on May 2, 2019. If enacted, this proposal would, among other things, repeal the qualifying income exception within Section 7704(d)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(1)(E) of the Code upon which we rely for our status as a partnership for U.S. federal income tax purposes.</w:t>
      </w:r>
    </w:p>
    <w:p>
      <w:pPr>
        <w:spacing w:after="0" w:line="15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January 24, 2017, final regulations regarding which activities give rise to qualifying income within the meaning of Section 7704 of the Code (the "Final Regulations") were published in the Federal Register. The Final Regulations, consistent with our private letter ruling, treat our income from the production, transportation, storage and marketing of ethylene and its co-products constitutes as "qualifying income." There can be no assurance that there will not be further changes to U.S. federal income tax laws or the Treasury Department's interpretation of such income tax laws in a manner that could impact our ability to qualify as a publicly traded partnership in the future. We are unable to predict whether any changes or other proposals will ultimately be enacted. Any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1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the IRS were to contest the federal income tax positions we take, it may adversely impact the market for our common units, and the costs of any such contest would reduce our cash available for distribution to our unitholders.</w:t>
      </w:r>
    </w:p>
    <w:p>
      <w:pPr>
        <w:spacing w:after="0" w:line="3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w:t>
      </w:r>
    </w:p>
    <w:p>
      <w:pPr>
        <w:spacing w:after="0" w:line="19"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 new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 These rules are not applicable for tax years beginning on or prior to December 31, 2017.</w:t>
      </w:r>
    </w:p>
    <w:p>
      <w:pPr>
        <w:spacing w:after="0" w:line="20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Even if unitholders do not receive any cash distributions from us, unitholders will be required to pay taxes on their share of our taxable income, including their share of income from the cancellation of debt.</w:t>
      </w:r>
    </w:p>
    <w:p>
      <w:pPr>
        <w:spacing w:after="0" w:line="35"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Unitholders are required to pay federal income taxes and, in some cases, state and local income taxes, on unitholders' share of our taxable income, whether or not they receive cash distributions from us. Unitholders may not receive cash distributions from us equal to their share of our taxable income or even equal to the actual tax due from them with respect to that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the disposition of our common units could be more or less than expected.</w:t>
      </w:r>
    </w:p>
    <w:p>
      <w:pPr>
        <w:spacing w:after="0" w:line="90"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2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under the Tax Cuts and Jobs Act,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and in the case of taxable years beginning before January 1, 2022, any deduction allowable for depreciation, amortization, or depletion to the extent such depreciation, amortization, or depletion is not capitalized into cost of goods sold with respect to inventory.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common units that may result in adverse tax consequences to them</w:t>
      </w:r>
      <w:r>
        <w:rPr>
          <w:rFonts w:ascii="Arial" w:cs="Arial" w:eastAsia="Arial" w:hAnsi="Arial"/>
          <w:sz w:val="18"/>
          <w:szCs w:val="18"/>
          <w:color w:val="auto"/>
        </w:rPr>
        <w:t>.</w:t>
      </w:r>
    </w:p>
    <w:p>
      <w:pPr>
        <w:spacing w:after="0" w:line="9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With respect to taxable years beginning after December 31, 2017, subject to the proposed aggregation rules for certain similarly situated business or activities issued by the Treasury Department, a tax-exempt entity with more than one unrelated trade or business (including by attribution from investment in a partnership such as ours) is required to compute the unrelated business taxable income of such tax-exempt entity separately with respect to each such trade or business (including for purposes of determining any net operating loss deduction). As a result, for years beginning after December 31, 2017, it may not be possible for tax-exempt entities to utilize losses from an investment in our partnership to offset unrelated business taxable income from another unrelated trade or business and vice versa. Tax-exempt entities should consult a tax advisor before investing in our common units.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Unitholders will be subject to U.S. taxes and withholding with respect to their income and gain from owning our units.</w:t>
      </w:r>
    </w:p>
    <w:p>
      <w:pPr>
        <w:spacing w:after="0" w:line="9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w:t>
      </w:r>
    </w:p>
    <w:p>
      <w:pPr>
        <w:spacing w:after="0" w:line="5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 could exceed the total cash purchase price for the units. However, pending the issuance of final regulations, the IRS has suspended the application of this withholding rule to transfers of publicly-traded interests in publicly-traded partnerships. If recently promulgated regulations are finalized as proposed, such regulations would provide, with respect to transfers of publicly-traded interests in publicly-traded partnerships effected through a broker, that the obligation to withhold is imposed on the transferor's broker and that a partner's "amount realized" does not include a partner's share of a publicly-traded partnership's liabilities for purposes of determining the amount subject to withholding. However, it is not clear when such regulations will be finalized and if they will be finalized in their current form.</w:t>
      </w:r>
    </w:p>
    <w:p>
      <w:pPr>
        <w:spacing w:after="0" w:line="20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35"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any sale of common units and could have a negative impact on the value of our common units or result in audit adjustments to a unitholder's tax returns.</w:t>
      </w:r>
    </w:p>
    <w:p>
      <w:pPr>
        <w:spacing w:after="0" w:line="18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depreciation of capital additions, gain or loss realized on a sale or other disposition of our assets and,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to have disposed of those units. If so, such unitholder would no longer be treated for tax purposes as a partner with respect to those units during the period of the loan and may recognize gain or loss from the disposition.</w:t>
      </w:r>
    </w:p>
    <w:p>
      <w:pPr>
        <w:spacing w:after="0" w:line="46"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Because there are no specific rules governing the U.S. federal income tax consequence of loaning a partnership interest, a unitholder whose units are the subject of a securities loan may be considered to have disposed of the loaned units. In that case, the unitholder may no longer be treated for tax purposes as a partner with respect to those units during the period of the loan to the short seller and the unitholder may recognize gain or loss from such disposition.</w:t>
      </w:r>
    </w:p>
    <w:p>
      <w:pPr>
        <w:spacing w:after="0" w:line="254" w:lineRule="auto"/>
        <w:rPr>
          <w:sz w:val="20"/>
          <w:szCs w:val="20"/>
          <w:color w:val="auto"/>
        </w:rPr>
      </w:pPr>
      <w:r>
        <w:rPr>
          <w:rFonts w:ascii="Arial" w:cs="Arial" w:eastAsia="Arial" w:hAnsi="Arial"/>
          <w:sz w:val="18"/>
          <w:szCs w:val="18"/>
          <w:color w:val="auto"/>
        </w:rPr>
        <w:t>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2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determining the items of income, gain, loss and deduction allocable to our unitholders, we must routinely determine the fair market value of our assets. Although we may, from time to time, consult with professional appraisers regarding valuation matters, we make many fair market value estimates using a methodology based on the market value of our common units as a means to measure the fair market value of our assets. The IRS may challenge these valuation methods and the resulting allocations of income, gain, loss and deduction.</w:t>
      </w:r>
    </w:p>
    <w:p>
      <w:pPr>
        <w:spacing w:after="0" w:line="133"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 successful IRS challenge to these methods or allocations could adversely affect the timing or amount of taxable income or loss being allocated to our unitholders. It also could affect the amount of gain recognized from the sale of our common units, have a negative impact on the value of our common units or result in audit adjustments to our unitholders' tax returns without the benefit of additional deductions.</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and local taxes and income tax return filing requirements in jurisdictions where they do not live as a result of investing in our common units.</w:t>
      </w:r>
    </w:p>
    <w:p>
      <w:pPr>
        <w:spacing w:after="0" w:line="3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addition to U.S. federal income taxes, our unitholders may be subject to other taxes, including foreign, state and local taxes, unincorporated business taxes and estate, inheritance or intangible taxes that are imposed by the various jurisdictions in which we conduct business or own property now or in the future, even if they do not live in any of those jurisdictions. Our unitholders will likely be required to file foreign, state and local income tax returns and pay state and local income taxes in some or all of these various jurisdictions. Further, our unitholders may be subject to penalties for failure to comply with those requirements.</w:t>
      </w:r>
    </w:p>
    <w:p>
      <w:pPr>
        <w:spacing w:after="0" w:line="134" w:lineRule="exact"/>
        <w:rPr>
          <w:sz w:val="20"/>
          <w:szCs w:val="20"/>
          <w:color w:val="auto"/>
        </w:rPr>
      </w:pPr>
    </w:p>
    <w:p>
      <w:pPr>
        <w:ind w:right="140" w:firstLine="392"/>
        <w:spacing w:after="0" w:line="273" w:lineRule="auto"/>
        <w:rPr>
          <w:sz w:val="20"/>
          <w:szCs w:val="20"/>
          <w:color w:val="auto"/>
        </w:rPr>
      </w:pPr>
      <w:r>
        <w:rPr>
          <w:rFonts w:ascii="Arial" w:cs="Arial" w:eastAsia="Arial" w:hAnsi="Arial"/>
          <w:sz w:val="17"/>
          <w:szCs w:val="17"/>
          <w:color w:val="auto"/>
        </w:rPr>
        <w:t>We currently own assets and conduct business in Kentucky, Louisiana and Texas. Kentucky and Louisiana currently impose a personal income tax on individuals, Kentucky and Texas impose an entity-level franchise or gross receipts tax on a variety of legal entities, and Kentucky and Louisiana impose a corporate income tax on corporations and other entities treated as corporations for federal income tax purposes. As we make acquisitions or expand our business, we may own assets or conduct business in additional states that impose similar taxes. It is our unitholders' responsibility to file all United States federal, foreign, state and local tax returns and pay any taxes due in these jurisdictions. Unitholders should consult with their own tax advisors regarding the filing of such tax returns, the payment of such taxes, and the deductibility of any taxes paid.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Information regarding our properties is contained in "Item 1. Business—OpCo's Assets" and "Item 7. Management's Discussion and Analysis of Financial Condition and Results of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the ordinary conduct of our business, we and Westlake and Westlake's subsidiaries, including OpCo, are subject to periodic lawsuits, investigations and claims, including environmental claims and employee related matters. See the discussion of our environmental matters contained in "Item 1. Business</w:t>
      </w:r>
      <w:r>
        <w:rPr>
          <w:rFonts w:ascii="Arial" w:cs="Arial" w:eastAsia="Arial" w:hAnsi="Arial"/>
          <w:sz w:val="17"/>
          <w:szCs w:val="17"/>
          <w:i w:val="1"/>
          <w:iCs w:val="1"/>
          <w:color w:val="auto"/>
        </w:rPr>
        <w:t>—</w:t>
      </w:r>
      <w:r>
        <w:rPr>
          <w:rFonts w:ascii="Arial" w:cs="Arial" w:eastAsia="Arial" w:hAnsi="Arial"/>
          <w:sz w:val="17"/>
          <w:szCs w:val="17"/>
          <w:color w:val="auto"/>
        </w:rPr>
        <w:t xml:space="preserve"> Environmental" and </w:t>
      </w:r>
      <w:r>
        <w:rPr>
          <w:rFonts w:ascii="Arial" w:cs="Arial" w:eastAsia="Arial" w:hAnsi="Arial"/>
          <w:sz w:val="17"/>
          <w:szCs w:val="17"/>
          <w:i w:val="1"/>
          <w:iCs w:val="1"/>
          <w:color w:val="auto"/>
        </w:rPr>
        <w:t>"</w:t>
      </w:r>
      <w:r>
        <w:rPr>
          <w:rFonts w:ascii="Arial" w:cs="Arial" w:eastAsia="Arial" w:hAnsi="Arial"/>
          <w:sz w:val="17"/>
          <w:szCs w:val="17"/>
          <w:color w:val="auto"/>
        </w:rPr>
        <w:t xml:space="preserve">Note 17 </w:t>
      </w:r>
      <w:r>
        <w:rPr>
          <w:rFonts w:ascii="Arial" w:cs="Arial" w:eastAsia="Arial" w:hAnsi="Arial"/>
          <w:sz w:val="17"/>
          <w:szCs w:val="17"/>
          <w:i w:val="1"/>
          <w:iCs w:val="1"/>
          <w:color w:val="auto"/>
        </w:rPr>
        <w:t>—</w:t>
      </w:r>
      <w:r>
        <w:rPr>
          <w:rFonts w:ascii="Arial" w:cs="Arial" w:eastAsia="Arial" w:hAnsi="Arial"/>
          <w:sz w:val="17"/>
          <w:szCs w:val="17"/>
          <w:color w:val="auto"/>
        </w:rPr>
        <w:t>Commitments and Contingencies", to the consolidated financial statements within this report.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 In addition, under the Omnibus Agreement, Westlake agreed to indemnify OpCo for certain environmental liabilities arising out of or occurring before the closing date of the IPO.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121" w:right="3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2140"/>
        <w:spacing w:after="0" w:line="34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ind w:right="660" w:firstLine="405"/>
        <w:spacing w:after="0" w:line="342" w:lineRule="auto"/>
        <w:rPr>
          <w:sz w:val="20"/>
          <w:szCs w:val="20"/>
          <w:color w:val="auto"/>
        </w:rPr>
      </w:pPr>
      <w:r>
        <w:rPr>
          <w:rFonts w:ascii="Arial" w:cs="Arial" w:eastAsia="Arial" w:hAnsi="Arial"/>
          <w:sz w:val="16"/>
          <w:szCs w:val="16"/>
          <w:color w:val="auto"/>
        </w:rPr>
        <w:t>Our common units are listed and traded on the New York Stock Exchange ("NYSE") under the symbol "WLKP." As of the close of business on February 21, 2020, based upon information received from our transfer agent, there were three holders of record of our common units.</w:t>
      </w:r>
    </w:p>
    <w:p>
      <w:pPr>
        <w:spacing w:after="0" w:line="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We are a publicly traded partnership and are not subject to federal income tax. Instead, unitholders are required to report their allocable share of our income, gain, loss and deduction, regardless of whether we make distributions.</w:t>
      </w:r>
    </w:p>
    <w:p>
      <w:pPr>
        <w:spacing w:after="0" w:line="116"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Following the Partnership's cash distribution for the second quarter of 2017, the requirement under the Partnership's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Information from our Partnership Agreement</w:t>
      </w:r>
    </w:p>
    <w:p>
      <w:pPr>
        <w:spacing w:after="0" w:line="9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Set forth below is a summary of the significant provisions of our partnership agreement that relate to cash distributions, minimum quarterly distributions and incentive distribution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9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104" w:lineRule="exact"/>
        <w:rPr>
          <w:sz w:val="20"/>
          <w:szCs w:val="20"/>
          <w:color w:val="auto"/>
        </w:rPr>
      </w:pPr>
    </w:p>
    <w:p>
      <w:pPr>
        <w:jc w:val="both"/>
        <w:ind w:right="580" w:firstLine="405"/>
        <w:spacing w:after="0" w:line="342" w:lineRule="auto"/>
        <w:rPr>
          <w:sz w:val="20"/>
          <w:szCs w:val="20"/>
          <w:color w:val="auto"/>
        </w:rPr>
      </w:pPr>
      <w:r>
        <w:rPr>
          <w:rFonts w:ascii="Arial" w:cs="Arial" w:eastAsia="Arial" w:hAnsi="Arial"/>
          <w:sz w:val="16"/>
          <w:szCs w:val="16"/>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Quarterly Distribution</w:t>
      </w:r>
    </w:p>
    <w:p>
      <w:pPr>
        <w:spacing w:after="0" w:line="94"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On July 27, 2018,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common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percentage allocations per the amended partnership agreement. For more information on the Partnership's amended distribution allocation percentages, see Note 9 "Distributions and Net Income Per Limited Partner Unit" to the consolidated financial statements within this report.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Interests and Incentive Distribution Rights</w:t>
      </w:r>
    </w:p>
    <w:p>
      <w:pPr>
        <w:spacing w:after="0" w:line="9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 Incentive distribution rights represent the right to receive increasing percentages (15.0%, 25.0% and 50.0%) of quarterly distributions from operating surplus after the target distribution levels have been achieved. Westlake currently holds the incentive distribution rights, but may transfer these rights separately from its general partner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121" w:right="41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The following information should be read together with "Item 7. Management's Discussion and Analysis of Financial Condition and Results of Operations" and our consolidated financial statements and the related notes included elsewhere in this report.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6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w w:val="91"/>
              </w:rPr>
              <w:t>(in thousands of dollars, except unit amounts and per unit data)</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1,091,871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1,285,622</w:t>
            </w: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1,172,981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986,736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1,007,221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379,428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377,159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403,667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391,331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382,882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29,260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23,550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350,150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349,569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374,407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366,444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359,332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330,593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354,338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354,525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332,895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330,571</w:t>
            </w: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353,058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353,403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353,853</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Less: Net income attributable to</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noncontrolling interest in OpCo</w:t>
            </w: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271,914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281,224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304,388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312,463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314,022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Partners LP and limited partners' interest in</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60,981</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49,347</w:t>
            </w:r>
          </w:p>
        </w:tc>
        <w:tc>
          <w:tcPr>
            <w:tcW w:w="4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48,670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40,940</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39,831</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460" w:type="dxa"/>
            <w:vAlign w:val="bottom"/>
            <w:gridSpan w:val="3"/>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Net income attributable to Westlake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Chemical Partners LP per limited partner</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unit (basic and diluted)</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units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04"/>
        </w:trPr>
        <w:tc>
          <w:tcPr>
            <w:tcW w:w="4120" w:type="dxa"/>
            <w:vAlign w:val="bottom"/>
          </w:tcPr>
          <w:p>
            <w:pPr>
              <w:ind w:left="380"/>
              <w:spacing w:after="0"/>
              <w:rPr>
                <w:sz w:val="20"/>
                <w:szCs w:val="20"/>
                <w:color w:val="auto"/>
              </w:rPr>
            </w:pPr>
            <w:r>
              <w:rPr>
                <w:rFonts w:ascii="Arial" w:cs="Arial" w:eastAsia="Arial" w:hAnsi="Arial"/>
                <w:sz w:val="18"/>
                <w:szCs w:val="18"/>
                <w:color w:val="auto"/>
              </w:rPr>
              <w:t>Subordinated units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 (end of period):</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19,923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19,744</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27,008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88,900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169,559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199,562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198,370</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191,149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194,388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167,593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1,393,456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1,462,125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1,515,276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1,555,228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1,290,349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477,608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473,960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594,629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384,006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Partners' equity</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952,135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934,081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998,749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920,963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Distributions per unit </w:t>
            </w:r>
            <w:r>
              <w:rPr>
                <w:rFonts w:ascii="Arial" w:cs="Arial" w:eastAsia="Arial" w:hAnsi="Arial"/>
                <w:sz w:val="25"/>
                <w:szCs w:val="25"/>
                <w:color w:val="auto"/>
                <w:vertAlign w:val="superscript"/>
              </w:rPr>
              <w:t>(2)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450,807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436,151</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537,357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287,726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452,542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(51,812)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(391,603)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(396,020)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(68,904)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(185,548)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108,842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113,985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39,862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68,858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299,638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231,185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73,181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60,024</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54,700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32,405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37,730</w:t>
            </w:r>
          </w:p>
        </w:tc>
        <w:tc>
          <w:tcPr>
            <w:tcW w:w="0" w:type="dxa"/>
            <w:vAlign w:val="bottom"/>
          </w:tcPr>
          <w:p>
            <w:pPr>
              <w:spacing w:after="0"/>
              <w:rPr>
                <w:sz w:val="1"/>
                <w:szCs w:val="1"/>
                <w:color w:val="auto"/>
              </w:rPr>
            </w:pPr>
          </w:p>
        </w:tc>
      </w:tr>
      <w:tr>
        <w:trPr>
          <w:trHeight w:val="341"/>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460,566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460,868</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490,184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465,255</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440,702</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200" w:lineRule="exact"/>
        <w:rPr>
          <w:sz w:val="20"/>
          <w:szCs w:val="20"/>
          <w:color w:val="auto"/>
        </w:rPr>
      </w:pPr>
    </w:p>
    <w:p>
      <w:pPr>
        <w:spacing w:after="0" w:line="223"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equals current assets less current liabilities.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Distribution per unit represents cash distributions declared per common unit for the quarters ended March 31, June 30, September 30 and December 31.</w:t>
      </w:r>
    </w:p>
    <w:p>
      <w:pPr>
        <w:spacing w:after="0" w:line="113" w:lineRule="exact"/>
        <w:rPr>
          <w:rFonts w:ascii="Arial" w:cs="Arial" w:eastAsia="Arial" w:hAnsi="Arial"/>
          <w:sz w:val="16"/>
          <w:szCs w:val="16"/>
          <w:color w:val="auto"/>
        </w:rPr>
      </w:pPr>
    </w:p>
    <w:p>
      <w:pPr>
        <w:ind w:left="420" w:right="660" w:hanging="412"/>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use MLP distributable cash flow (a non-GAAP financial measure) to analyze our performance. The body of accounting principles generally accepted in the United States is commonly referred to as "GAAP." For this purpose, a</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420" w:right="100"/>
        <w:spacing w:after="0" w:line="269" w:lineRule="auto"/>
        <w:rPr>
          <w:sz w:val="20"/>
          <w:szCs w:val="20"/>
          <w:color w:val="auto"/>
        </w:rPr>
      </w:pPr>
      <w:r>
        <w:rPr>
          <w:rFonts w:ascii="Arial" w:cs="Arial" w:eastAsia="Arial" w:hAnsi="Arial"/>
          <w:sz w:val="17"/>
          <w:szCs w:val="17"/>
          <w:color w:val="auto"/>
        </w:rPr>
        <w:t>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 or equivalent statements) of the registrant; or (2) includes amounts, or is subject to adjustments that have the effect of including amounts, that are excluded from the most directly comparable measure so calculated and presented.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MLP distributable cash flow is a non-GAAP supplemental financial measure that management and external users of our consolidated financial statements, such as industry analysts, investors, lenders and rating agencies, may use to assess:</w:t>
      </w:r>
    </w:p>
    <w:p>
      <w:pPr>
        <w:spacing w:after="0" w:line="48"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viability of acquisitions and other capital expenditure projects and the returns on investment of various investment opportunities.</w:t>
      </w:r>
    </w:p>
    <w:p>
      <w:pPr>
        <w:spacing w:after="0" w:line="87" w:lineRule="exact"/>
        <w:rPr>
          <w:sz w:val="20"/>
          <w:szCs w:val="20"/>
          <w:color w:val="auto"/>
        </w:rPr>
      </w:pPr>
    </w:p>
    <w:p>
      <w:pPr>
        <w:ind w:left="420" w:right="40"/>
        <w:spacing w:after="0" w:line="255" w:lineRule="auto"/>
        <w:rPr>
          <w:sz w:val="20"/>
          <w:szCs w:val="20"/>
          <w:color w:val="auto"/>
        </w:rPr>
      </w:pPr>
      <w:r>
        <w:rPr>
          <w:rFonts w:ascii="Arial" w:cs="Arial" w:eastAsia="Arial" w:hAnsi="Arial"/>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It should be noted that other limited partnerships and companies calculate MLP distributable cash flows differently, and, therefore, MLP distributable cash flows as presented for us may not be comparable to MLP distributable cash flows reported by other partnerships and companies. The following table reconciles MLP distributable cash flow to net income and net cash provided by operating activities, the most directly comparable GAAP financial measures.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4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58"/>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98"/>
              </w:rPr>
              <w:t>(dollars in thousands)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450,807</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436,151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537,357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287,726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452,542</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other</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(96,877)</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332,895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330,571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353,058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353,403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353,853</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Depreciation, amortization and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120" w:type="dxa"/>
            <w:vAlign w:val="bottom"/>
          </w:tcPr>
          <w:p>
            <w:pPr>
              <w:ind w:left="520"/>
              <w:spacing w:after="0"/>
              <w:rPr>
                <w:sz w:val="20"/>
                <w:szCs w:val="20"/>
                <w:color w:val="auto"/>
              </w:rPr>
            </w:pPr>
            <w:r>
              <w:rPr>
                <w:rFonts w:ascii="Arial" w:cs="Arial" w:eastAsia="Arial" w:hAnsi="Arial"/>
                <w:sz w:val="18"/>
                <w:szCs w:val="18"/>
                <w:color w:val="auto"/>
              </w:rPr>
              <w:t>disposition of property, plant and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4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equipment </w:t>
            </w:r>
            <w:r>
              <w:rPr>
                <w:rFonts w:ascii="Arial" w:cs="Arial" w:eastAsia="Arial" w:hAnsi="Arial"/>
                <w:sz w:val="25"/>
                <w:szCs w:val="25"/>
                <w:color w:val="auto"/>
                <w:vertAlign w:val="superscript"/>
              </w:rPr>
              <w:t>(1)</w:t>
            </w:r>
          </w:p>
        </w:tc>
        <w:tc>
          <w:tcPr>
            <w:tcW w:w="3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107,835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110,691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117,128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98,210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81,210</w:t>
            </w: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adjustment loss 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derivative contracts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Contribution to turnaround reserves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(28,183)</w:t>
            </w: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(3)</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(120,353)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(67,935)</w:t>
            </w: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Incentive distribution rights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Distributable cash flow attributable to</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noncontrolling interest in OpCo</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(313,280)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(332,246)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(345,465)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(258,560)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(301,215)</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distributable cash flow</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73,181</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60,024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54,700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32,405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37,730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541"/>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28</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5" w:lineRule="exact"/>
        <w:rPr>
          <w:sz w:val="20"/>
          <w:szCs w:val="20"/>
          <w:color w:val="auto"/>
        </w:rPr>
      </w:pPr>
    </w:p>
    <w:p>
      <w:pPr>
        <w:ind w:left="1060"/>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1060" w:right="20" w:hanging="404"/>
        <w:spacing w:after="0" w:line="259" w:lineRule="auto"/>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Higher depreciation, amortization and disposition of property, plant and equipment in 2019, 2018 and 2017, as compared to 2016, are primarily related to the increase in the property, plant and equipment and the turnaround deferred costs associated with the Lake Charles Petro 1 facility upgrade and expansion project that was completed in July 2016 and the Calvert City Olefins facility upgrade and capacity expansion project that was completed in April 2017.</w:t>
      </w:r>
    </w:p>
    <w:p>
      <w:pPr>
        <w:spacing w:after="0" w:line="24" w:lineRule="exact"/>
        <w:rPr>
          <w:rFonts w:ascii="Arial" w:cs="Arial" w:eastAsia="Arial" w:hAnsi="Arial"/>
          <w:sz w:val="18"/>
          <w:szCs w:val="18"/>
          <w:color w:val="auto"/>
        </w:rPr>
      </w:pPr>
    </w:p>
    <w:p>
      <w:pPr>
        <w:ind w:left="1060" w:hanging="404"/>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Contribution to turnaround reserves is primarily driven by the turnaround cycle.</w:t>
      </w:r>
    </w:p>
    <w:p>
      <w:pPr>
        <w:spacing w:after="0" w:line="63" w:lineRule="exact"/>
        <w:rPr>
          <w:rFonts w:ascii="Arial" w:cs="Arial" w:eastAsia="Arial" w:hAnsi="Arial"/>
          <w:sz w:val="18"/>
          <w:szCs w:val="18"/>
          <w:color w:val="auto"/>
        </w:rPr>
      </w:pPr>
    </w:p>
    <w:p>
      <w:pPr>
        <w:ind w:left="1060" w:right="540" w:hanging="404"/>
        <w:spacing w:after="0" w:line="277" w:lineRule="auto"/>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Lower maintenance capital expenditures in 2019, 2018 and 2017, as compared to 2016, are primarily related to the Lake Charles Petro 1 facility maintenance capital expenditures incurred in 2016.</w:t>
      </w:r>
    </w:p>
    <w:p>
      <w:pPr>
        <w:spacing w:after="0" w:line="35" w:lineRule="exact"/>
        <w:rPr>
          <w:rFonts w:ascii="Arial" w:cs="Arial" w:eastAsia="Arial" w:hAnsi="Arial"/>
          <w:sz w:val="18"/>
          <w:szCs w:val="18"/>
          <w:color w:val="auto"/>
        </w:rPr>
      </w:pPr>
    </w:p>
    <w:p>
      <w:pPr>
        <w:ind w:left="420" w:hanging="412"/>
        <w:spacing w:after="0" w:line="270"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EBITDA (a non-GAAP financial measure) is calculated as net income before interest expense, income taxes, depreciation and amortization. The body of accounting principles generally accepted in the United States is commonly referred to as "GAAP." For this purpose, a non-GAAP financial measure is generally defined by the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EBITDA to analyze our performance. EBITDA is a non-GAAP supplemental financial measure that management and external users of our consolidated financial statements, such as industry analysts, investors, lenders and rating agencies, may use to assess:</w:t>
      </w:r>
    </w:p>
    <w:p>
      <w:pPr>
        <w:spacing w:after="0" w:line="46" w:lineRule="exact"/>
        <w:rPr>
          <w:rFonts w:ascii="Arial" w:cs="Arial" w:eastAsia="Arial" w:hAnsi="Arial"/>
          <w:sz w:val="17"/>
          <w:szCs w:val="17"/>
          <w:color w:val="auto"/>
        </w:rPr>
      </w:pPr>
    </w:p>
    <w:p>
      <w:pPr>
        <w:ind w:left="1300" w:hanging="320"/>
        <w:spacing w:after="0"/>
        <w:tabs>
          <w:tab w:leader="none" w:pos="13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22"/>
        </w:numPr>
        <w:rPr>
          <w:rFonts w:ascii="Arial" w:cs="Arial" w:eastAsia="Arial" w:hAnsi="Arial"/>
          <w:sz w:val="17"/>
          <w:szCs w:val="17"/>
          <w:color w:val="auto"/>
        </w:rPr>
      </w:pPr>
      <w:r>
        <w:rPr>
          <w:rFonts w:ascii="Arial" w:cs="Arial" w:eastAsia="Arial" w:hAnsi="Arial"/>
          <w:sz w:val="17"/>
          <w:szCs w:val="17"/>
          <w:color w:val="auto"/>
        </w:rPr>
        <w:t>the viability of acquisitions and other capital expenditure projects and the returns on investment of various investment opportunities.</w:t>
      </w:r>
    </w:p>
    <w:p>
      <w:pPr>
        <w:spacing w:after="0" w:line="87" w:lineRule="exact"/>
        <w:rPr>
          <w:sz w:val="20"/>
          <w:szCs w:val="20"/>
          <w:color w:val="auto"/>
        </w:rPr>
      </w:pPr>
    </w:p>
    <w:p>
      <w:pPr>
        <w:ind w:left="420" w:right="100"/>
        <w:spacing w:after="0" w:line="257" w:lineRule="auto"/>
        <w:rPr>
          <w:sz w:val="20"/>
          <w:szCs w:val="20"/>
          <w:color w:val="auto"/>
        </w:rPr>
      </w:pPr>
      <w:r>
        <w:rPr>
          <w:rFonts w:ascii="Arial" w:cs="Arial" w:eastAsia="Arial" w:hAnsi="Arial"/>
          <w:sz w:val="18"/>
          <w:szCs w:val="18"/>
          <w:color w:val="auto"/>
        </w:rPr>
        <w:t>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The following table reconciles EBITDA to net income, income from operations and to cash flows from operating activities, the most directly comparable GAAP measures.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w w:val="99"/>
              </w:rPr>
              <w:t>(dollars in thousands)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450,807</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436,151</w:t>
            </w:r>
          </w:p>
        </w:tc>
        <w:tc>
          <w:tcPr>
            <w:tcW w:w="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537,357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287,726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452,542</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other</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(103,731)</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(181,266)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(96,877)</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332,895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330,571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353,058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353,403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353,853</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350,150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349,569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374,407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366,444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359,332</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Add:</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108,842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113,985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81,210</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460,566</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460,868</w:t>
            </w:r>
          </w:p>
        </w:tc>
        <w:tc>
          <w:tcPr>
            <w:tcW w:w="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490,184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465,255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440,702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71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right="400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the accompanying consolidated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 this report.</w:t>
      </w:r>
    </w:p>
    <w:p>
      <w:pPr>
        <w:spacing w:after="0" w:line="133" w:lineRule="exact"/>
        <w:rPr>
          <w:sz w:val="20"/>
          <w:szCs w:val="20"/>
          <w:color w:val="auto"/>
        </w:rPr>
      </w:pPr>
    </w:p>
    <w:p>
      <w:pPr>
        <w:ind w:right="220" w:firstLine="432"/>
        <w:spacing w:after="0" w:line="270"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On September 29, 2017, we completed a secondary public offering of 5,175,000 common units and purchased an additional 5.0% newly-issued limited partner interest in OpCo, resulting in an aggregate 18.3% limited partner interest in OpCo, effective as of July 1, 2017. The 12,686,115 subordinated units of the Partnership, all of which were previously owned by Westlake, were converted into common units of the Partnership on August 30,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at the end of the year, is generally not reduced for the first 45 days of a force majeure event, but is reduced for the portion of a force majeure event extending beyond the 45th day.</w:t>
      </w:r>
    </w:p>
    <w:p>
      <w:pPr>
        <w:spacing w:after="0" w:line="11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12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2019, all the third-party ethylene and associated co-products sales generated 14.1% of our total revenues.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Please refer to Note 2 to the consolidated financial statements included within this report for more information on the Ethylene Sales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right="60" w:firstLine="392"/>
        <w:spacing w:after="0" w:line="279" w:lineRule="auto"/>
        <w:rPr>
          <w:sz w:val="20"/>
          <w:szCs w:val="20"/>
          <w:color w:val="auto"/>
        </w:rPr>
      </w:pPr>
      <w:r>
        <w:rPr>
          <w:rFonts w:ascii="Arial" w:cs="Arial" w:eastAsia="Arial" w:hAnsi="Arial"/>
          <w:sz w:val="17"/>
          <w:szCs w:val="17"/>
          <w:color w:val="auto"/>
        </w:rPr>
        <w:t>OpCo has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For its approximately five percent merchant sales, OpCo may purchase the ethane and other feedstocks to produce ethylene and resulting co-products to sell to unrelated third parties from Westlake Petrochemicals LLC.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refer to Note 2 to the consolidated financial statements included within this report for more information on the Feedstock Supply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94"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0"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6" w:lineRule="exact"/>
        <w:rPr>
          <w:sz w:val="20"/>
          <w:szCs w:val="20"/>
          <w:color w:val="auto"/>
        </w:rPr>
      </w:pPr>
    </w:p>
    <w:p>
      <w:pPr>
        <w:ind w:left="660" w:right="2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production capacity;</w:t>
      </w:r>
    </w:p>
    <w:p>
      <w:pPr>
        <w:spacing w:after="0" w:line="9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or increase capacity at our existing production facilities, or add additional production capacity via organic expansion projects and acquisitions;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2" w:right="27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17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Item 6. "Selected Financial Data"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output in excess of the planned output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121" w:right="3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and descriptions that follow represent the consolidated results of operations of the Partnership for the years 2019, 2018 and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920" w:type="dxa"/>
            <w:vAlign w:val="bottom"/>
            <w:gridSpan w:val="7"/>
          </w:tcPr>
          <w:p>
            <w:pPr>
              <w:jc w:val="center"/>
              <w:ind w:right="311"/>
              <w:spacing w:after="0"/>
              <w:rPr>
                <w:sz w:val="20"/>
                <w:szCs w:val="20"/>
                <w:color w:val="auto"/>
              </w:rPr>
            </w:pPr>
            <w:r>
              <w:rPr>
                <w:rFonts w:ascii="Arial" w:cs="Arial" w:eastAsia="Arial" w:hAnsi="Arial"/>
                <w:sz w:val="14"/>
                <w:szCs w:val="14"/>
                <w:b w:val="1"/>
                <w:bCs w:val="1"/>
                <w:color w:val="auto"/>
                <w:w w:val="92"/>
              </w:rPr>
              <w:t>(in thousands of dollars, except unit amounts and per unit data)</w:t>
            </w: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937,625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1,074,957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973,081</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Net co-products, ethylene and feedstock sales—third parties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154,246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210,665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199,900</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1,091,871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1,285,622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1,172,981</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379,428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377,159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403,667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27,590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29,260</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350,150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349,569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374,407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Interest expense—Westlake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(21,861)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333,623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330,593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354,338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332,895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330,571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353,058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OpCo</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271,914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304,388</w:t>
            </w:r>
          </w:p>
        </w:tc>
        <w:tc>
          <w:tcPr>
            <w:tcW w:w="0" w:type="dxa"/>
            <w:vAlign w:val="bottom"/>
          </w:tcPr>
          <w:p>
            <w:pPr>
              <w:spacing w:after="0"/>
              <w:rPr>
                <w:sz w:val="1"/>
                <w:szCs w:val="1"/>
                <w:color w:val="auto"/>
              </w:rPr>
            </w:pPr>
          </w:p>
        </w:tc>
      </w:tr>
      <w:tr>
        <w:trPr>
          <w:trHeight w:val="205"/>
        </w:trPr>
        <w:tc>
          <w:tcPr>
            <w:tcW w:w="608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60,981</w:t>
            </w:r>
          </w:p>
        </w:tc>
        <w:tc>
          <w:tcPr>
            <w:tcW w:w="100" w:type="dxa"/>
            <w:vAlign w:val="bottom"/>
          </w:tcPr>
          <w:p>
            <w:pPr>
              <w:spacing w:after="0"/>
              <w:rPr>
                <w:sz w:val="17"/>
                <w:szCs w:val="17"/>
                <w:color w:val="auto"/>
              </w:rPr>
            </w:pPr>
          </w:p>
        </w:tc>
        <w:tc>
          <w:tcPr>
            <w:tcW w:w="42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b w:val="1"/>
                <w:bCs w:val="1"/>
                <w:color w:val="auto"/>
              </w:rPr>
              <w:t>49,347</w:t>
            </w:r>
          </w:p>
        </w:tc>
        <w:tc>
          <w:tcPr>
            <w:tcW w:w="100" w:type="dxa"/>
            <w:vAlign w:val="bottom"/>
          </w:tcPr>
          <w:p>
            <w:pPr>
              <w:spacing w:after="0"/>
              <w:rPr>
                <w:sz w:val="17"/>
                <w:szCs w:val="17"/>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48,670</w:t>
            </w:r>
          </w:p>
        </w:tc>
        <w:tc>
          <w:tcPr>
            <w:tcW w:w="0" w:type="dxa"/>
            <w:vAlign w:val="bottom"/>
          </w:tcPr>
          <w:p>
            <w:pPr>
              <w:spacing w:after="0"/>
              <w:rPr>
                <w:sz w:val="1"/>
                <w:szCs w:val="1"/>
                <w:color w:val="auto"/>
              </w:rPr>
            </w:pPr>
          </w:p>
        </w:tc>
      </w:tr>
      <w:tr>
        <w:trPr>
          <w:trHeight w:val="281"/>
        </w:trPr>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Partners LP and limited partners' interest in net income</w:t>
            </w:r>
          </w:p>
        </w:tc>
        <w:tc>
          <w:tcPr>
            <w:tcW w:w="4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 Partners LP</w:t>
            </w: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 limited partner unit (basic and diluted)</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Common units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Subordinated units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units—public</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20,365,828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18,118,628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14,270,240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Common units—Westlake</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14,122,230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14,122,230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7,831,307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Subordinated units—Westlake</w:t>
            </w:r>
          </w:p>
        </w:tc>
        <w:tc>
          <w:tcPr>
            <w:tcW w:w="4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6,290,923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08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73,181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60,024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54,700</w:t>
            </w:r>
          </w:p>
        </w:tc>
        <w:tc>
          <w:tcPr>
            <w:tcW w:w="0" w:type="dxa"/>
            <w:vAlign w:val="bottom"/>
          </w:tcPr>
          <w:p>
            <w:pPr>
              <w:spacing w:after="0"/>
              <w:rPr>
                <w:sz w:val="1"/>
                <w:szCs w:val="1"/>
                <w:color w:val="auto"/>
              </w:rPr>
            </w:pPr>
          </w:p>
        </w:tc>
      </w:tr>
      <w:tr>
        <w:trPr>
          <w:trHeight w:val="251"/>
        </w:trPr>
        <w:tc>
          <w:tcPr>
            <w:tcW w:w="608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460,566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460,868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490,184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w w:val="94"/>
              </w:rPr>
              <w:t>Year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87"/>
              </w:rPr>
              <w:t>Average Sales</w:t>
            </w:r>
          </w:p>
        </w:tc>
        <w:tc>
          <w:tcPr>
            <w:tcW w:w="1220" w:type="dxa"/>
            <w:vAlign w:val="bottom"/>
            <w:tcBorders>
              <w:top w:val="single" w:sz="8" w:color="auto"/>
            </w:tcBorders>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3"/>
                <w:szCs w:val="13"/>
                <w:color w:val="auto"/>
              </w:rPr>
            </w:pPr>
          </w:p>
        </w:tc>
        <w:tc>
          <w:tcPr>
            <w:tcW w:w="1620" w:type="dxa"/>
            <w:vAlign w:val="bottom"/>
            <w:tcBorders>
              <w:top w:val="single" w:sz="8" w:color="auto"/>
            </w:tcBorders>
            <w:gridSpan w:val="5"/>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Average Sales</w:t>
            </w:r>
          </w:p>
        </w:tc>
        <w:tc>
          <w:tcPr>
            <w:tcW w:w="11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 and volume percentage change</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prior year</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99"/>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right="700"/>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13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6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58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(2)</w:t>
            </w:r>
          </w:p>
        </w:tc>
        <w:tc>
          <w:tcPr>
            <w:tcW w:w="26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Ethane (cents/lb)</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85"/>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Propane (cents/lb)</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85"/>
              </w:rPr>
              <w:t>12.7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gridSpan w:val="2"/>
          </w:tcPr>
          <w:p>
            <w:pPr>
              <w:jc w:val="center"/>
              <w:ind w:left="396"/>
              <w:spacing w:after="0"/>
              <w:rPr>
                <w:sz w:val="20"/>
                <w:szCs w:val="20"/>
                <w:color w:val="auto"/>
              </w:rPr>
            </w:pPr>
            <w:r>
              <w:rPr>
                <w:rFonts w:ascii="Arial" w:cs="Arial" w:eastAsia="Arial" w:hAnsi="Arial"/>
                <w:sz w:val="18"/>
                <w:szCs w:val="18"/>
                <w:color w:val="auto"/>
                <w:w w:val="91"/>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5"/>
              </w:rPr>
              <w:t>18.5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left="396"/>
              <w:spacing w:after="0"/>
              <w:rPr>
                <w:sz w:val="20"/>
                <w:szCs w:val="20"/>
                <w:color w:val="auto"/>
              </w:rPr>
            </w:pPr>
            <w:r>
              <w:rPr>
                <w:rFonts w:ascii="Arial" w:cs="Arial" w:eastAsia="Arial" w:hAnsi="Arial"/>
                <w:sz w:val="18"/>
                <w:szCs w:val="18"/>
                <w:color w:val="auto"/>
                <w:w w:val="91"/>
              </w:rPr>
              <w:t>19.0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"Item 6. Selected Financial Data", for discussions on non-GAAP financial measures.</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 pricing data was obtained through IHS. We have not independently verified the data.</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ectPr>
          <w:pgSz w:w="11900" w:h="16838" w:orient="portrait"/>
          <w:cols w:equalWidth="0" w:num="1">
            <w:col w:w="11420"/>
          </w:cols>
          <w:pgMar w:left="240" w:top="122"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For the year ended December 31, 2019, net income was $332.9 million on net sales of $1,091.9 million, which was comparable to net income of $330.6 million on net sales of $1,285.6 million for the year ended December 31, 2018. Net income attributable to the Partnership in 2019 was $61.0 million as compared to $49.3 million in 2018, an increase of $11.7 million, which was primarily due to a 4.5% increase in the Partnership's interest in OpCo, effective as of January 1, 2019, and higher third party sales margins. Net sales for 2019 decreased by $193.7 million as compared to 2018 mainly due to decreased sales prices to Westlake per the terms of the Ethylene Sales Agreement. Income from operations was $350.2 million for 2019, which was comparable to $349.6 million for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$193.7 million, or 15.1%, to $1,091.9 million in 2019 from $1,285.6 million in 2018, primarily due to lower ethylene</w:t>
      </w:r>
      <w:r>
        <w:rPr>
          <w:rFonts w:ascii="Arial" w:cs="Arial" w:eastAsia="Arial" w:hAnsi="Arial"/>
          <w:sz w:val="18"/>
          <w:szCs w:val="18"/>
          <w:i w:val="1"/>
          <w:iCs w:val="1"/>
          <w:color w:val="auto"/>
        </w:rPr>
        <w:t xml:space="preserve"> </w:t>
      </w:r>
      <w:r>
        <w:rPr>
          <w:rFonts w:ascii="Arial" w:cs="Arial" w:eastAsia="Arial" w:hAnsi="Arial"/>
          <w:sz w:val="18"/>
          <w:szCs w:val="18"/>
          <w:color w:val="auto"/>
        </w:rPr>
        <w:t>sales prices to Westlake per the terms of the Ethylene Sales Agreement. The overall decreased sales price in 2019 contributed to a 15.4% decrease in net sales, compared to 2018, which was mainly due to lower sales prices to Westlake per the terms of the Ethylene Sales Agreement and lower third party ethylene sales prices. Sales volumes in 2019 were comparable to 2018.</w:t>
      </w:r>
    </w:p>
    <w:p>
      <w:pPr>
        <w:spacing w:after="0" w:line="13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was $379.4 million in 2019, which was comparable to gross profit of $377.2 million in 2018. The gross profit margin was</w:t>
      </w:r>
      <w:r>
        <w:rPr>
          <w:rFonts w:ascii="Arial" w:cs="Arial" w:eastAsia="Arial" w:hAnsi="Arial"/>
          <w:sz w:val="18"/>
          <w:szCs w:val="18"/>
          <w:i w:val="1"/>
          <w:iCs w:val="1"/>
          <w:color w:val="auto"/>
        </w:rPr>
        <w:t xml:space="preserve"> </w:t>
      </w:r>
      <w:r>
        <w:rPr>
          <w:rFonts w:ascii="Arial" w:cs="Arial" w:eastAsia="Arial" w:hAnsi="Arial"/>
          <w:sz w:val="18"/>
          <w:szCs w:val="18"/>
          <w:color w:val="auto"/>
        </w:rPr>
        <w:t>34.7% in 2019 as compared to 29.3% in 2018. The higher 2019 gross profit margin was due to improved margins on third party sales, primarily due to lower feedstock costs, as compared to 2018.</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by $1.7 million, or 6.2%, to $29.3 million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from $27.6 million in 2018. The increase in 2019, as compared to 2018, was associated with the acquisition of the incremental interest in OpCo and increased general and administrative expense allocations, partially offset by a decrease in provision for doubtful accounts.</w:t>
      </w:r>
    </w:p>
    <w:p>
      <w:pPr>
        <w:spacing w:after="0" w:line="12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$1.8 million to $19.6 million in 2019 from $21.4 million in 2018, largely due to a lower average debt</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resulting from the partial repayment of borrowings under the OpCo Revolver in April 2019 and a decrease in the applicable margin on the OpCo Revolver from 3% to 2% effective September 25, 2018, partially offset by a higher interest rate on debt due to an increase in the London Interbank Offered Rate ("LIBOR") in 2019.</w:t>
      </w:r>
    </w:p>
    <w:p>
      <w:pPr>
        <w:spacing w:after="0" w:line="13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increased by $0.6 million in 2019, as compared to 2018, primarily due to an increase in interest income earned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Investment Management Agreement.</w:t>
      </w:r>
    </w:p>
    <w:p>
      <w:pPr>
        <w:spacing w:after="0" w:line="116"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increased to $0.73 million in 2019 as compared to $0.02 million in 2018.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mainly attributable to a tax benefit in 2018 due to a revaluation of the state deferred income tax liability as a result of a decrease in state tax apportionment.</w:t>
      </w:r>
    </w:p>
    <w:p>
      <w:pPr>
        <w:spacing w:after="0" w:line="7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increased by $13.2 million to $73.2 million in 2019 from $60.0 million in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MLP distributable cash flow as compared to 2018 was primarily a result of the 4.5% increase in the Partnership's interest in OpCo, effective as of January 1, 2019, as well as higher third party sales margins, partially offset by higher maintenance capital expenditures.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for 2019 was $460.6 million, which was comparable to 2018 EBITDA of $460.9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by $112.6 million, or 9.6%, to $1,285.6 million in 2018 from $1,173.0 million in 2017, primarily due to higher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to Westlake and third parties, higher ethylene sales prices to Westlake and higher pipeline services fee income, partially offset by lower third party ethylene sales prices. The overall increase in sales volumes for 2018 contributed to a 3.6% increase in net sales, as compared to 2017, which was mainly due to higher sales volumes to Westlake and third parties and higher pipeline services fees income. The average sales price contributed to an increase in net sales by 6.0% in 2018 compared to 2017, primarily as a result of higher sales prices to Westlake per the terms of the Ethylene Sales Agreement, partially offset by lower third party ethylene sales prices.</w:t>
      </w:r>
    </w:p>
    <w:p>
      <w:pPr>
        <w:spacing w:after="0" w:line="13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decreased to $377.2 million in 2018 from $403.7 million in 2017. The gross profit margin was 29.3% in 2018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34.4% in 2017. The 2018 gross profit margin was lower mainly due to lower third party ethylene sales prices and higher feedstock costs, partially offset by overall higher sales volumes to Westlake and third parties as a result of higher overall production at OpCo's facilities and higher pipeline services fee income, as compared to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decreased by $1.7 million, or 5.8%, to $27.6 million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2018 from $29.3 million in 2017. The decrease was mainly attributable to lower service costs, partially offset by an increase in professional consulting fees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as compared to 2017.</w:t>
      </w:r>
    </w:p>
    <w:p>
      <w:pPr>
        <w:spacing w:after="0" w:line="157"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$0.5 million to $21.4 million in 2018 from $21.9 million in 2017, largely due to a lower average debt</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in 2018, mostly offset by a higher interest rate on debt due to an increase in the London Interbank Offered Rate ("LIBOR") in 2018. The lower debt balance was due to the partial repayment of borrowings under the OpCo Revolver and full repayment of the August 2013 Promissory Notes during the third quarter of 2017.</w:t>
      </w:r>
    </w:p>
    <w:p>
      <w:pPr>
        <w:spacing w:after="0" w:line="133"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in other income in 2018 as compared to 2017 was primarily due to the interest income related to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entered into in August 2017 between the Partnership, OpCo and Westlake that authorized Westlake to invest the Partnership's and OpCo's excess cash with Westlake ("Investment Management Agreement").</w:t>
      </w:r>
    </w:p>
    <w:p>
      <w:pPr>
        <w:spacing w:after="0" w:line="127"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Provision for income taxes decreased to $0.02 million in 2018 as compared to $1.3 million in 2017. The decrease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mainly attributable to the revaluation of state deferred income tax liability as a result of a decrease in state tax apportionment.</w:t>
      </w:r>
    </w:p>
    <w:p>
      <w:pPr>
        <w:spacing w:after="0" w:line="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increased by $5.3 million to $60.0 million in 2018 from $54.7 million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MLP distributable cash flow as compared to 2017 was primarily due to the 5% increase in the Partnership's interest in OpCo, effective as of July 1, 2017, an increase in overall production at OpCo's facilities, lower maintenance capital expenditures and the elimination of the Partnership's distributions to Westlake as the holder of the Partnership's incentive distribution rights per the July 2018 amendment to the Partnership's target distribution tiers, partially offset by lower margins on third party sales.</w:t>
      </w:r>
    </w:p>
    <w:p>
      <w:pPr>
        <w:spacing w:after="0" w:line="13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$29.3 million to $460.9 million in 2018 from $490.2 million in 2017. The decrease in EBITDA, as compared to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lower third party ethylene sales prices, partially offset by higher sales volumes as a result of higher overall production at OpCo's facilities.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Operating activities provided cash of $450.8 million in 2019 compared to cash provided of $436.2 million in 2018. The $14.6 million increase in cash flows from operating activities was mainly due to a decrease in use of cash in working capital during 2019 as compared to 2018.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provided cash of $11.7 million in 2019 as compared to $4.3 million of cash used in 2018, resulting in an overall favorable change of $16.0 million. This change was due to a favorable change in third party and Westlake accounts receivable, accounts payable and accrued liabilities in 2019 as compared to 2018, primarily resulting from lower ethylene sales prices and feedstock costs.</w:t>
      </w:r>
    </w:p>
    <w:p>
      <w:pPr>
        <w:spacing w:after="0" w:line="124"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Operating activities provided cash of $436.2 million in 2018 compared to cash provided of $537.4 million in 2017. The $101.2 million decrease in cash flows from operating activities was mainly due to lower operating income and an increase in use of cash in working capital during 2018 as compared to 2017.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$4.3 million in 2018 as compared to $78.3 million of cash provided in 2017, resulting in an overall unfavorable change of $82.6 million. This change was primarily due to the unfavorable change in the Westlake accounts receivable balance in 2018 as compared to 2017. The unfavorable change was primarily due to the recovery of the Shortfall and a buyer deficiency fee in 2017 that were recognized in 2016 as accounts receivable from Westlake.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Net cash used for investing activities during 2019 was $57.7 million as compared to net cash used for investing activities of $51.8 million in 2018, mainly due to increased net cash used under the Investment Management Agreement in 2019, as compared to 2018. During 2019, we invested $529.4 million with Westlake, and $515.4 million of such investments matured. Capital expenditures were $43.7 million in 2019 compared to $39.9 million in 2018. Capital expenditures during 2019 and 2018 were primarily related to projects to improve production capacity or reduce costs, maintenance and safety and environmental projects at OpCo's facilities.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Net cash used for investing activities during 2018 was $51.8 million as compared to net cash used for investing activities of $203.2 million in 2017, mainly due to lower net cash invested with Westlake under the Investment Management Agreement and lower capital expenditures in 2018, as compared to 2017. During 2018, we invested $384.0 million with Westlake and maturities of such investments were $372.1 million. Capital expenditures were $39.9 million in 2018 compared to $68.9 million in 2017. Capital expenditures during 2018 were primarily related to planned and unplanned outages at our facilities while those in 2017 primarily reflected capital expenditures incurred for the Calvert City expansion project.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Net cash used for financing activities during 2019 was $392.9 million as compared to net cash used for financing activities of $391.6 million in 2018. The cash inflows during 2019 were a result of borrowings under the MLP Revolver of $123.5 million and net proceeds from the private placement of common units of approximately $62.7 million. The outflows during 2019 were related to partial repayments of borrowings under the OpCo Revolver of $201.4 million and the distribution of $315.6 million to Westlake and of $62.1 million to other unitholders by the Partnership.</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Net cash used for financing activities during 2018 was $391.6 million as compared to net cash used for financing activities of $396.0 million in 2017. The cash outflows during 2018 were related to the distribution of $341.9 million to Westlake and of $53.4 million to other unitholders by the Partnership. The distributions in 2018 were partially offset by borrowings under the OpCo Revolver of $3.6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On March 29, 2019, we completed the private placement of 2,940,818 common units at a price of $21.40 per unit. Net proceeds from the issuance of these common units were approximately $62.7 million.</w:t>
      </w:r>
    </w:p>
    <w:p>
      <w:pPr>
        <w:spacing w:after="0" w:line="11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Pursuant to the terms of the ATM Agreement, the Partnership may offer and sell the Partnership's common units from time to time to or through the Managers, as the Partnership's sales agents or as principals, having an aggregate offering amount of up to $50.0 million. The Partnership intends to use the net proceeds of sales of the common units, if any, for general partnership purposes, including the funding of potential drop-downs and other acquisitions.</w:t>
      </w:r>
    </w:p>
    <w:p>
      <w:pPr>
        <w:spacing w:after="0" w:line="9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1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1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cash is generated from cash distributions from OpCo. OpCo is a restricted subsidiary under certain indentures governing Westlake's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2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We, OpCo and Westlake are parties to an Investment Management Agreement that authorizes Westlake to invest the Partnership's and OpCo's excess cash with Westlake for a term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On January 24, 2020, the board of directors of Westlake Chemical Partners GP LLC, our general partner, approved a quarterly distribution of $0.4714 per unit payable on February 18, 2020 to unitholders of record on February 3, 2020, which equates to approximately $16.6 million per quarter, or approximately $66.4 million per year in aggregate, based on the number of common units outstanding on December 31, 2019. We do not have a legal or contractual obligation to pay distributions on a quarterly basis or any other basis at our minimum quarterly distribution rate or any other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During the year ended December 31, 2018, Westlake loaned OpCo $3.6 million to fund capital expenditures. No funding was required by OpCo to fund its capital expenditures during 2019. We expect that Westlake will loan additional cash to OpCo to fund its expansion capital expenditures in the future, but Westlake is under no obligation to do so.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20" w:firstLine="446"/>
        <w:spacing w:after="0" w:line="334" w:lineRule="auto"/>
        <w:rPr>
          <w:sz w:val="20"/>
          <w:szCs w:val="20"/>
          <w:color w:val="auto"/>
        </w:rPr>
      </w:pPr>
      <w:r>
        <w:rPr>
          <w:rFonts w:ascii="Arial" w:cs="Arial" w:eastAsia="Arial" w:hAnsi="Arial"/>
          <w:sz w:val="16"/>
          <w:szCs w:val="16"/>
          <w:color w:val="auto"/>
        </w:rPr>
        <w:t>As of December 31, 2019, our cash and cash equivalents totaled $19.9 million. In addition, we have cash invested under the Investment Management Agreement and a revolving credit facility with Westlake available to supplement cash if needed, as described under "Indebtedness" below.</w:t>
      </w:r>
    </w:p>
    <w:p>
      <w:pPr>
        <w:spacing w:after="0" w:line="1"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As described above, we, OpCo and Westlake are parties to an Investment Management Agreement that authorizes Westlake to invest the Partnership's and OpCo's excess cash with Westlake for a term of up to a maximum of nine months. The Partnership had $162.8 million of cash invested under the Investment Management Agreement at December 31,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("OpCo Revolver") that may be used to fund growth projects and working capital needs. On April 30, 2019, the Partnership repaid $201.4 million of borrowings under the OpCo Revolver. As of December 31, 2019, outstanding borrowings under the OpCo Revolver totaled $22.6 million and bore interest at the LIBOR rate plus 2.0%, which is accrued in arrears quarterly. On September 25, 2018, the OpCo Revolver was amended to extend the scheduled maturity date from August 4, 2019 to September 25, 2023 and to revise the applicable margin from 3% to 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2015, we entered into a senior, unsecured revolving credit agreement with an affiliate of Westlake (as subsequently amended, the "MLP Revolver"). The MLP Revolver has a borrowing capacity of $600.0 million and is scheduled to mature in 2021. On March 29, 2019, the Partnership borrowed $123.5 million under the MLP Revolver to partially fund the purchase of an additional 4.5% interest in OpCo.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December 31, 2019, the outstanding borrowings under the MLP Revolver totaled $377.1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 addition to long-term debt, we are required to make payments relating to various types of obligations. The following table summarizes our contractual obligations as of December 31, 2019 relating to long-term debt, interest payments, operating leases and purchase obligations for the next five years and thereafter. The amounts do not include deferred charges and other items classified in other liabilities in the consolidated balance sheet due to the uncertainty of the future payment schedule.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Payment Due by Period</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35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2021-2022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2023-2024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Thereafter</w:t>
            </w:r>
          </w:p>
        </w:tc>
      </w:tr>
      <w:tr>
        <w:trPr>
          <w:trHeight w:val="244"/>
        </w:trPr>
        <w:tc>
          <w:tcPr>
            <w:tcW w:w="3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3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Debt:</w:t>
            </w:r>
          </w:p>
        </w:tc>
        <w:tc>
          <w:tcPr>
            <w:tcW w:w="94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70"/>
        </w:trPr>
        <w:tc>
          <w:tcPr>
            <w:tcW w:w="35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Principal </w:t>
            </w:r>
            <w:r>
              <w:rPr>
                <w:rFonts w:ascii="Arial" w:cs="Arial" w:eastAsia="Arial" w:hAnsi="Arial"/>
                <w:sz w:val="25"/>
                <w:szCs w:val="25"/>
                <w:color w:val="auto"/>
                <w:vertAlign w:val="superscript"/>
              </w:rPr>
              <w:t>(1)</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399.7</w:t>
            </w:r>
          </w:p>
        </w:tc>
        <w:tc>
          <w:tcPr>
            <w:tcW w:w="120" w:type="dxa"/>
            <w:vAlign w:val="bottom"/>
          </w:tcPr>
          <w:p>
            <w:pPr>
              <w:spacing w:after="0"/>
              <w:rPr>
                <w:sz w:val="23"/>
                <w:szCs w:val="23"/>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3560" w:type="dxa"/>
            <w:vAlign w:val="bottom"/>
            <w:shd w:val="clear" w:color="auto" w:fill="BFE4FF"/>
          </w:tcPr>
          <w:p>
            <w:pPr>
              <w:ind w:left="20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(2)</w:t>
            </w:r>
          </w:p>
        </w:tc>
        <w:tc>
          <w:tcPr>
            <w:tcW w:w="94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BFE4FF"/>
          </w:tcPr>
          <w:p>
            <w:pPr>
              <w:spacing w:after="0"/>
              <w:rPr>
                <w:sz w:val="23"/>
                <w:szCs w:val="23"/>
                <w:color w:val="auto"/>
              </w:rPr>
            </w:pPr>
          </w:p>
        </w:tc>
        <w:tc>
          <w:tcPr>
            <w:tcW w:w="960" w:type="dxa"/>
            <w:vAlign w:val="bottom"/>
            <w:shd w:val="clear" w:color="auto" w:fill="BFE4FF"/>
          </w:tcPr>
          <w:p>
            <w:pPr>
              <w:spacing w:after="0"/>
              <w:rPr>
                <w:sz w:val="23"/>
                <w:szCs w:val="23"/>
                <w:color w:val="auto"/>
              </w:rPr>
            </w:pPr>
          </w:p>
        </w:tc>
        <w:tc>
          <w:tcPr>
            <w:tcW w:w="5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1360" w:type="dxa"/>
            <w:vAlign w:val="bottom"/>
            <w:shd w:val="clear" w:color="auto" w:fill="BFE4FF"/>
          </w:tcPr>
          <w:p>
            <w:pPr>
              <w:jc w:val="right"/>
              <w:ind w:right="15"/>
              <w:spacing w:after="0"/>
              <w:rPr>
                <w:sz w:val="20"/>
                <w:szCs w:val="20"/>
                <w:color w:val="auto"/>
              </w:rPr>
            </w:pPr>
            <w:r>
              <w:rPr>
                <w:rFonts w:ascii="Arial" w:cs="Arial" w:eastAsia="Arial" w:hAnsi="Arial"/>
                <w:sz w:val="18"/>
                <w:szCs w:val="18"/>
                <w:color w:val="auto"/>
              </w:rPr>
              <w:t>6.9</w:t>
            </w:r>
          </w:p>
        </w:tc>
        <w:tc>
          <w:tcPr>
            <w:tcW w:w="100" w:type="dxa"/>
            <w:vAlign w:val="bottom"/>
            <w:shd w:val="clear" w:color="auto" w:fill="BFE4FF"/>
          </w:tcPr>
          <w:p>
            <w:pPr>
              <w:spacing w:after="0"/>
              <w:rPr>
                <w:sz w:val="23"/>
                <w:szCs w:val="23"/>
                <w:color w:val="auto"/>
              </w:rPr>
            </w:pPr>
          </w:p>
        </w:tc>
        <w:tc>
          <w:tcPr>
            <w:tcW w:w="280" w:type="dxa"/>
            <w:vAlign w:val="bottom"/>
            <w:shd w:val="clear" w:color="auto" w:fill="BFE4FF"/>
          </w:tcPr>
          <w:p>
            <w:pPr>
              <w:spacing w:after="0"/>
              <w:rPr>
                <w:sz w:val="23"/>
                <w:szCs w:val="23"/>
                <w:color w:val="auto"/>
              </w:rPr>
            </w:pPr>
          </w:p>
        </w:tc>
        <w:tc>
          <w:tcPr>
            <w:tcW w:w="1200" w:type="dxa"/>
            <w:vAlign w:val="bottom"/>
            <w:shd w:val="clear" w:color="auto" w:fill="BFE4FF"/>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220" w:type="dxa"/>
            <w:vAlign w:val="bottom"/>
            <w:shd w:val="clear" w:color="auto" w:fill="BFE4FF"/>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35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(3)</w:t>
            </w:r>
          </w:p>
        </w:tc>
        <w:tc>
          <w:tcPr>
            <w:tcW w:w="94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3560" w:type="dxa"/>
            <w:vAlign w:val="bottom"/>
            <w:shd w:val="clear" w:color="auto" w:fill="BFE4FF"/>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(4)</w:t>
            </w:r>
          </w:p>
        </w:tc>
        <w:tc>
          <w:tcPr>
            <w:tcW w:w="940" w:type="dxa"/>
            <w:vAlign w:val="bottom"/>
            <w:tcBorders>
              <w:bottom w:val="single" w:sz="8" w:color="auto"/>
            </w:tcBorders>
            <w:shd w:val="clear" w:color="auto" w:fill="BFE4FF"/>
          </w:tcPr>
          <w:p>
            <w:pPr>
              <w:spacing w:after="0"/>
              <w:rPr>
                <w:sz w:val="23"/>
                <w:szCs w:val="23"/>
                <w:color w:val="auto"/>
              </w:rPr>
            </w:pPr>
          </w:p>
        </w:tc>
        <w:tc>
          <w:tcPr>
            <w:tcW w:w="58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BFE4FF"/>
          </w:tcPr>
          <w:p>
            <w:pPr>
              <w:spacing w:after="0"/>
              <w:rPr>
                <w:sz w:val="23"/>
                <w:szCs w:val="23"/>
                <w:color w:val="auto"/>
              </w:rPr>
            </w:pPr>
          </w:p>
        </w:tc>
        <w:tc>
          <w:tcPr>
            <w:tcW w:w="960" w:type="dxa"/>
            <w:vAlign w:val="bottom"/>
            <w:tcBorders>
              <w:bottom w:val="single" w:sz="8" w:color="auto"/>
            </w:tcBorders>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BFE4FF"/>
          </w:tcPr>
          <w:p>
            <w:pPr>
              <w:spacing w:after="0"/>
              <w:rPr>
                <w:sz w:val="23"/>
                <w:szCs w:val="23"/>
                <w:color w:val="auto"/>
              </w:rPr>
            </w:pPr>
          </w:p>
        </w:tc>
        <w:tc>
          <w:tcPr>
            <w:tcW w:w="120" w:type="dxa"/>
            <w:vAlign w:val="bottom"/>
            <w:tcBorders>
              <w:bottom w:val="single" w:sz="8" w:color="auto"/>
            </w:tcBorders>
            <w:shd w:val="clear" w:color="auto" w:fill="BFE4FF"/>
          </w:tcPr>
          <w:p>
            <w:pPr>
              <w:spacing w:after="0"/>
              <w:rPr>
                <w:sz w:val="23"/>
                <w:szCs w:val="23"/>
                <w:color w:val="auto"/>
              </w:rPr>
            </w:pPr>
          </w:p>
        </w:tc>
        <w:tc>
          <w:tcPr>
            <w:tcW w:w="1360" w:type="dxa"/>
            <w:vAlign w:val="bottom"/>
            <w:tcBorders>
              <w:bottom w:val="single" w:sz="8" w:color="auto"/>
            </w:tcBorders>
            <w:shd w:val="clear" w:color="auto" w:fill="BFE4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23"/>
                <w:szCs w:val="23"/>
                <w:color w:val="auto"/>
              </w:rPr>
            </w:pPr>
          </w:p>
        </w:tc>
        <w:tc>
          <w:tcPr>
            <w:tcW w:w="280" w:type="dxa"/>
            <w:vAlign w:val="bottom"/>
            <w:tcBorders>
              <w:bottom w:val="single" w:sz="8" w:color="auto"/>
            </w:tcBorders>
            <w:shd w:val="clear" w:color="auto" w:fill="BFE4FF"/>
          </w:tcPr>
          <w:p>
            <w:pPr>
              <w:spacing w:after="0"/>
              <w:rPr>
                <w:sz w:val="23"/>
                <w:szCs w:val="23"/>
                <w:color w:val="auto"/>
              </w:rPr>
            </w:pPr>
          </w:p>
        </w:tc>
        <w:tc>
          <w:tcPr>
            <w:tcW w:w="1200" w:type="dxa"/>
            <w:vAlign w:val="bottom"/>
            <w:tcBorders>
              <w:bottom w:val="single" w:sz="8" w:color="auto"/>
            </w:tcBorders>
            <w:shd w:val="clear" w:color="auto" w:fill="BFE4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23"/>
                <w:szCs w:val="23"/>
                <w:color w:val="auto"/>
              </w:rPr>
            </w:pPr>
          </w:p>
        </w:tc>
        <w:tc>
          <w:tcPr>
            <w:tcW w:w="260" w:type="dxa"/>
            <w:vAlign w:val="bottom"/>
            <w:tcBorders>
              <w:bottom w:val="single" w:sz="8" w:color="auto"/>
            </w:tcBorders>
            <w:shd w:val="clear" w:color="auto" w:fill="BFE4FF"/>
          </w:tcPr>
          <w:p>
            <w:pPr>
              <w:spacing w:after="0"/>
              <w:rPr>
                <w:sz w:val="23"/>
                <w:szCs w:val="23"/>
                <w:color w:val="auto"/>
              </w:rPr>
            </w:pPr>
          </w:p>
        </w:tc>
        <w:tc>
          <w:tcPr>
            <w:tcW w:w="1220" w:type="dxa"/>
            <w:vAlign w:val="bottom"/>
            <w:tcBorders>
              <w:bottom w:val="single" w:sz="8" w:color="auto"/>
            </w:tcBorders>
            <w:shd w:val="clear" w:color="auto" w:fill="BFE4FF"/>
          </w:tcPr>
          <w:p>
            <w:pPr>
              <w:ind w:left="94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439.0</w:t>
            </w:r>
          </w:p>
        </w:tc>
        <w:tc>
          <w:tcPr>
            <w:tcW w:w="120" w:type="dxa"/>
            <w:vAlign w:val="bottom"/>
          </w:tcPr>
          <w:p>
            <w:pPr>
              <w:spacing w:after="0"/>
              <w:rPr>
                <w:sz w:val="22"/>
                <w:szCs w:val="22"/>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0"/>
        </w:trPr>
        <w:tc>
          <w:tcPr>
            <w:tcW w:w="3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 Long-term debt consists of the OpCo Revolver and MLP Revolver.</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Interest Payments. </w:t>
      </w:r>
      <w:r>
        <w:rPr>
          <w:rFonts w:ascii="Arial" w:cs="Arial" w:eastAsia="Arial" w:hAnsi="Arial"/>
          <w:sz w:val="18"/>
          <w:szCs w:val="18"/>
          <w:color w:val="auto"/>
        </w:rPr>
        <w:t>Interest payments are based on interest rates in effect at December 31, 2019.</w:t>
      </w:r>
    </w:p>
    <w:p>
      <w:pPr>
        <w:spacing w:after="0" w:line="90" w:lineRule="exact"/>
        <w:rPr>
          <w:rFonts w:ascii="Arial" w:cs="Arial" w:eastAsia="Arial" w:hAnsi="Arial"/>
          <w:sz w:val="18"/>
          <w:szCs w:val="18"/>
          <w:color w:val="auto"/>
        </w:rPr>
      </w:pPr>
    </w:p>
    <w:p>
      <w:pPr>
        <w:ind w:left="420" w:right="40" w:hanging="412"/>
        <w:spacing w:after="0" w:line="302"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Represent noncancelable operating leases with respect to rail cars that are subleased to OpCo and two site lease agreements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periods. Pursuant to the site lease agreements, OpCo leases the real property underlying Lake Charles Olefins and Calvert City Olefins. OpCo is also granted rights to access and use certain other portions of Westlake's production facilities that are necessary to operate OpCo's ethylene production facilities. OpCo owes Westlake one dollar per site per year. Each of the site lease agreements has a term of 50 years.</w:t>
      </w:r>
    </w:p>
    <w:p>
      <w:pPr>
        <w:spacing w:after="0" w:line="19" w:lineRule="exact"/>
        <w:rPr>
          <w:rFonts w:ascii="Arial" w:cs="Arial" w:eastAsia="Arial" w:hAnsi="Arial"/>
          <w:sz w:val="16"/>
          <w:szCs w:val="16"/>
          <w:color w:val="auto"/>
        </w:rPr>
      </w:pPr>
    </w:p>
    <w:p>
      <w:pPr>
        <w:jc w:val="both"/>
        <w:ind w:left="420" w:right="20" w:hanging="412"/>
        <w:spacing w:after="0" w:line="312"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Purchase Obligations. </w:t>
      </w:r>
      <w:r>
        <w:rPr>
          <w:rFonts w:ascii="Arial" w:cs="Arial" w:eastAsia="Arial" w:hAnsi="Arial"/>
          <w:sz w:val="16"/>
          <w:szCs w:val="16"/>
          <w:color w:val="auto"/>
        </w:rPr>
        <w:t>Purchase obligations include agreements to purchase goods and services that are enforceable and legally binding and that specify</w:t>
      </w:r>
      <w:r>
        <w:rPr>
          <w:rFonts w:ascii="Arial" w:cs="Arial" w:eastAsia="Arial" w:hAnsi="Arial"/>
          <w:sz w:val="16"/>
          <w:szCs w:val="16"/>
          <w:i w:val="1"/>
          <w:iCs w:val="1"/>
          <w:color w:val="auto"/>
        </w:rPr>
        <w:t xml:space="preserve"> </w:t>
      </w:r>
      <w:r>
        <w:rPr>
          <w:rFonts w:ascii="Arial" w:cs="Arial" w:eastAsia="Arial" w:hAnsi="Arial"/>
          <w:sz w:val="16"/>
          <w:szCs w:val="16"/>
          <w:color w:val="auto"/>
        </w:rPr>
        <w:t>all significant terms, including a minimum quantity and price. We are party to various obligations to purchase goods and services, including the Services and Secondment Agreement, in the ordinary course of our business, as well as various purchase commitments for our capital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w:t>
      </w:r>
    </w:p>
    <w:p>
      <w:pPr>
        <w:spacing w:after="0" w:line="13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apply those accounting policies that we believe best reflect the underlying business and economic events, consistent with GAAP. Our more critical accounting policies include those related to long-lived assets, fair value estimates, goodwill impairment and environmental and legal obligations. Inherent in such policies are certain key assumptions and estimates. We periodically update the estimates used in the preparation of the financial statements based on our latest assessment of the current and projected business and general economic environment. Our significant accounting policies are summarized in Note 1 to the consolidated financial statements. We believe the following to be our most critical accounting policies applied in the preparation of our financial statements.</w:t>
      </w:r>
    </w:p>
    <w:p>
      <w:pPr>
        <w:spacing w:after="0" w:line="13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Key estimates related to long-lived assets include useful lives, recoverability of carrying values and existence of any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estimated useful lives of long-lived assets range from three to 40 years. Depreciation and amortization of these assets, including amortization of deferred turnaround costs, under the straight-line method over their estimated useful lives totaled $107.3 million, $108.8 million and $114.0 million in 2019, 2018 and 2017, respectively. If the useful lives of the assets were found to be shorter than originally estimated, depreciation or amortization charges would be accelerated.</w:t>
      </w:r>
    </w:p>
    <w:p>
      <w:pPr>
        <w:spacing w:after="0" w:line="133"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We defer the costs of planned major maintenance activities, or turnarounds, and amortize the costs over the period until the next planned turnaround of the affected unit. Total costs deferred on turnarounds were $1.2 million, $0.1 million and $9.6 million in 2019, 2018 and 2017, respectively. Amortization in 2019, 2018 and 2017 of previously deferred turnaround costs was $17.3 million, $20.1 million and $22.8 million, respectively. As of December 31, 2019, deferred turnaround costs, net of accumulated amortization, totaled $40.4 million. Expensing turnaround costs as incurred would likely result in greater variability of our quarterly operating results and would adversely affect our financial position and results of operations.</w:t>
      </w:r>
    </w:p>
    <w:p>
      <w:pPr>
        <w:spacing w:after="0" w:line="10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5 and 7 to the audited consolidated financial statements included within this report.</w:t>
      </w:r>
    </w:p>
    <w:p>
      <w:pPr>
        <w:spacing w:after="0" w:line="11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Fair Value Estimates. </w:t>
      </w:r>
      <w:r>
        <w:rPr>
          <w:rFonts w:ascii="Arial" w:cs="Arial" w:eastAsia="Arial" w:hAnsi="Arial"/>
          <w:sz w:val="18"/>
          <w:szCs w:val="18"/>
          <w:color w:val="auto"/>
        </w:rPr>
        <w:t>We develop estimates of fair value to allocate the purchase price paid to acquire a business to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in an acquisition, to assess impairment of long-lived assets, goodwill and intangible assets and to record derivative instruments. We use all available information to make these fair value determinations, including the engagement of third-party consultants. At December 31, 2019, recorded goodwill was $5.8 million, all of which was associated with the acquisition of the Longview Pipeline as part of the acquisition of Westlake's Longview production facilities. In addition,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w:t>
      </w:r>
    </w:p>
    <w:p>
      <w:pPr>
        <w:spacing w:after="0" w:line="13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Goodwill is evaluated for impairment at least annually, or when events or changes in circumstances indicate the fair value of a</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with goodwill has been reduced below its carrying value. We perform our annual impairment assessment in October. We may elect to perform an optional qualitative assessment to determine whether a quantitative impairment analysis is required. The qualitative assessment considers factors such as macroeconomic conditions, industry and market considerations, cost factors related to raw materials and labor, current and projected financial performance, changes in management or strategy, and market capitalization. Alternatively, we may unconditionally elect to bypass the qualitative assessment and perform a quantitative goodwill impairment assessment in any period. Significant assumptions used in the discounted cash flow projection impairment assessment for goodwill include sales volumes based on production capacities. The future cash flows are discounted to present value using a discount rate. The significant assumptions used in determining the fair value of the reporting unit using the market value methodology include the determination of appropriate market comparables and the estimated multiples of EBITDA a willing buyer is likely to pay. We elected to perform the quantitative assessment during 2019, and such assessment did not indicate impairment of the goodwill. Under the discounted cash flow methodology, even if the fair value of OpCo decreased by 10%, the carrying value of OpCo would not exceed its fair value.</w:t>
      </w:r>
    </w:p>
    <w:p>
      <w:pPr>
        <w:spacing w:after="0" w:line="129"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i w:val="1"/>
          <w:iCs w:val="1"/>
          <w:color w:val="auto"/>
        </w:rPr>
        <w:t xml:space="preserve">Environmental and Legal Obligations. </w:t>
      </w:r>
      <w:r>
        <w:rPr>
          <w:rFonts w:ascii="Arial" w:cs="Arial" w:eastAsia="Arial" w:hAnsi="Arial"/>
          <w:sz w:val="16"/>
          <w:szCs w:val="16"/>
          <w:color w:val="auto"/>
        </w:rPr>
        <w:t>We consult with various professionals to assist us in making estimates relating to environmental costs and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Item 1. Business</w:t>
      </w:r>
      <w:r>
        <w:rPr>
          <w:rFonts w:ascii="Arial" w:cs="Arial" w:eastAsia="Arial" w:hAnsi="Arial"/>
          <w:sz w:val="16"/>
          <w:szCs w:val="16"/>
          <w:i w:val="1"/>
          <w:iCs w:val="1"/>
          <w:color w:val="auto"/>
        </w:rPr>
        <w:t>—</w:t>
      </w:r>
      <w:r>
        <w:rPr>
          <w:rFonts w:ascii="Arial" w:cs="Arial" w:eastAsia="Arial" w:hAnsi="Arial"/>
          <w:sz w:val="16"/>
          <w:szCs w:val="16"/>
          <w:color w:val="auto"/>
        </w:rPr>
        <w:t>Environmental and in Note 17 to the consolidated financial statements included within this report.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Partnership has conditional asset retirement obligations for the removal and disposal of hazardous materials and the remediation of the cause of any such release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See Note 1 to the consolidated financial statements included within this report for a full description of recent accounting pronouncements, including expected dates of adoption and estimated effects on results of operations and financial condition, which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 during the term of the Ethylene Sales Agreement through the minimum commitment and the cost-plus based pricing. Additionally, we may use short-term derivative instruments to reduce price volatility risk on feedstocks and ethylene associated with the production and sales to third parties. We entered into some of these agreements in 2018 and 2019. Based on our open derivative positions as of December 31, 2019, a hypothetical $0.10 increase in the price of a gallon of ethane would have increased our income before taxes by $3.9 million and a hypothetical $0.10 decrease in the price of a pound of ethylene would have increased our income before taxes by $9.3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are exposed to interest rate risk with respect to our outstanding debt, all of which is variable rate debt. At December 31, 2019, we had variable rate debt of $399.7 million outstanding, all of which was owed to wholly-owned subsidiaries of Westlake, and accrues interest at a variable rate of LIBOR plus 200 basis points. The interest rate contract with Westlake to fix the LIBOR component of the interest rate for a portion of the MLP Revolver, which was entered into in August 2015, expired in August 2018. The weighted average variable interest rate of our debt as of December 31, 2019 was 4.1%.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December 31, 2019 debt balance.</w:t>
      </w:r>
    </w:p>
    <w:p>
      <w:pPr>
        <w:spacing w:after="0" w:line="5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LIBOR is used as a reference rate for all of our outstanding variable rate debt as of December 31, 2019. LIBOR is set to be phased out at the end of 2021. We are currently reviewing how the LIBOR phase-out will affect us, but we do not expect the impact to be material.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24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rPr>
              <w:t>Page</w:t>
            </w:r>
          </w:p>
        </w:tc>
      </w:tr>
      <w:tr>
        <w:trPr>
          <w:trHeight w:val="80"/>
        </w:trPr>
        <w:tc>
          <w:tcPr>
            <w:tcW w:w="102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372"/>
        </w:trPr>
        <w:tc>
          <w:tcPr>
            <w:tcW w:w="1024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42</w:t>
              </w:r>
            </w:hyperlink>
          </w:p>
        </w:tc>
      </w:tr>
      <w:tr>
        <w:trPr>
          <w:trHeight w:val="270"/>
        </w:trPr>
        <w:tc>
          <w:tcPr>
            <w:tcW w:w="10240" w:type="dxa"/>
            <w:vAlign w:val="bottom"/>
          </w:tcPr>
          <w:p>
            <w:pPr>
              <w:spacing w:after="0"/>
              <w:rPr>
                <w:rFonts w:ascii="Arial" w:cs="Arial" w:eastAsia="Arial" w:hAnsi="Arial"/>
                <w:sz w:val="18"/>
                <w:szCs w:val="18"/>
                <w:color w:val="auto"/>
              </w:rPr>
            </w:pPr>
            <w:hyperlink w:anchor="page47">
              <w:r>
                <w:rPr>
                  <w:rFonts w:ascii="Arial" w:cs="Arial" w:eastAsia="Arial" w:hAnsi="Arial"/>
                  <w:sz w:val="18"/>
                  <w:szCs w:val="18"/>
                  <w:color w:val="auto"/>
                </w:rPr>
                <w:t>Report of Independent Registered Public Accounting Firm</w:t>
              </w:r>
            </w:hyperlink>
          </w:p>
        </w:tc>
        <w:tc>
          <w:tcPr>
            <w:tcW w:w="11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43</w:t>
              </w:r>
            </w:hyperlink>
          </w:p>
        </w:tc>
      </w:tr>
      <w:tr>
        <w:trPr>
          <w:trHeight w:val="270"/>
        </w:trPr>
        <w:tc>
          <w:tcPr>
            <w:tcW w:w="10240" w:type="dxa"/>
            <w:vAlign w:val="bottom"/>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49">
              <w:r>
                <w:rPr>
                  <w:rFonts w:ascii="Arial" w:cs="Arial" w:eastAsia="Arial" w:hAnsi="Arial"/>
                  <w:sz w:val="18"/>
                  <w:szCs w:val="18"/>
                  <w:color w:val="auto"/>
                </w:rPr>
                <w:t>Financial Statements:</w:t>
              </w:r>
            </w:hyperlink>
          </w:p>
        </w:tc>
        <w:tc>
          <w:tcPr>
            <w:tcW w:w="1140" w:type="dxa"/>
            <w:vAlign w:val="bottom"/>
          </w:tcPr>
          <w:p>
            <w:pPr>
              <w:spacing w:after="0"/>
              <w:rPr>
                <w:sz w:val="23"/>
                <w:szCs w:val="23"/>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Balance Sheets as of December 31, 2019 and 2018</w:t>
            </w:r>
          </w:p>
        </w:tc>
        <w:tc>
          <w:tcPr>
            <w:tcW w:w="11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45</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Operations for the Years Ended December 31, 2019, 2018 and 2017</w:t>
            </w:r>
          </w:p>
        </w:tc>
        <w:tc>
          <w:tcPr>
            <w:tcW w:w="11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46</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Changes in Equity for the Years Ended December 31, 2019, 2018 and 2017</w:t>
            </w:r>
          </w:p>
        </w:tc>
        <w:tc>
          <w:tcPr>
            <w:tcW w:w="11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47</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tc>
        <w:tc>
          <w:tcPr>
            <w:tcW w:w="11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48</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49</w:t>
              </w:r>
            </w:hyperlink>
          </w:p>
        </w:tc>
      </w:tr>
    </w:tbl>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consolidated financial statements or notes thereto.</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The management of the Partnership assessed the effectiveness of the Partnership's internal control over financial reporting as of December 31, 2019.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Based on its assessment, Partnership's management has concluded that the Partnership's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December 31, 2019 based on those criteria.</w:t>
      </w:r>
    </w:p>
    <w:p>
      <w:pPr>
        <w:spacing w:after="0" w:line="13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2019 as stated in their report that appears on the following page.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Westlake Chemical Partners LP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Westlake Chemical Partners GP LLC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90"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Westlake Chemical Partners LP and its subsidiaries (the "Partnership") as of December 31, 2019 and 2018, and the related consolidated statements of operations, of changes in equity and of cash flows for each of the three years in the period ended December 31, 2019, including the related notes (collectively referred to as the "consolidated financial statements"). We also have audited the Partnership's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1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Partnership as of December 31, 2019 and 2018, and the results of its operations and its cash flows for each of the three years in the period ended December 31, 2019 in conformity with accounting principles generally accepted in the United States of America. Also in our opinion, the Partnership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90"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2" w:right="29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2" w:right="27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8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except unit amounts)</w:t>
            </w:r>
          </w:p>
        </w:tc>
        <w:tc>
          <w:tcPr>
            <w:tcW w:w="0" w:type="dxa"/>
            <w:vAlign w:val="bottom"/>
          </w:tcPr>
          <w:p>
            <w:pPr>
              <w:spacing w:after="0"/>
              <w:rPr>
                <w:sz w:val="1"/>
                <w:szCs w:val="1"/>
                <w:color w:val="auto"/>
              </w:rPr>
            </w:pPr>
          </w:p>
        </w:tc>
      </w:tr>
      <w:tr>
        <w:trPr>
          <w:trHeight w:val="256"/>
        </w:trPr>
        <w:tc>
          <w:tcPr>
            <w:tcW w:w="20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Receivable under the Investment Management Agreement—Westlake Chemical</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Corporation ("Westlake")</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162,773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148,956</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net—Westlake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57,280</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Accounts receivable, net—third parties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247,142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1,102,995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1,148,265</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60,904</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1,393,456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1,462,125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38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0" w:type="dxa"/>
            <w:vAlign w:val="bottom"/>
          </w:tcPr>
          <w:p>
            <w:pPr>
              <w:spacing w:after="0"/>
              <w:rPr>
                <w:sz w:val="20"/>
                <w:szCs w:val="20"/>
                <w:color w:val="auto"/>
              </w:rPr>
            </w:pPr>
          </w:p>
        </w:tc>
        <w:tc>
          <w:tcPr>
            <w:tcW w:w="83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Accounts payable—Westlake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15,201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27,477</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payable—third parties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Accrued and other liabilities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17,507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48,772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Long-term debt payable to Westlake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399,674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477,608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528,044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Common unitholders—publicly and privately held (21,072,315 and 18,125,141 units issued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and outstanding at December 31, 2019 and December 31, 2018, respectively)</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471,736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409,608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Common unitholder—Westlake (14,122,230 and 14,122,230 units issued and outstanding at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Borders>
              <w:bottom w:val="single" w:sz="8" w:color="CCEEFF"/>
            </w:tcBorders>
            <w:shd w:val="clear" w:color="auto" w:fill="CCEEFF"/>
          </w:tcPr>
          <w:p>
            <w:pPr>
              <w:spacing w:after="0"/>
              <w:rPr>
                <w:sz w:val="20"/>
                <w:szCs w:val="20"/>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December 31, 2019 and December 31, 2018,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48,774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General partner—Westlake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Westlake Chemical Partners LP partners'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215,810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674,621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718,271</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952,135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934,081</w:t>
            </w:r>
          </w:p>
        </w:tc>
        <w:tc>
          <w:tcPr>
            <w:tcW w:w="0" w:type="dxa"/>
            <w:vAlign w:val="bottom"/>
          </w:tcPr>
          <w:p>
            <w:pPr>
              <w:spacing w:after="0"/>
              <w:rPr>
                <w:sz w:val="1"/>
                <w:szCs w:val="1"/>
                <w:color w:val="auto"/>
              </w:rPr>
            </w:pPr>
          </w:p>
        </w:tc>
      </w:tr>
      <w:tr>
        <w:trPr>
          <w:trHeight w:val="257"/>
        </w:trPr>
        <w:tc>
          <w:tcPr>
            <w:tcW w:w="200" w:type="dxa"/>
            <w:vAlign w:val="bottom"/>
          </w:tcPr>
          <w:p>
            <w:pPr>
              <w:spacing w:after="0"/>
              <w:rPr>
                <w:sz w:val="22"/>
                <w:szCs w:val="22"/>
                <w:color w:val="auto"/>
              </w:rPr>
            </w:pPr>
          </w:p>
        </w:tc>
        <w:tc>
          <w:tcPr>
            <w:tcW w:w="8380" w:type="dxa"/>
            <w:vAlign w:val="bottom"/>
          </w:tcPr>
          <w:p>
            <w:pPr>
              <w:ind w:left="5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1,393,456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1,462,125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4"/>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8"/>
          </w:tcPr>
          <w:p>
            <w:pPr>
              <w:jc w:val="center"/>
              <w:ind w:left="592"/>
              <w:spacing w:after="0"/>
              <w:rPr>
                <w:sz w:val="20"/>
                <w:szCs w:val="20"/>
                <w:color w:val="auto"/>
              </w:rPr>
            </w:pPr>
            <w:r>
              <w:rPr>
                <w:rFonts w:ascii="Arial" w:cs="Arial" w:eastAsia="Arial" w:hAnsi="Arial"/>
                <w:sz w:val="14"/>
                <w:szCs w:val="14"/>
                <w:b w:val="1"/>
                <w:bCs w:val="1"/>
                <w:color w:val="auto"/>
                <w:w w:val="92"/>
              </w:rPr>
              <w:t>except unit amounts and per unit data)</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937,625</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1,074,957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973,081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co-products, ethylene and other sales—third parties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154,246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210,665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199,900</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1,091,871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1,285,622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1,172,981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712,443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908,463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769,314</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379,428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377,159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403,667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29,278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29,260</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350,150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349,569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374,407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(21,861)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333,623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330,593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354,338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332,895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330,571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353,058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271,914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281,224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304,388</w:t>
            </w:r>
          </w:p>
        </w:tc>
        <w:tc>
          <w:tcPr>
            <w:tcW w:w="0" w:type="dxa"/>
            <w:vAlign w:val="bottom"/>
          </w:tcPr>
          <w:p>
            <w:pPr>
              <w:spacing w:after="0"/>
              <w:rPr>
                <w:sz w:val="1"/>
                <w:szCs w:val="1"/>
                <w:color w:val="auto"/>
              </w:rPr>
            </w:pPr>
          </w:p>
        </w:tc>
      </w:tr>
      <w:tr>
        <w:trPr>
          <w:trHeight w:val="205"/>
        </w:trPr>
        <w:tc>
          <w:tcPr>
            <w:tcW w:w="71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 Partners LP and limited</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60,981</w:t>
            </w:r>
          </w:p>
        </w:tc>
        <w:tc>
          <w:tcPr>
            <w:tcW w:w="2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49,347</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48,670</w:t>
            </w:r>
          </w:p>
        </w:tc>
        <w:tc>
          <w:tcPr>
            <w:tcW w:w="0" w:type="dxa"/>
            <w:vAlign w:val="bottom"/>
          </w:tcPr>
          <w:p>
            <w:pPr>
              <w:spacing w:after="0"/>
              <w:rPr>
                <w:sz w:val="1"/>
                <w:szCs w:val="1"/>
                <w:color w:val="auto"/>
              </w:rPr>
            </w:pPr>
          </w:p>
        </w:tc>
      </w:tr>
      <w:tr>
        <w:trPr>
          <w:trHeight w:val="281"/>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interest in net income</w:t>
            </w: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 Partners LP per limited partner</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units—publicly and privately held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20,365,828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18,118,628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14,270,240</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14,122,230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14,122,230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7,831,307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6,290,923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75" w:lineRule="exact"/>
        <w:rPr>
          <w:sz w:val="20"/>
          <w:szCs w:val="20"/>
          <w:color w:val="auto"/>
        </w:rPr>
      </w:pPr>
    </w:p>
    <w:p>
      <w:pPr>
        <w:ind w:left="5980"/>
        <w:spacing w:after="0"/>
        <w:rPr>
          <w:sz w:val="20"/>
          <w:szCs w:val="20"/>
          <w:color w:val="auto"/>
        </w:rPr>
      </w:pPr>
      <w:r>
        <w:rPr>
          <w:rFonts w:ascii="Arial" w:cs="Arial" w:eastAsia="Arial" w:hAnsi="Arial"/>
          <w:sz w:val="16"/>
          <w:szCs w:val="16"/>
          <w:b w:val="1"/>
          <w:bCs w:val="1"/>
          <w:i w:val="1"/>
          <w:iCs w:val="1"/>
          <w:color w:val="auto"/>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34925</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Noncontrolling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Unitholders -</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Public and</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Unitholder -</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Unitholder -</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Partner -</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Privately Held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in OpCo</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0"/>
              </w:rPr>
              <w:t>(in thousands of dollars)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297,367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818,479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23,743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9,934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13,327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304,388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353,058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effect of cash flow hedge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w w:val="97"/>
              </w:rPr>
              <w:t>Proceeds from secondary public offering, net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of finance and other offering costs</w:t>
            </w:r>
          </w:p>
        </w:tc>
        <w:tc>
          <w:tcPr>
            <w:tcW w:w="1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110,698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110,698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 conversion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(42,117)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retained in OpCo by Westlake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(343,932)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(343,932)</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411,228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50,265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(241,958)</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778,935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998,749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330,571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effect of cash flow hedge</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issued for vested phantom units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(53,363)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retained in OpCo by Westlake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(341,888)</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409,608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48,774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718,271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934,081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332,895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Units issued for vested phantom units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proceeds from private placement of</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units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62,661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(62,084)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retained in OpCo by Westlake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(315,564)</w:t>
            </w:r>
          </w:p>
        </w:tc>
        <w:tc>
          <w:tcPr>
            <w:tcW w:w="0" w:type="dxa"/>
            <w:vAlign w:val="bottom"/>
          </w:tcPr>
          <w:p>
            <w:pPr>
              <w:spacing w:after="0"/>
              <w:rPr>
                <w:sz w:val="1"/>
                <w:szCs w:val="1"/>
                <w:color w:val="auto"/>
              </w:rPr>
            </w:pP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471,736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48,350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674,621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952,135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385"/>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(in thousands of dollars)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332,895</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330,571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353,058</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107,320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108,842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113,985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Other gains,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84,652</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450,807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436,151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537,357</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(68,858)</w:t>
            </w:r>
          </w:p>
        </w:tc>
      </w:tr>
      <w:tr>
        <w:trPr>
          <w:trHeight w:val="229"/>
        </w:trPr>
        <w:tc>
          <w:tcPr>
            <w:tcW w:w="7100" w:type="dxa"/>
            <w:vAlign w:val="bottom"/>
          </w:tcPr>
          <w:p>
            <w:pPr>
              <w:ind w:left="40"/>
              <w:spacing w:after="0"/>
              <w:rPr>
                <w:sz w:val="20"/>
                <w:szCs w:val="20"/>
                <w:color w:val="auto"/>
              </w:rPr>
            </w:pPr>
            <w:r>
              <w:rPr>
                <w:rFonts w:ascii="Arial" w:cs="Arial" w:eastAsia="Arial" w:hAnsi="Arial"/>
                <w:sz w:val="18"/>
                <w:szCs w:val="18"/>
                <w:color w:val="auto"/>
              </w:rPr>
              <w:t>Maturities of investments with Westlake under the Investment Management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515,445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372,050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62,828</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(529,445)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(199,000)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1,801</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(57,707)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(51,812)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(203,229)</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private placement of common units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110,698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123,511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165,257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(285,926)</w:t>
            </w:r>
          </w:p>
        </w:tc>
      </w:tr>
      <w:tr>
        <w:trPr>
          <w:trHeight w:val="229"/>
        </w:trPr>
        <w:tc>
          <w:tcPr>
            <w:tcW w:w="710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tcPr>
          <w:p>
            <w:pPr>
              <w:ind w:left="160"/>
              <w:spacing w:after="0"/>
              <w:rPr>
                <w:sz w:val="20"/>
                <w:szCs w:val="20"/>
                <w:color w:val="auto"/>
              </w:rPr>
            </w:pPr>
            <w:r>
              <w:rPr>
                <w:rFonts w:ascii="Arial" w:cs="Arial" w:eastAsia="Arial" w:hAnsi="Arial"/>
                <w:sz w:val="18"/>
                <w:szCs w:val="18"/>
                <w:color w:val="auto"/>
              </w:rPr>
              <w:t>Westlake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(315,564)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(341,888)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(343,932)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(62,084)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(42,117)</w:t>
            </w:r>
          </w:p>
        </w:tc>
      </w:tr>
      <w:tr>
        <w:trPr>
          <w:trHeight w:val="237"/>
        </w:trPr>
        <w:tc>
          <w:tcPr>
            <w:tcW w:w="710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(392,921)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(391,603)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(396,020)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(61,892)</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27,008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88,900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19,923</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19,744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27,008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680" w:firstLine="8"/>
        <w:spacing w:after="0" w:line="346" w:lineRule="auto"/>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Westlake Chemical Partners LP ("Westlake Chemical Partners LP" or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4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connection with the IPO, the Partnership acquired a 10.6% interest in Westlake Chemical OpCo LP ("OpCo") and a 100% interest in Westlake Chemical OpCo GP LLC ("OpCo GP"), which is the general partner of OpCo. OpCo owns three ethylene production facilities and a common carrier ethylene pipeline (collectively, the "Contributed Assets"). As of December 31, 2018, the Partnership had an aggregate 18.3% limited partner interest in OpCo.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Chemical Corporation. References to "Westlake" refer collectively to Westlake Chemical Corporation and its subsidiaries, other than the Partnership, OpCo and OpCo GP.</w:t>
      </w:r>
    </w:p>
    <w:p>
      <w:pPr>
        <w:spacing w:after="0" w:line="135"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OpCo and Westlake entered into an ethylene sales agreement (the "Ethylene Sales Agreement") pursuant to which the Partnership generates a substantial majority of its revenue. For more information, see Note 2.</w:t>
      </w:r>
    </w:p>
    <w:p>
      <w:pPr>
        <w:spacing w:after="0" w:line="116"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are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the accounting principles generally accepted in the United States.</w:t>
      </w:r>
    </w:p>
    <w:p>
      <w:pPr>
        <w:spacing w:after="0" w:line="11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determination of the allowance for doubtful accounts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and specific collectability analysis. The allowance for doubtful accounts is reviewed quarterly. Past due balances over 90 days and high risk accounts, as determined by the analysis of financial strength of customers, are reviewed individually for collectability.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Inventories primarily include product, material and supplies. Inventories are stated at the lower of cost or net realizable value. Cost is determined using the first-in, first-out ("FIFO") or average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Interest expense is capitalized for qualifying assets under construction. Capitalized interest costs are included in property, plant and equipment and are depreciated over the useful life of the related asset. Capitalized interest was $0, $175 and $435 for the years ended December 31, 2019, 2018 and 2017. Repair and maintenance costs are charged to operations as incurred. Gains and losses on the disposal or retirement of property, plant and equipment are reflected in the statement of operations when the assets are sold or retired.</w:t>
      </w:r>
    </w:p>
    <w:p>
      <w:pPr>
        <w:spacing w:after="0" w:line="13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90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Years</w:t>
            </w:r>
          </w:p>
        </w:tc>
      </w:tr>
      <w:tr>
        <w:trPr>
          <w:trHeight w:val="371"/>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38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Ethylene pipeline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9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accounting guidance requires that goodwill be tested for impairment at least annually, or when events or changes in circumstances indicate the fair value of a reporting unit with goodwill has been reduced below its carrying value. The impairment test for the recorded goodwill was performed in October 2019 and did not indicate impairment of the goodwill. Other intangible assets with finite lives are amortized over their estimated useful life and reviewed for impairment in accordance with the provisions of the accounting guidance. As of December 31, 2019, the Partnership's recorded goodwill was $5,814. See Note 6 for more information on the Partnership's annual goodwill impairment test.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three to six years. Deferred turnaround costs are presented as a component of other assets, net. The cash outflows related to these costs are included in operating activities in the consolidated statement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2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134"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Partnership does not disclose the value of unsatisfied performance obligations because its contracts with customers (1) have an original expected duration of one year or less or (2) have only variable consideration which is allocated to wholly unsatisfied performance obligations that is calculated based on market prices at a specified date and is allocated to wholly unsatisfied performance obligations.</w:t>
      </w:r>
    </w:p>
    <w:p>
      <w:pPr>
        <w:spacing w:after="0" w:line="46"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 Partnership generates a substantial majority of its revenue from sales to Westlake under the Ethylene Sales Agreement. The Ethylene Sales Agreement is intended to generate a long-term, fixed cash margin per pound. Partnership's direct commodity price risk is limited to the sales to third parties. See the Partnership's consolidated statement of operations for the disaggregation of net sales to Westlake and net sales to third parties.</w:t>
      </w:r>
    </w:p>
    <w:p>
      <w:pPr>
        <w:spacing w:after="0" w:line="111" w:lineRule="exact"/>
        <w:rPr>
          <w:sz w:val="20"/>
          <w:szCs w:val="20"/>
          <w:color w:val="auto"/>
        </w:rPr>
      </w:pPr>
    </w:p>
    <w:p>
      <w:pPr>
        <w:ind w:right="300" w:firstLine="432"/>
        <w:spacing w:after="0" w:line="312" w:lineRule="auto"/>
        <w:rPr>
          <w:sz w:val="20"/>
          <w:szCs w:val="20"/>
          <w:color w:val="auto"/>
        </w:rPr>
      </w:pPr>
      <w:r>
        <w:rPr>
          <w:rFonts w:ascii="Arial" w:cs="Arial" w:eastAsia="Arial" w:hAnsi="Arial"/>
          <w:sz w:val="16"/>
          <w:szCs w:val="16"/>
          <w:color w:val="auto"/>
        </w:rPr>
        <w:t>Prior to the adoption of ASU No. 2014-09, Revenue from Contracts with Customers ("ASC 606"), on January 1, 2018, the revenue was recognized when persuasive evidence of an arrangement existed, products were delivered to the customer, the sales price was fixed or determinable, and collectability was reasonably assured. Title and risk of loss had passed to the customer upon delivery under executed customer purchase orders or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and Freight</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Amounts billed to customers for freight and handling costs on outbound shipments are included in net sales in the consolidated statements of operations. Transportation and freight costs incurred by the Partnership on outbound shipments are included in cost of sales in the consolidated statements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Deferred tax expense or benefit is the result of changes in the deferred tax assets and liabilities during the period. Valuation allowances are recorded against deferred tax assets when it is considered more likely than not that the deferred tax assets will not be realized on a separate tax return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Partnership only operates one segment (ethylene production) and all of its operations are located in the United States.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9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Partnership has not reported consolidated statements of comprehensive income for the years ended December 31, 2019, 2018 and 2017 due to immateriality of the components of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In June 2016, the FASB issued an accounting standards update providing new guidance for the accounting for credit losses on loans and other financial instruments. The new guidance introduces an approach based on expected losses to estimate credit losses on trade receivables and certain types of financial instruments. The standard also modifies the impairment model for available-for-sale debt securities and provides for a simplified accounting model for purchased financial assets with credit deterioration since their origination. The accounting standard is effective for reporting periods beginning after December 15, 2019 and is not expected to have a material impact on the Partnership's consolidated financial position, results of operations and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(ASU No. 2018-13)</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August 2018, the FASB issued an accounting standards update to modify the disclosure requirements on fair value measurements. The amendments are effective for reporting periods beginning after December 15, 2019. An entity is permitted to early adopt any removed or modified disclosures and delay adoption of the additional disclosures until the effective date. Most amendments should be applied retrospectively but certain amendments should be applied prospectively. The new accounting guidance is not expected to have a material impact on the Partnership's consolidated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In February 2016, the FASB issued an accounting standards update on lease accounting that supersedes the previously issued lease guidance. The new standard requires lessees to recognize assets and liabilities for all long-term operating leases. An asset is recognized for the right to use an underlying leased asset and a liability is recognized for the obligation to make payments over the lease term. The standard also requires expanded lease disclosures. The standard requires a modified retrospective adoption approach and allows for the election of certain transition expedients.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Partnership adopted the standard effective January 1, 2019 using the optional transition method, which allows entities to recognize a cumulative adjustment to the opening balance sheet in the period of adoption. The Partnership elected the package of optional transition expedients and was not required to reassess (1) whether any existing contracts are or contain leases, (2) classification of existing leases as operating or capital or (3) whether initial direct costs for existing leases qualify for capitalization under the new accounting standard. The Partnership did not elect the use of hindsight to determine the lease term when considering lease renewal or termination options. Adoption of the new standard did not have a material impact on the Partnership's consolidated financial position, results of operations and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Agreements with Westlake and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has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fee for each pound of ethylene purchased by Westlake from OpCo up to the Minimum Commitment in any calendar year will equal:</w:t>
      </w:r>
    </w:p>
    <w:p>
      <w:pPr>
        <w:spacing w:after="0" w:line="90" w:lineRule="exact"/>
        <w:rPr>
          <w:sz w:val="20"/>
          <w:szCs w:val="20"/>
          <w:color w:val="auto"/>
        </w:rPr>
      </w:pPr>
    </w:p>
    <w:p>
      <w:pPr>
        <w:ind w:left="660" w:right="440" w:hanging="328"/>
        <w:spacing w:after="0" w:line="334"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1"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OpCo's estimated operating costs (including selling, general and administrative expenses), divided by OpCo's planned ethylene production for the year (in pounds); plus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five-year average of OpCo's expected future maintenance capital expenditures and other turnaround expenditures, divided by OpCo's planned ethylene production capacity for the year (in pounds); less</w:t>
      </w:r>
    </w:p>
    <w:p>
      <w:pPr>
        <w:spacing w:after="0" w:line="35" w:lineRule="exact"/>
        <w:rPr>
          <w:rFonts w:ascii="Arial" w:cs="Arial" w:eastAsia="Arial" w:hAnsi="Arial"/>
          <w:sz w:val="18"/>
          <w:szCs w:val="18"/>
          <w:color w:val="auto"/>
        </w:rPr>
      </w:pPr>
    </w:p>
    <w:p>
      <w:pPr>
        <w:ind w:left="660" w:right="50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$0.10 per pound margin.</w:t>
      </w:r>
    </w:p>
    <w:p>
      <w:pPr>
        <w:spacing w:after="0" w:line="17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1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result of the fee structure is that OpCo should recover the portion of its total operating costs and maintenance capital expenditures and other turnaround expenditures corresponding to the portion of OpCo's aggregate production that is purchased by Westlake. Any shortfall in recovery of such costs is recognized during the current year and is recoverable from Westlake in the subsequent year.</w:t>
      </w:r>
    </w:p>
    <w:p>
      <w:pPr>
        <w:spacing w:after="0" w:line="12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Ethylene Sales Agreement has an initial term extending until December 31, 2026 and automatically renews thereafter for successive 12-month terms unless terminated.</w:t>
      </w:r>
    </w:p>
    <w:p>
      <w:pPr>
        <w:spacing w:after="0" w:line="116"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OpCo has entered into a feedstock supply agreement with Westlake, pursuant to which Westlake sells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1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OpCo has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are under the control of OpCo while they work on OpCo's facilities.</w:t>
      </w:r>
    </w:p>
    <w:p>
      <w:pPr>
        <w:spacing w:after="0" w:line="11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OpCo has entered into two site lease agreements with Westlake pursuant to which Westlake leases to OpCo the real property underlying Lake Charles Olefins and Calvert City Olefins, respectively, and grants OpCo rights to access and use certain other portions of Westlake's ethylene production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Partnership has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OpCo and Westlake are parties to an exchange agreement, which continues on an annual basis, unless and until terminated by either party. Under the exchange agreement, OpCo may require Westlake to deliver up to 200 million pounds of ethylene for OpCo per year from the Site Leases to an ethylene hub in Mt. Belvieu, Texas, for which OpCo would be required to pay an exchange fee of $0.006 per pound.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Partnership, OpCo GP and Westlake are parties to an agreement of limited partnership for OpCo (the "OpCo LP Agreement"). The OpCo LP Agreement governs the ownership and management of OpCo and designates OpCo GP as the general partner.</w:t>
      </w:r>
    </w:p>
    <w:p>
      <w:pPr>
        <w:spacing w:after="0" w:line="3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of OpCo. OpCo GP generally has complete authority to manage OpCo's business and affairs. The Partnership controls OpCo GP, as its sole member, subject to certain approval rights held by Westlake.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7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Partnership, OpCo and Westlake are parties to an Investment Management Agreement that authorizes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$162,773 of invested cash under the Investment Management Agreement at December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40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940" w:type="dxa"/>
            <w:vAlign w:val="bottom"/>
            <w:tcBorders>
              <w:bottom w:val="single" w:sz="8" w:color="CCEEFF"/>
            </w:tcBorders>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9,730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17,325</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40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Accounts receivable, net—third parties</w:t>
            </w:r>
          </w:p>
        </w:tc>
        <w:tc>
          <w:tcPr>
            <w:tcW w:w="40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7"/>
              </w:rPr>
              <w:t>9,914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4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40" w:type="dxa"/>
            <w:vAlign w:val="bottom"/>
            <w:vMerge w:val="continue"/>
          </w:tcPr>
          <w:p>
            <w:pPr>
              <w:spacing w:after="0"/>
              <w:rPr>
                <w:sz w:val="24"/>
                <w:szCs w:val="24"/>
                <w:color w:val="auto"/>
              </w:rPr>
            </w:pPr>
          </w:p>
        </w:tc>
        <w:tc>
          <w:tcPr>
            <w:tcW w:w="4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4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4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40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4940" w:type="dxa"/>
            <w:vAlign w:val="bottom"/>
            <w:tcBorders>
              <w:bottom w:val="single" w:sz="8" w:color="CCEEFF"/>
            </w:tcBorders>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4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94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2,484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55</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17,426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Plant and equipment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1,825,332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1,804,684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97,402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88,077</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1,940,160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1,910,187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(882,768)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(795,167)</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1,057,392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1,115,020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33,245</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1,102,995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1,148,265</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Depreciation expense on property, plant and equipment of $89,454, $88,197 and $91,154 is included in cost of sales in the consolidated statements of operations for the years ended December 31, 2019, 2018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9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Partnership's goodwill balance was $5,814 at December 31, 2019 and 2018. The impairment assessment for the recorded goodwill was performed in October 2019 and did not indicate impairment of the goodwill. The fair value of the goodwill was calculated using both a discounted cash flow methodology and a market value methodology. The discounted cash flow projections were based on a ten-year forecast, from 2020 to 2029, to reflect the cyclicality of the Partnership's business. The forecast was based on prices and spreads projected by IHS Markit, a chemical industry organization offering market and business advisory services for the chemical market, for the same period, and estimates by management, including their strategic and operational plans. Other significant assumptions used in the discounted cash flow projection included sales volumes based on production capacities. The future cash flows were discounted to present value using a discount rate of 9.5%. The significant assumptions used in determining the fair value of the reporting unit using the market value methodology include the determination of appropriate market comparables and the estimated multiples of EBITDA a willing buyer is likely to pay.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Charges and Other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charges and other assets,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Turnaround costs,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56,533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4,371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charges and other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46,236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60,904</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Amortization expense on other assets of $17,866, $20,645 and $22,831 is included in the consolidated statements of operations for the years ended December 31, 2019, 2018 and 2017, respectively. Certain other assets are amortized over periods ranging from five to fifteen years using the straight-line method.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OpCo Revolver (variable interest rate of London Interbank Offered Rate ("LIBOR") plus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 scheduled maturity of September 25, 2023)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224,064</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MLP Revolver (variable interest rate of LIBOR plus 2.0%, scheduled maturity of</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April 29, 2021)</w:t>
            </w:r>
          </w:p>
        </w:tc>
        <w:tc>
          <w:tcPr>
            <w:tcW w:w="36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253,544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477,608</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On August 4, 2014, OpCo entered into a $600,000 senior unsecured revolving credit facility agreement with Westlake (as subsequently amended, the "OpCo Revolver"). The OpCo Revolver is scheduled to mature on September 25, 2023 and bears interest at a rate of LIBOR plus 2.0%, which may be paid-in-kind as an addition to the principal at OpCo's option. On April 30, 2019, the Partnership repaid $201,445 of borrowings under the OpCo Revolver.</w:t>
      </w:r>
    </w:p>
    <w:p>
      <w:pPr>
        <w:spacing w:after="0" w:line="93" w:lineRule="exact"/>
        <w:rPr>
          <w:sz w:val="20"/>
          <w:szCs w:val="20"/>
          <w:color w:val="auto"/>
        </w:rPr>
      </w:pPr>
    </w:p>
    <w:p>
      <w:pPr>
        <w:ind w:right="140" w:firstLine="432"/>
        <w:spacing w:after="0" w:line="288" w:lineRule="auto"/>
        <w:rPr>
          <w:sz w:val="20"/>
          <w:szCs w:val="20"/>
          <w:color w:val="auto"/>
        </w:rPr>
      </w:pPr>
      <w:r>
        <w:rPr>
          <w:rFonts w:ascii="Arial" w:cs="Arial" w:eastAsia="Arial" w:hAnsi="Arial"/>
          <w:sz w:val="16"/>
          <w:szCs w:val="16"/>
          <w:color w:val="auto"/>
        </w:rPr>
        <w:t>On April 29, 2015, the Partnership entered into a $300,000 revolving credit facility agreement with an affiliate of Westlake (as subsequently amended, the "MLP Revolver") to fund the Partnership's purchase of an additional 2.7% newly-issued, limited partner interest in OpCo for $135,341. The MLP Revolver is scheduled to mature on April 29, 2021. In 2017, the Partnership entered into an amendment to the MLP Revolver credit agreement, increasing borrowing capacity from $300,000 to $600,000. The MLP Revolver bears interest at LIBOR plus a spread ranging from 2.0% to 3.0% (depending on the Partnership's consolidated leverage ratio), payable quarterly.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On March 29, 2019, the Partnership borrowed $123,511 under the MLP Revolver to partially fund the purchase of the additional 4.5% interest in OpCo.</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2019, the Partnership was in compliance with all of the covenants under the OpCo Revolver and the MLP Revolver.</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interest rate on all long-term debt was 4.10% and 4.40% at December 31, 2019 and 2018, respectively.</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As of December 31, 2019, the Partnership had no scheduled maturities of long-term debt until 2021. The OpCo Revolver is scheduled to mature on September 25, 2023, and the MLP Revolver is scheduled to mature on April 29,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Distributions and Net Income Per Limited Partner Unit</w:t>
      </w:r>
    </w:p>
    <w:p>
      <w:pPr>
        <w:spacing w:after="0" w:line="175" w:lineRule="exact"/>
        <w:rPr>
          <w:sz w:val="20"/>
          <w:szCs w:val="20"/>
          <w:color w:val="auto"/>
        </w:rPr>
      </w:pPr>
    </w:p>
    <w:p>
      <w:pPr>
        <w:ind w:right="500" w:firstLine="392"/>
        <w:spacing w:after="0" w:line="264" w:lineRule="auto"/>
        <w:rPr>
          <w:sz w:val="20"/>
          <w:szCs w:val="20"/>
          <w:color w:val="auto"/>
        </w:rPr>
      </w:pPr>
      <w:r>
        <w:rPr>
          <w:rFonts w:ascii="Arial" w:cs="Arial" w:eastAsia="Arial" w:hAnsi="Arial"/>
          <w:sz w:val="18"/>
          <w:szCs w:val="18"/>
          <w:color w:val="auto"/>
        </w:rPr>
        <w:t>On January 24, 2020, the board of directors of Westlake Chemical Partners GP LLC ("Westlake GP"), the Partnership's general partner, declared a quarterly cash distribution for the period from October 1, 2019 to December 31, 2019 of $0.4714 per common unit. This distribution was paid on February 18, 2020 to unitholders of record on February 3,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60,981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48,670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Less: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 units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64,718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34,909</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 subordinated units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declared with respect to the incentive distribution rights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09"/>
        </w:trPr>
        <w:tc>
          <w:tcPr>
            <w:tcW w:w="6760" w:type="dxa"/>
            <w:vAlign w:val="bottom"/>
          </w:tcPr>
          <w:p>
            <w:pPr>
              <w:ind w:left="40"/>
              <w:spacing w:after="0"/>
              <w:rPr>
                <w:sz w:val="20"/>
                <w:szCs w:val="20"/>
                <w:color w:val="auto"/>
              </w:rPr>
            </w:pPr>
            <w:r>
              <w:rPr>
                <w:rFonts w:ascii="Arial" w:cs="Arial" w:eastAsia="Arial" w:hAnsi="Arial"/>
                <w:sz w:val="18"/>
                <w:szCs w:val="18"/>
                <w:color w:val="auto"/>
              </w:rPr>
              <w:t>(Distribution in excess of net income) net income in excess of</w:t>
            </w:r>
          </w:p>
        </w:tc>
        <w:tc>
          <w:tcPr>
            <w:tcW w:w="900" w:type="dxa"/>
            <w:vAlign w:val="bottom"/>
            <w:tcBorders>
              <w:top w:val="single" w:sz="8" w:color="auto"/>
            </w:tcBorders>
            <w:vMerge w:val="restart"/>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(3,737)</w:t>
            </w:r>
          </w:p>
        </w:tc>
        <w:tc>
          <w:tcPr>
            <w:tcW w:w="100" w:type="dxa"/>
            <w:vAlign w:val="bottom"/>
            <w:vMerge w:val="restart"/>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42"/>
        </w:trPr>
        <w:tc>
          <w:tcPr>
            <w:tcW w:w="676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90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12"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As discussed further in Note 10, the 12,686,115 subordinated units, all of which were owned by Westlake, were converted into common units effective August 30, 2017. For purposes of calculating net income per unit, the subordinated units were treated as if they had been converted to common units on July 1, 2017. Therefore, the subordinated units did not share in the distribution of cash generated from July 1, 2017 to December 31, 2017, and the Partnership did not allocate any earnings to the subordinated unitholders from July 1, 2017 to December 31, 2017 for the determination of net income per unit.</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8"/>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95"/>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24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64,718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64,718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2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24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60,981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60,981</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2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24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34,488,058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34,488,058</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2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00" w:type="dxa"/>
            <w:vAlign w:val="bottom"/>
            <w:vMerge w:val="restart"/>
          </w:tcPr>
          <w:p>
            <w:pPr>
              <w:jc w:val="right"/>
              <w:ind w:right="870"/>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3" w:lineRule="exact"/>
        <w:rPr>
          <w:sz w:val="20"/>
          <w:szCs w:val="20"/>
          <w:color w:val="auto"/>
        </w:rPr>
      </w:pPr>
    </w:p>
    <w:tbl>
      <w:tblPr>
        <w:tblLayout w:type="fixed"/>
        <w:tblInd w:w="6960" w:type="dxa"/>
        <w:tblCellMar>
          <w:top w:w="0" w:type="dxa"/>
          <w:left w:w="0" w:type="dxa"/>
          <w:bottom w:w="0" w:type="dxa"/>
          <w:right w:w="0" w:type="dxa"/>
        </w:tblCellMar>
      </w:tblPr>
      <w:tr>
        <w:trPr>
          <w:trHeight w:val="161"/>
        </w:trPr>
        <w:tc>
          <w:tcPr>
            <w:tcW w:w="128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Limited Partners'</w:t>
            </w:r>
          </w:p>
        </w:tc>
        <w:tc>
          <w:tcPr>
            <w:tcW w:w="1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Incentive Distribution</w:t>
            </w:r>
          </w:p>
        </w:tc>
        <w:tc>
          <w:tcPr>
            <w:tcW w:w="68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28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Common Units</w:t>
            </w:r>
          </w:p>
        </w:tc>
        <w:tc>
          <w:tcPr>
            <w:tcW w:w="1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Rights</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attributable to the Partnership:</w:t>
      </w:r>
    </w:p>
    <w:p>
      <w:pPr>
        <w:sectPr>
          <w:pgSz w:w="11900" w:h="16838" w:orient="portrait"/>
          <w:cols w:equalWidth="0" w:num="1">
            <w:col w:w="11420"/>
          </w:cols>
          <w:pgMar w:left="240" w:top="122" w:right="239" w:bottom="1440" w:gutter="0" w:footer="0" w:header="0"/>
        </w:sectPr>
      </w:pP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Distribution in excess of net income</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units outstanding: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limited partner unit: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1600" w:type="dxa"/>
        <w:tblCellMar>
          <w:top w:w="0" w:type="dxa"/>
          <w:left w:w="0" w:type="dxa"/>
          <w:bottom w:w="0" w:type="dxa"/>
          <w:right w:w="0" w:type="dxa"/>
        </w:tblCellMar>
      </w:tblP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53,516</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54,249</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(4,902)</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48,614</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49,347</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94"/>
        </w:trPr>
        <w:tc>
          <w:tcPr>
            <w:tcW w:w="3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32,240,858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32,240,858</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-745490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-385445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-16510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63" w:lineRule="exact"/>
        <w:rPr>
          <w:sz w:val="20"/>
          <w:szCs w:val="20"/>
          <w:color w:val="auto"/>
        </w:rPr>
      </w:pPr>
    </w:p>
    <w:p>
      <w:pPr>
        <w:ind w:left="2680" w:hanging="1052"/>
        <w:spacing w:after="0"/>
        <w:tabs>
          <w:tab w:leader="none" w:pos="2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31750</wp:posOffset>
            </wp:positionV>
            <wp:extent cx="951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48895</wp:posOffset>
            </wp:positionV>
            <wp:extent cx="951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978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Limited Partners'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Limited Partners'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14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Common Units</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-8255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4440" w:space="720"/>
            <w:col w:w="626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34,909</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9,133</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45,708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 net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 excess of distribution</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w:t>
            </w: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38,010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48,670</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22,101,547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6,290,923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28,392,470</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64"/>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00" w:firstLine="392"/>
        <w:spacing w:after="0" w:line="259" w:lineRule="auto"/>
        <w:rPr>
          <w:sz w:val="20"/>
          <w:szCs w:val="20"/>
          <w:color w:val="auto"/>
        </w:rPr>
      </w:pPr>
      <w:r>
        <w:rPr>
          <w:rFonts w:ascii="Arial" w:cs="Arial" w:eastAsia="Arial" w:hAnsi="Arial"/>
          <w:sz w:val="18"/>
          <w:szCs w:val="18"/>
          <w:color w:val="auto"/>
        </w:rPr>
        <w:t>The amended Partnership Agreement provides that the Partnership will distribute cash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$1.2938 up to $1.4063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392"/>
        <w:spacing w:after="0" w:line="342" w:lineRule="auto"/>
        <w:rPr>
          <w:sz w:val="20"/>
          <w:szCs w:val="20"/>
          <w:color w:val="auto"/>
        </w:rPr>
      </w:pPr>
      <w:r>
        <w:rPr>
          <w:rFonts w:ascii="Arial" w:cs="Arial" w:eastAsia="Arial" w:hAnsi="Arial"/>
          <w:sz w:val="16"/>
          <w:szCs w:val="16"/>
          <w:color w:val="auto"/>
        </w:rPr>
        <w:t>The Partnership's distribution for the three months ended December 31, 2019 did not exceed the $1.2938 per unit threshold, and, as a result, no distribution was made with respect to the Partnership's incentive distribution rights to Westlake, as the holder of the Partnership' incentive distribution rights.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years ended December 31, 2018, 2018 and 2017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6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per common unit</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1.8005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1.6134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1.4405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Partners' Equity</w:t>
      </w:r>
    </w:p>
    <w:p>
      <w:pPr>
        <w:spacing w:after="0" w:line="94"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Following the Partnership's cash distribution for the second quarter of 2017, the requirement under the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w:t>
      </w:r>
    </w:p>
    <w:p>
      <w:pPr>
        <w:spacing w:after="0" w:line="93"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On September 29, 2017, the Partnership completed its secondary offering of 5,175,000 common units at a price of $22.00 per unit. Net proceeds to the Partnership from the sale of the units were $110,739, net of underwriting discounts, structuring fees and estimated offering expenses of approximately $3,111.</w:t>
      </w:r>
    </w:p>
    <w:p>
      <w:pPr>
        <w:spacing w:after="0" w:line="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No common units were issued under this program as of December 31, 2019.</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Net proceeds to the Partnership from the sale of the units were approximately $62,661. TTWF LP, Westlake's principal stockholder and a related party, acquired 1,401,869 common units out of 2,940,818 common units issued in the private placement.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6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937,625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1,074,957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973,081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366,031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425,255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106,564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114,364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96,813</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472,595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670,726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522,068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 general and</w:t>
            </w:r>
          </w:p>
        </w:tc>
        <w:tc>
          <w:tcPr>
            <w:tcW w:w="900" w:type="dxa"/>
            <w:vAlign w:val="bottom"/>
            <w:vMerge w:val="restart"/>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26,946</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24,618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27,262</w:t>
            </w: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90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6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 capitalized as assets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2,503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3,491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131"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On August 1, 2017, the Partnership, OpCo and Westlake executed an investment management agreement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$601 and $496 was included in the receivable under the Investment Management Agreement balance at December 31, 2019 and 2018, respectively. The interest earned related to the Investment Management Agreement was $3,289, $2,646 and $340 for the years ended December 31, 2019, 2018 and 2017, respectively.</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23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Receivable under the Investment Management Agreement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162,773</w:t>
        <w:tab/>
        <w:t>$</w:t>
      </w:r>
      <w:r>
        <w:rPr>
          <w:sz w:val="20"/>
          <w:szCs w:val="20"/>
          <w:color w:val="auto"/>
        </w:rPr>
        <w:tab/>
      </w:r>
      <w:r>
        <w:rPr>
          <w:rFonts w:ascii="Arial" w:cs="Arial" w:eastAsia="Arial" w:hAnsi="Arial"/>
          <w:sz w:val="16"/>
          <w:szCs w:val="16"/>
          <w:color w:val="auto"/>
        </w:rPr>
        <w:t>148,956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Partnership's accounts receivable from Westlake result primarily from ethylene sales to Westlake, any shortfall recoverable from Westlake and any buyer deficiency fees, in each case under the Ethylene Sales Agreement. Under the Ethylene Sales Agreement, if production costs billed to Westlake on an annual basis are less than 95% of the actual production costs incurred by OpCo during the year, OpCo is entitled to recover the shortfall in the subsequent year. The shortfall is recognized in the period when such production activities occur. The Partnership's accounts receivable from Westlake were as follows:</w:t>
      </w:r>
    </w:p>
    <w:p>
      <w:pPr>
        <w:spacing w:after="0" w:line="159"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220" w:val="left"/>
          <w:tab w:leader="none" w:pos="9960" w:val="left"/>
          <w:tab w:leader="none" w:pos="10800" w:val="left"/>
        </w:tabs>
        <w:rPr>
          <w:sz w:val="20"/>
          <w:szCs w:val="20"/>
          <w:color w:val="auto"/>
        </w:rPr>
      </w:pPr>
      <w:r>
        <w:rPr>
          <w:rFonts w:ascii="Arial" w:cs="Arial" w:eastAsia="Arial" w:hAnsi="Arial"/>
          <w:sz w:val="18"/>
          <w:szCs w:val="18"/>
          <w:color w:val="auto"/>
        </w:rPr>
        <w:t>Accounts receivable—Westlake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42,847</w:t>
        <w:tab/>
        <w:t>$</w:t>
      </w:r>
      <w:r>
        <w:rPr>
          <w:sz w:val="20"/>
          <w:szCs w:val="20"/>
          <w:color w:val="auto"/>
        </w:rPr>
        <w:tab/>
      </w:r>
      <w:r>
        <w:rPr>
          <w:rFonts w:ascii="Arial" w:cs="Arial" w:eastAsia="Arial" w:hAnsi="Arial"/>
          <w:sz w:val="16"/>
          <w:szCs w:val="16"/>
          <w:color w:val="auto"/>
        </w:rPr>
        <w:t>57,280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w:t>
      </w:r>
    </w:p>
    <w:p>
      <w:pPr>
        <w:spacing w:after="0" w:line="9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Partnership's accounts payable to Westlake result primarily from feedstock purchases under the Feedstock Supply Agreement and services provided under the Services and Secondment Agreement and the Omnibus Agreement. The Partnership's accounts payable to Westlake were as follows:</w:t>
      </w:r>
    </w:p>
    <w:p>
      <w:pPr>
        <w:spacing w:after="0" w:line="129"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220" w:val="left"/>
          <w:tab w:leader="none" w:pos="9960" w:val="left"/>
          <w:tab w:leader="none" w:pos="10800" w:val="left"/>
        </w:tabs>
        <w:rPr>
          <w:sz w:val="20"/>
          <w:szCs w:val="20"/>
          <w:color w:val="auto"/>
        </w:rPr>
      </w:pPr>
      <w:r>
        <w:rPr>
          <w:rFonts w:ascii="Arial" w:cs="Arial" w:eastAsia="Arial" w:hAnsi="Arial"/>
          <w:sz w:val="18"/>
          <w:szCs w:val="18"/>
          <w:color w:val="auto"/>
        </w:rPr>
        <w:t>Accounts payable—Westlake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15,201</w:t>
        <w:tab/>
        <w:t>$</w:t>
      </w:r>
      <w:r>
        <w:rPr>
          <w:sz w:val="20"/>
          <w:szCs w:val="20"/>
          <w:color w:val="auto"/>
        </w:rPr>
        <w:tab/>
      </w:r>
      <w:r>
        <w:rPr>
          <w:rFonts w:ascii="Arial" w:cs="Arial" w:eastAsia="Arial" w:hAnsi="Arial"/>
          <w:sz w:val="16"/>
          <w:szCs w:val="16"/>
          <w:color w:val="auto"/>
        </w:rPr>
        <w:t>27,477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8 for a description of related party debt payable balances.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Interest on related party debt payable balances, net of capitalized interest, for the years ended December 31, 2019, 2018 and 2017 was $19,623, $21,433 and $21,861, respectively, and is reflected as a component of other income (expense) in the consolidated and statements of operations. Interest capitalized as a component of property, plant and equipment on related party debt was $0 and $175 for the years ended December 31, 2019 and 2018, respectively. At December 31, 2019 and 2018, accrued interest on related party debt was $4,187 and $5,448, respectively, and is reflected as a component of accrued liabilities in the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23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Long-term debt payable to 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399,674</w:t>
        <w:tab/>
        <w:t>$</w:t>
      </w:r>
      <w:r>
        <w:rPr>
          <w:sz w:val="20"/>
          <w:szCs w:val="20"/>
          <w:color w:val="auto"/>
        </w:rPr>
        <w:tab/>
      </w:r>
      <w:r>
        <w:rPr>
          <w:rFonts w:ascii="Arial" w:cs="Arial" w:eastAsia="Arial" w:hAnsi="Arial"/>
          <w:sz w:val="16"/>
          <w:szCs w:val="16"/>
          <w:color w:val="auto"/>
        </w:rPr>
        <w:t>477,608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OpCo is obligated to Westlake under various long-term and short-term noncancelable operating leases, primarily related to rail car leases and land. Operating lease rentals paid to Westlake for such leases were $2,343, $2,219 and $2,284 for the years ended December 31, 2019, 2018 and 2017, respectively, and reflected in other charges from Westlake that are included in cost of sales.</w:t>
      </w:r>
    </w:p>
    <w:p>
      <w:pPr>
        <w:spacing w:after="0" w:line="46"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90"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During the years ended December 31, 2019, 2018 and 2017, Westlake accounted for approximately 85.9%, 83.6% and 83.0%, respectively, of the Partnership's net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During the years ended December 31, 2019, 2018 and 2017, the Partnership reimbursed $293, $418, and $415, respectively, to Westlake for certain state tax payments.</w:t>
      </w:r>
    </w:p>
    <w:p>
      <w:pPr>
        <w:sectPr>
          <w:pgSz w:w="11900" w:h="16838" w:orient="portrait"/>
          <w:cols w:equalWidth="0" w:num="1">
            <w:col w:w="11420"/>
          </w:cols>
          <w:pgMar w:left="240" w:top="122"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10 above for an additional related party transaction.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Commodity Instruments</w:t>
      </w:r>
    </w:p>
    <w:p>
      <w:pPr>
        <w:spacing w:after="0" w:line="17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From time to time, the Partnership uses derivative instruments to reduce price volatility risk on commodities, primarily ethane and ethylene. The Partnership does not use derivative instruments to engage in speculative activities.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Partnership had no derivatives that were designated as fair value hedges during the years ended December 31, 2019, 2018 and 2017.</w:t>
      </w:r>
    </w:p>
    <w:p>
      <w:pPr>
        <w:spacing w:after="0" w:line="18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exposure on commodity derivatives used for price risk management includes the risk that the counterparty will not pay if the market price declines below the established fixed price. In such case, the Partnership would lose the benefit of the derivative differential on the volume of the commodities covered. In any event, the Partnership would continue to receive the market price on the actual volume hedge. The Partnership also bears the risk that it could lose the benefit of market improvements over the fixed derivative price for the term and volume of the derivative instruments (as such improvements would accrue to the benefit of the counterparty). The Partnership had non-hedge designated derivatives covering approximately 39.1 million gallons and 93.0 million pounds of commodities as of December 31, 2019 and 21.0 million gallons and 50.0 million pounds of commodities as of December 31, 2018.</w:t>
      </w:r>
    </w:p>
    <w:p>
      <w:pPr>
        <w:spacing w:after="0" w:line="11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At December 31, 2019, the fair value of these non-hedge designated derivatives recorded as accrued liabilities and accounts receivable, net were $1,959 and $597, respectively. At December 31, 2018, the fair value of these derivative instruments recorded as accrued liabilities and accounts receivable, net were $315 and $253, respectively. The gains related to these derivatives recognized in net sales were $836 and $253 for the years ended December 31, 2019 and 2018, respectively, and the losses recognized in cost of sales were $3,335 and $315 for the years ended December 31, 2019 and 2018, respectively. There were no non-hedge designated derivative instruments for the year ended December 31, 2017.</w:t>
      </w:r>
    </w:p>
    <w:p>
      <w:pPr>
        <w:spacing w:after="0" w:line="11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Partnership's commodity contracts are measured using forward curves supplied by industry recognized sources and unrelated third-party services and classified as Level 2 under the fair value measurement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Unit-based Compensation</w:t>
      </w:r>
    </w:p>
    <w:p>
      <w:pPr>
        <w:spacing w:after="0" w:line="94"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The phantom units along with a corresponding number of DERs were granted to certain non-employee directors of the general partner of the Partnership during the years ended December 31, 2019, 2018 and 2017. These phantom units vest on either the first or third anniversary of the grant date. There were no forfeitures under the Plan during 2019, 2018 and 2017. During 2019, the vesting of 4,638 phantom units was accelerated in connection with the retirement of one of the Partnership's non-employee directors. The total fair value of phantom units that vested during the year ended December 31, 2019 was $532.</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Non-vested phantom unit awards as of December 31, 2019 and 2018 and awards granted during the respective periods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374"/>
              <w:spacing w:after="0"/>
              <w:rPr>
                <w:sz w:val="20"/>
                <w:szCs w:val="20"/>
                <w:color w:val="auto"/>
              </w:rPr>
            </w:pPr>
            <w:r>
              <w:rPr>
                <w:rFonts w:ascii="Arial" w:cs="Arial" w:eastAsia="Arial" w:hAnsi="Arial"/>
                <w:sz w:val="14"/>
                <w:szCs w:val="14"/>
                <w:b w:val="1"/>
                <w:bCs w:val="1"/>
                <w:color w:val="auto"/>
              </w:rPr>
              <w:t>Weighted</w:t>
            </w: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Average Fair Value</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2017</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9,777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26.00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25.20</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Non-vested balance at December 31, 2018</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19,677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23.78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(24,315)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21.90</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2019</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13,634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23.24</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firstLine="405"/>
        <w:spacing w:after="0" w:line="334" w:lineRule="auto"/>
        <w:rPr>
          <w:sz w:val="20"/>
          <w:szCs w:val="20"/>
          <w:color w:val="auto"/>
        </w:rPr>
      </w:pPr>
      <w:r>
        <w:rPr>
          <w:rFonts w:ascii="Arial" w:cs="Arial" w:eastAsia="Arial" w:hAnsi="Arial"/>
          <w:sz w:val="16"/>
          <w:szCs w:val="16"/>
          <w:color w:val="auto"/>
        </w:rPr>
        <w:t>Each phantom unit represents the right to receive, upon vesting, either a cash payment equal to the fair market value of one Partnership common unit or a Partnership common unit. Each DER has distribution rights only so long as the phantom units to which it relates to has not vested or been settled.</w:t>
      </w:r>
    </w:p>
    <w:p>
      <w:pPr>
        <w:spacing w:after="0" w:line="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awards, which are classified as liability awards for financial accounting purposes, are re-measured at each reporting date until they vest. The total units available for grant at December 31, 2019 were 1,237,369. The total compensation cost recognized during the years ended December 31, 2019, 2018 and 2017 was $387, $363 and $289, respectively, and is included in selling, general and administrative expenses and classified as a liability in the consolidated financial statements of the Partnership. The unrecognized compensation cost associated with all grants under the Plan at December 31, 2019 was $251 and the weighted average remaining term of the units at December 31, 2019 was 0.73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December 31, 2019 and December 31, 2018 are summarized in the table below.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1"/>
              </w:rPr>
              <w:t>December 31, 2019</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3"/>
                <w:szCs w:val="13"/>
                <w:color w:val="auto"/>
              </w:rPr>
            </w:pPr>
          </w:p>
        </w:tc>
        <w:tc>
          <w:tcPr>
            <w:tcW w:w="104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6"/>
                <w:szCs w:val="16"/>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22,619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224,064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221,002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377,055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379,452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253,544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249,747</w:t>
            </w:r>
          </w:p>
        </w:tc>
      </w:tr>
      <w:tr>
        <w:trPr>
          <w:trHeight w:val="67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tax of the Partnership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743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796</w:t>
            </w:r>
          </w:p>
        </w:tc>
      </w:tr>
      <w:tr>
        <w:trPr>
          <w:trHeight w:val="27"/>
        </w:trPr>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484</w:t>
            </w:r>
          </w:p>
        </w:tc>
      </w:tr>
      <w:tr>
        <w:trPr>
          <w:trHeight w:val="27"/>
        </w:trPr>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income tax expense at the U.S. statutory rate to the income tax expense is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income tax,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70,062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124,018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 effect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1,280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income not subject to entity-level federal income tax</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(124,018)</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Total provision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1,280</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Turnaround costs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classifications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(1,649)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(1,664)</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9100" w:firstLine="8"/>
        <w:spacing w:after="0" w:line="390" w:lineRule="auto"/>
        <w:tabs>
          <w:tab w:leader="none" w:pos="27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20" w:firstLine="432"/>
        <w:spacing w:after="0" w:line="259" w:lineRule="auto"/>
        <w:rPr>
          <w:sz w:val="20"/>
          <w:szCs w:val="20"/>
          <w:color w:val="auto"/>
        </w:rPr>
      </w:pPr>
      <w:r>
        <w:rPr>
          <w:rFonts w:ascii="Arial" w:cs="Arial" w:eastAsia="Arial" w:hAnsi="Arial"/>
          <w:sz w:val="18"/>
          <w:szCs w:val="18"/>
          <w:color w:val="auto"/>
        </w:rPr>
        <w:t>Accrued liabilities were $17,507 and $16,250 at December 31, 2019 and 2018, respectively. Accruals related to interest expense, maintenance expenses, taxes, capital expenditures and commodity derivatives, which are components of accrued liabilities, were $4,186, $3,225, $2,611, $2,375 and $1,959 at December 31, 2019, respectively, and were $5,448, $2,688, $1,564, $2,818 and $315 at December 31, 2018, respectively. No other component of accrued liabilities was more than five percent of total current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change in capital expenditure accrual resulted in a decrease in additions to property, plant and equipment by $232 for the year ended December 31,</w:t>
      </w:r>
    </w:p>
    <w:p>
      <w:pPr>
        <w:spacing w:after="0" w:line="46"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2019. The change in capital expenditure accrual resulted in a decrease in additions to property, plant and equipment by $1,823 for the year ended December 31, 2018.</w:t>
      </w:r>
    </w:p>
    <w:p>
      <w:pPr>
        <w:sectPr>
          <w:pgSz w:w="11900" w:h="16838" w:orient="portrait"/>
          <w:cols w:equalWidth="0" w:num="1">
            <w:col w:w="11420"/>
          </w:cols>
          <w:pgMar w:left="240" w:top="122"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Income Taxes</w:t>
      </w:r>
    </w:p>
    <w:p>
      <w:pPr>
        <w:spacing w:after="0" w:line="9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Interest paid by the Partnership, net of interest capitalized, was $20,837, $20,551 and $23,063 for the years ended December 31, 2019, 2018 and 2017, respectively. Income tax paid by the Partnership was $655, $711 and $716 for the years ended December 31, 2019, 2018 and 2017, respectively, of which $362, $293 and $301 was paid directly to the tax authorities for the years ended December 31, 2019, 2018 and 2017, and $293, $418 and $415 was paid to Westlake as reimbursements for the years ended December 31, 2019, 2018 and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Partnership has various purchase commitments for its capital projects and for materials, supplies and services incident to the ordinary conduct of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299,086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270,062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272,798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90,654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91,958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103,597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83,681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95,753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78,396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80,110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82,479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91,910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17,371</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Net income attributable to Westlake Chemical Partners LP</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earnings per common unitholder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0.49</w:t>
            </w:r>
          </w:p>
        </w:tc>
      </w:tr>
      <w:tr>
        <w:trPr>
          <w:trHeight w:val="229"/>
        </w:trPr>
        <w:tc>
          <w:tcPr>
            <w:tcW w:w="5620" w:type="dxa"/>
            <w:vAlign w:val="bottom"/>
          </w:tcPr>
          <w:p>
            <w:pPr>
              <w:ind w:left="160"/>
              <w:spacing w:after="0"/>
              <w:rPr>
                <w:sz w:val="20"/>
                <w:szCs w:val="20"/>
                <w:color w:val="auto"/>
              </w:rPr>
            </w:pPr>
            <w:r>
              <w:rPr>
                <w:rFonts w:ascii="Arial" w:cs="Arial" w:eastAsia="Arial" w:hAnsi="Arial"/>
                <w:sz w:val="18"/>
                <w:szCs w:val="18"/>
                <w:color w:val="auto"/>
              </w:rPr>
              <w:t>Weighted average limited partner units outstanding (basic</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620" w:type="dxa"/>
            <w:vAlign w:val="bottom"/>
          </w:tcPr>
          <w:p>
            <w:pPr>
              <w:ind w:left="300"/>
              <w:spacing w:after="0"/>
              <w:rPr>
                <w:sz w:val="20"/>
                <w:szCs w:val="20"/>
                <w:color w:val="auto"/>
              </w:rPr>
            </w:pPr>
            <w:r>
              <w:rPr>
                <w:rFonts w:ascii="Arial" w:cs="Arial" w:eastAsia="Arial" w:hAnsi="Arial"/>
                <w:sz w:val="18"/>
                <w:szCs w:val="18"/>
                <w:color w:val="auto"/>
              </w:rPr>
              <w:t>and diluted)</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32,345,398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35,188,189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35,188,189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35,191,487</w:t>
            </w:r>
          </w:p>
        </w:tc>
      </w:tr>
      <w:tr>
        <w:trPr>
          <w:trHeight w:val="588"/>
        </w:trPr>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335,725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92,505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97,118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93,907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93,629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85,372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86,456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80,714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84,476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83,799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81,582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earnings per common unitholder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r>
      <w:tr>
        <w:trPr>
          <w:trHeight w:val="229"/>
        </w:trPr>
        <w:tc>
          <w:tcPr>
            <w:tcW w:w="5620" w:type="dxa"/>
            <w:vAlign w:val="bottom"/>
          </w:tcPr>
          <w:p>
            <w:pPr>
              <w:ind w:left="160"/>
              <w:spacing w:after="0"/>
              <w:rPr>
                <w:sz w:val="20"/>
                <w:szCs w:val="20"/>
                <w:color w:val="auto"/>
              </w:rPr>
            </w:pPr>
            <w:r>
              <w:rPr>
                <w:rFonts w:ascii="Arial" w:cs="Arial" w:eastAsia="Arial" w:hAnsi="Arial"/>
                <w:sz w:val="18"/>
                <w:szCs w:val="18"/>
                <w:color w:val="auto"/>
              </w:rPr>
              <w:t>Weighted average limited partner units outstanding (basic</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620" w:type="dxa"/>
            <w:vAlign w:val="bottom"/>
          </w:tcPr>
          <w:p>
            <w:pPr>
              <w:ind w:left="300"/>
              <w:spacing w:after="0"/>
              <w:rPr>
                <w:sz w:val="20"/>
                <w:szCs w:val="20"/>
                <w:color w:val="auto"/>
              </w:rPr>
            </w:pPr>
            <w:r>
              <w:rPr>
                <w:rFonts w:ascii="Arial" w:cs="Arial" w:eastAsia="Arial" w:hAnsi="Arial"/>
                <w:sz w:val="18"/>
                <w:szCs w:val="18"/>
                <w:color w:val="auto"/>
              </w:rPr>
              <w:t>and diluted)</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32,237,266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32,237,266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32,242,210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32,247,371</w:t>
            </w: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53" w:lineRule="exact"/>
        <w:rPr>
          <w:sz w:val="20"/>
          <w:szCs w:val="20"/>
          <w:color w:val="auto"/>
        </w:rPr>
      </w:pPr>
    </w:p>
    <w:p>
      <w:pPr>
        <w:ind w:left="420" w:right="360" w:hanging="412"/>
        <w:spacing w:after="0" w:line="264"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Basic and diluted earnings per common unit ("EPU") for each quarter is computed using the weighted average units outstanding during that quarter, while EPU for the year is computed using the weighted average units outstanding for the year. As a result, the sum of the EPU for each of the four quarters may not equal the EPU for the year.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Senior Vice President and Chief Financial Officer concluded that our disclosure controls and procedures were effective as of December 31, 2019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Management's report on internal control over financial reporting appears on page 42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2019, as stated in their report that appears on page 43 of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2019,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2" w:right="27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are managed and operated by the board of directors and executive officers of our general partner, Westlake Chemical Partners GP LLC, a wholly-owned subsidiary of Westlake. As a result of owning our general partner, Westlake has the right to appoint all members of the board of directors, including at least three directors meeting the independence standards established by the Exchange Act and the NYSE.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34"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Our general partner has seven directors, three of whom are independent as defined under the standards established by the NYSE and the Exchange Act. The NYSE does not require a listed, publicly-traded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0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0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We reimburse our general partner and its affiliates, including Westlake, for all expenses they incur and payments they make on our behalf. The Partnership Agreement does not set a limit on the amount of expenses for which our general partner and its affiliates may be reimbursed. For the year ended December 31, 2019, we paid approximately $173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19"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9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following table shows information for the executive officers and directors of our general partner as of December 31, 2019. Directors hold office until their successors have been elected or qualified or until the earlier of their death, resignation, removal or disqualification. Executive officers serve at the discretion of the board. The President, Chief Executive Officer and Director and the Chairman of the Board of Directors are brothers. Otherwise, there are no familial relationships among any of our general partner's directors or executive officers. Some of the directors and all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the Partnership Agreement.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2" w:right="2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9"/>
        </w:trPr>
        <w:tc>
          <w:tcPr>
            <w:tcW w:w="1020" w:type="dxa"/>
            <w:vAlign w:val="bottom"/>
            <w:tcBorders>
              <w:top w:val="single" w:sz="8" w:color="0000EE"/>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76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Age (as of December 31,</w:t>
            </w:r>
          </w:p>
        </w:tc>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5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Albert Chao</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1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Director</w:t>
            </w:r>
          </w:p>
        </w:tc>
        <w:tc>
          <w:tcPr>
            <w:tcW w:w="0" w:type="dxa"/>
            <w:vAlign w:val="bottom"/>
          </w:tcPr>
          <w:p>
            <w:pPr>
              <w:spacing w:after="0"/>
              <w:rPr>
                <w:sz w:val="1"/>
                <w:szCs w:val="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color w:val="auto"/>
              </w:rPr>
              <w:t>James Chao</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72</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Chairman of the Board of Directors</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 Steven Bender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63</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Chief Financial Officer and Director</w:t>
            </w:r>
          </w:p>
        </w:tc>
        <w:tc>
          <w:tcPr>
            <w:tcW w:w="0" w:type="dxa"/>
            <w:vAlign w:val="bottom"/>
          </w:tcPr>
          <w:p>
            <w:pPr>
              <w:spacing w:after="0"/>
              <w:rPr>
                <w:sz w:val="1"/>
                <w:szCs w:val="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color w:val="auto"/>
              </w:rPr>
              <w:t>L. Benjamin Ederington</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Vice President, General Counsel, Secretary and Director</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George Mangieri</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69</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and Chief Accounting Officer</w:t>
            </w:r>
          </w:p>
        </w:tc>
        <w:tc>
          <w:tcPr>
            <w:tcW w:w="0" w:type="dxa"/>
            <w:vAlign w:val="bottom"/>
          </w:tcPr>
          <w:p>
            <w:pPr>
              <w:spacing w:after="0"/>
              <w:rPr>
                <w:sz w:val="1"/>
                <w:szCs w:val="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color w:val="auto"/>
              </w:rPr>
              <w:t>Lawrence Teel</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Olefins</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Max L. Lukens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color w:val="auto"/>
              </w:rPr>
              <w:t>Angela Minas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Randy Woelfel</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20" w:type="dxa"/>
            <w:vAlign w:val="bottom"/>
            <w:shd w:val="clear" w:color="auto" w:fill="CCEEFF"/>
          </w:tcPr>
          <w:p>
            <w:pPr>
              <w:spacing w:after="0"/>
              <w:rPr>
                <w:sz w:val="20"/>
                <w:szCs w:val="20"/>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3"/>
        </w:trPr>
        <w:tc>
          <w:tcPr>
            <w:tcW w:w="102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b w:val="1"/>
          <w:bCs w:val="1"/>
          <w:i w:val="1"/>
          <w:iCs w:val="1"/>
          <w:color w:val="auto"/>
        </w:rPr>
        <w:t>Albert Chao</w:t>
      </w:r>
      <w:r>
        <w:rPr>
          <w:rFonts w:ascii="Arial" w:cs="Arial" w:eastAsia="Arial" w:hAnsi="Arial"/>
          <w:sz w:val="17"/>
          <w:szCs w:val="17"/>
          <w:color w:val="auto"/>
        </w:rPr>
        <w:t>. Mr. Chao has been our general partner's President and Chief Executive Officer and a director since our general partner's formation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2014 and a director of OpCo's general partner since its formation. Additionally, Mr. Chao has been Westlake's President since May 1996 and a director since June 2003. Mr. Chao became Westlake's Chief Executive Officer in July 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of Rice University. Mr. Chao received a bachelor's degree from Brandeis University and an M.B.A. from Columbia University.</w:t>
      </w:r>
    </w:p>
    <w:p>
      <w:pPr>
        <w:spacing w:after="0" w:line="125"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b w:val="1"/>
          <w:bCs w:val="1"/>
          <w:i w:val="1"/>
          <w:iCs w:val="1"/>
          <w:color w:val="auto"/>
        </w:rPr>
        <w:t>James Chao</w:t>
      </w:r>
      <w:r>
        <w:rPr>
          <w:rFonts w:ascii="Arial" w:cs="Arial" w:eastAsia="Arial" w:hAnsi="Arial"/>
          <w:sz w:val="16"/>
          <w:szCs w:val="16"/>
          <w:color w:val="auto"/>
        </w:rPr>
        <w:t>. Mr. Chao has been a director since our general partner's formation in March 2014 and Chairman of the Board since July 2014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OpCo's general partner since January 2016. Mr. Chao has also been Westlake's Chairman of the Board since July 2004 and became a director in June 2003. From May 1996 to July 2004, he served as Westlake's Vice Chairman. Mr. Chao has over 45 years of global experience in the chemical industry.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received his B.S. degree from the Massachusetts Institute of Technology and an M.B.A. from Columbia University.</w:t>
      </w:r>
    </w:p>
    <w:p>
      <w:pPr>
        <w:spacing w:after="0" w:line="113" w:lineRule="exact"/>
        <w:rPr>
          <w:sz w:val="20"/>
          <w:szCs w:val="20"/>
          <w:color w:val="auto"/>
        </w:rPr>
      </w:pPr>
    </w:p>
    <w:p>
      <w:pPr>
        <w:ind w:right="140" w:firstLine="405"/>
        <w:spacing w:after="0" w:line="288" w:lineRule="auto"/>
        <w:rPr>
          <w:sz w:val="20"/>
          <w:szCs w:val="20"/>
          <w:color w:val="auto"/>
        </w:rPr>
      </w:pPr>
      <w:r>
        <w:rPr>
          <w:rFonts w:ascii="Arial" w:cs="Arial" w:eastAsia="Arial" w:hAnsi="Arial"/>
          <w:sz w:val="16"/>
          <w:szCs w:val="16"/>
          <w:b w:val="1"/>
          <w:bCs w:val="1"/>
          <w:i w:val="1"/>
          <w:iCs w:val="1"/>
          <w:color w:val="auto"/>
        </w:rPr>
        <w:t>M. Steven Bender</w:t>
      </w:r>
      <w:r>
        <w:rPr>
          <w:rFonts w:ascii="Arial" w:cs="Arial" w:eastAsia="Arial" w:hAnsi="Arial"/>
          <w:sz w:val="16"/>
          <w:szCs w:val="16"/>
          <w:color w:val="auto"/>
        </w:rPr>
        <w:t>. Mr. Bender has been our general partner's Senior Vice President, Chief Financial Officer and a director since our general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formation in March 2014 and served as our general partner's Treasurer from April 2015 to February 2019. Mr. Bender has also been Westlake's Executive Vice President and Chief Financial Officer since July 2017. From February 2008 to July 2017, Mr. Bender served as Westlake's Senior Vice President and Chief Financial Officer. In addition, Mr. Bender served as Westlake's Treasurer from July 2011 to April 2017, a position he also held from February 2008 until December 2010. From February 2007 to February 2008, Mr. Bender served as Westlake's Vice President, Chief Financial Officer and Treasurer and, from June 2005 to February 2007, he was its Vice President and Treasurer.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15"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b w:val="1"/>
          <w:bCs w:val="1"/>
          <w:i w:val="1"/>
          <w:iCs w:val="1"/>
          <w:color w:val="auto"/>
        </w:rPr>
        <w:t>L. Benjamin Ederington</w:t>
      </w:r>
      <w:r>
        <w:rPr>
          <w:rFonts w:ascii="Arial" w:cs="Arial" w:eastAsia="Arial" w:hAnsi="Arial"/>
          <w:sz w:val="17"/>
          <w:szCs w:val="17"/>
          <w:color w:val="auto"/>
        </w:rPr>
        <w:t>. Mr. Ederington has been our general partner's Vice President, General Counsel and Secretary and a director since our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formation in March 2014. Mr. Ederington has also been Westlake's Senior Vice President, General Counsel, Chief Administrative Officer and Corporate Secretary since July 2017. From December 2015 to July 2017, Mr. Ederington served as Westlake's Vice President, General Counsel, Chief Administrative Officer and Corporate Secretary and, from October 2013 to December 2015, he was its Vice President, General Counsel and Corporate Secretary.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from March 2010 to September 2013. He began his legal career more than 20 years ago at the law firm of Steptoe &amp; Johnson, LLP. Mr. Ederington holds a B.A. from Yale University and received his J.D. from Harvard University.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4"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b w:val="1"/>
          <w:bCs w:val="1"/>
          <w:i w:val="1"/>
          <w:iCs w:val="1"/>
          <w:color w:val="auto"/>
        </w:rPr>
        <w:t>George J. Mangieri</w:t>
      </w:r>
      <w:r>
        <w:rPr>
          <w:rFonts w:ascii="Arial" w:cs="Arial" w:eastAsia="Arial" w:hAnsi="Arial"/>
          <w:sz w:val="16"/>
          <w:szCs w:val="16"/>
          <w:color w:val="auto"/>
        </w:rPr>
        <w:t>. Mr. Mangieri has been our general partner's Vice President and Chief Accounting Officer since our general partner's formation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2014. Mr. Mangieri has also been Westlake's Senior Vice President and Chief Accounting Officer since July 2017. From February 2007 to July 2017, he served as Westlake's Vice President and Chief Accounting Officer and, from April 2000 to February 2007, he was its Vice President and Controller. Prior to joining Westlake, Mr. Mangieri served as Vice President and Controller of Zurn Industries, Inc. from 1998 to 2000. He previously was employed as Vice President and Controller for Imo Industries, Inc. in New Jersey, and spent over 10 years in public accounting with Ernst &amp; Young LLP, where he served as Senior Manager. He received his Bachelor of Science degree from Monmouth College and is a Certified Public Accountant.</w:t>
      </w:r>
    </w:p>
    <w:p>
      <w:pPr>
        <w:spacing w:after="0" w:line="11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b w:val="1"/>
          <w:bCs w:val="1"/>
          <w:i w:val="1"/>
          <w:iCs w:val="1"/>
          <w:color w:val="auto"/>
        </w:rPr>
        <w:t>Lawrence (Skip) Teel</w:t>
      </w:r>
      <w:r>
        <w:rPr>
          <w:rFonts w:ascii="Arial" w:cs="Arial" w:eastAsia="Arial" w:hAnsi="Arial"/>
          <w:sz w:val="18"/>
          <w:szCs w:val="18"/>
          <w:color w:val="auto"/>
        </w:rPr>
        <w:t>. Mr. Teel has been our general partner's Senior Vice President, Olefins since July 2014. Mr. Teel has also been Westlake's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Olefins since July 2017. From July 2014 to July 2017, he served as Westlake's Senior Vice President, Olefins and, from July 2012 to July 2014, he served as Westlake's Vice President, Olefins. Mr. Teel joined Westlake in September 2009 as Director, Olefins and Feedstock after a 23-year career with Lyondell Chemical Company where he served as the Vice President, Refining from August 2006 to May 2008. From 2001 to 2006, Mr. Teel held the position of Director, Corporate Planning and Business Development at Lyondell Chemical Company. During his career, he has held a variety of marketing, operations and general management assignments. Mr. Teel received a B.S. in Chemical Engineering from New Mexico State University and an M.S. in Finance from the University of Houston.</w:t>
      </w:r>
    </w:p>
    <w:p>
      <w:pPr>
        <w:spacing w:after="0" w:line="135" w:lineRule="exact"/>
        <w:rPr>
          <w:sz w:val="20"/>
          <w:szCs w:val="20"/>
          <w:color w:val="auto"/>
        </w:rPr>
      </w:pPr>
    </w:p>
    <w:p>
      <w:pPr>
        <w:ind w:right="80" w:firstLine="392"/>
        <w:spacing w:after="0" w:line="253" w:lineRule="auto"/>
        <w:rPr>
          <w:sz w:val="20"/>
          <w:szCs w:val="20"/>
          <w:color w:val="auto"/>
        </w:rPr>
      </w:pPr>
      <w:r>
        <w:rPr>
          <w:rFonts w:ascii="Arial" w:cs="Arial" w:eastAsia="Arial" w:hAnsi="Arial"/>
          <w:sz w:val="18"/>
          <w:szCs w:val="18"/>
          <w:b w:val="1"/>
          <w:bCs w:val="1"/>
          <w:i w:val="1"/>
          <w:iCs w:val="1"/>
          <w:color w:val="auto"/>
        </w:rPr>
        <w:t>Max L. Lukens</w:t>
      </w:r>
      <w:r>
        <w:rPr>
          <w:rFonts w:ascii="Arial" w:cs="Arial" w:eastAsia="Arial" w:hAnsi="Arial"/>
          <w:sz w:val="18"/>
          <w:szCs w:val="18"/>
          <w:color w:val="auto"/>
        </w:rPr>
        <w:t>. Mr. Lukens has been a director of our general partner since June 2014 and is the chairman of the audit committee. He has been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Westlake since August 2004. Since May 2006, Mr. Lukens has managed his personal investments. Mr. Lukens served as President and Chief Executive Officer of Stewart &amp; Stevenson Services, Inc. from March 2004 until May 2006 and prior to that served as its Chairman of the Board from December 2002 to March 2004, and Interim Chief Executive Officer and President from September 2003 to March 2004. He was also previously employed by Baker Hughes Incorporated from 1981 to January 2000, where he served as Baker Hughes' Chairman of the Board, President and Chief Executive Officer from 1997 to January 2000. Between 2003 and 2009, he served as a director of NCI Building Systems, Inc. He also served as a director of The Pep Boys-Manny, Moe &amp; Jack from August 2006 until October 2007 and again from June 2009 until September 2011. He was also Chairman of the Board of that company from June 2009 until he resigned in September 2011. He was a director of Blount International, Inc. from July 2015 until it was acquired in April 2016. Mr. Lukens was a Certified Public Accountant with Deloitte Haskins &amp; Sells for 10 years and received both his B.S. and M.B.A. degrees from Miami University.</w:t>
      </w:r>
    </w:p>
    <w:p>
      <w:pPr>
        <w:spacing w:after="0" w:line="14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Angela A. Minas. </w:t>
      </w:r>
      <w:r>
        <w:rPr>
          <w:rFonts w:ascii="Arial" w:cs="Arial" w:eastAsia="Arial" w:hAnsi="Arial"/>
          <w:sz w:val="17"/>
          <w:szCs w:val="17"/>
          <w:color w:val="auto"/>
        </w:rPr>
        <w:t>Ms. Minas has been a director of our general partner since October 2016 and serves on the audit and conflicts committees. Ms. Minas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also currently serves on the board of directors and as the chair of the audit committee of the general partner of CNX Midstream Partners LP. From March 2018 to December 2019, she served on the board of directors of Weatherford International plc, and, from December 2013 to March 2018, she served on the board of directors of the general partner of Ciner Resources LP. Ms. Minas served as Vice President and Chief Financial Officer for DCP Midstream Partners from September 2008 to May 2012. She served as Chief Financial Officer, Chief Accounting Officer and Treasurer of Constellation Energy Partners from September 2006 to March 2008. Prior to her experience in the MLP sector, Ms. Minas served as Senior Vice President, Global Consulting and Vice President, US Consulting for Science Applications International Corp. She was a Partner with Arthur Andersen LLP from 1997 through 2002. Ms. Minas is a graduate of Rice University, where she earned a Bachelor of Arts in Managerial Studies and a Master of Business Administration with a concentration in Finance and Accounting. Ms. Minas currently serves as a member of the Council of Overseers of the Rice University Graduate Business School and is an NACD (National Association of Corporate Directors) Leadership Fellow.</w:t>
      </w:r>
    </w:p>
    <w:p>
      <w:pPr>
        <w:spacing w:after="0" w:line="12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b w:val="1"/>
          <w:bCs w:val="1"/>
          <w:i w:val="1"/>
          <w:iCs w:val="1"/>
          <w:color w:val="auto"/>
        </w:rPr>
        <w:t>Randy G. Woelfel</w:t>
      </w:r>
      <w:r>
        <w:rPr>
          <w:rFonts w:ascii="Arial" w:cs="Arial" w:eastAsia="Arial" w:hAnsi="Arial"/>
          <w:sz w:val="17"/>
          <w:szCs w:val="17"/>
          <w:color w:val="auto"/>
        </w:rPr>
        <w:t>. Mr. Woelfel has been a director of our general partner since November 2019 and serves on the audit and conflicts committees.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2013, Mr. Woelfel has served as a director of Black &amp; Veatch Holding Company. Mr. Woelfel was Chief Executive Officer and a director of NOVA Chemicals Corporation from November 2009 until May 2014. Prior to joining NOVA, Mr. Woelfel was Managing Director of Energy for the Houston Technology Center and President of Cereplast, Inc. He began his career with Shell Oil Company in 1977. While at Shell Oil and affiliated companies, he served in a variety of senior positions, including President of Basell International, President of Basell North America and as a board member of numerous Basell International petrochemical ventures. Since 2014, Mr. Woelfel has provided services as a business consultant through Woelfel Associates Inc., a company that provides strategic advice to boards of directors and businesses. Mr. Woelfel received a Bachelor of Science degree in Chemical Engineering from Rice University and a Master's degree in Management from the Massachusetts Institute of Technology.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accordance with the rules of the NYSE, the board of directors of our general partner currently has three independent directors. The board of directors of our general partner has determined that each of Messrs. Lukens and Woelfel and Ms. Minas is independent as defined under the independence standards established by the NYSE and the Exchange Act.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22" w:right="27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our General Partner</w:t>
      </w:r>
    </w:p>
    <w:p>
      <w:pPr>
        <w:spacing w:after="0" w:line="9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board of directors of our general partner has one standing committee: the audit committee. The board of directors of our general partner may also form a conflicts committee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The audit committee of our general partner's board of directors has been established in accordance with Section 3(a)(58)(A) of the Exchange Act, and consists of Messrs. Lukens and Woelfel and Ms. Minas, all of whom are independent. Mr. Lumpkins served as a member of the audit committee until November 2019. Mr. Lukens is the current chairman of the audit committee. The board of directors of our general partner has determined that each of Messrs. Lukens and Woelfel and Ms. Minas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Arial" w:cs="Arial" w:eastAsia="Arial" w:hAnsi="Arial"/>
          <w:sz w:val="18"/>
          <w:szCs w:val="18"/>
          <w:i w:val="1"/>
          <w:iCs w:val="1"/>
          <w:color w:val="auto"/>
        </w:rPr>
        <w:t>www.wlkpartners.com</w:t>
      </w:r>
      <w:r>
        <w:rPr>
          <w:rFonts w:ascii="Arial" w:cs="Arial" w:eastAsia="Arial" w:hAnsi="Arial"/>
          <w:sz w:val="18"/>
          <w:szCs w:val="18"/>
          <w:color w:val="auto"/>
        </w:rPr>
        <w:t>.</w:t>
      </w:r>
    </w:p>
    <w:p>
      <w:pPr>
        <w:spacing w:after="0" w:line="13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audit committee assists the board of directors of our general partner in its oversight of the integrity of our consolidated and combined financial statements and our compliance with legal and regulatory requirements and partnership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the Partnership Agreement. Mr. Woelfel and Ms. Minas serve on the conflicts committee. Mr. Lumpkins served as chairman of the conflicts committee until November 2019. Ms. Minas currently serves as chair of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w:t>
      </w:r>
    </w:p>
    <w:p>
      <w:pPr>
        <w:spacing w:after="0" w:line="94"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During the last fiscal year, our general partner's board of directors held 12 meetings, our general partner's audit committee held seven meetings and our general partner's conflicts committee held seven meetings. None of the directors attended fewer than 75% of the aggregate number of meetings of the board of directors and committees of the board on which the director served.</w:t>
      </w:r>
    </w:p>
    <w:p>
      <w:pPr>
        <w:spacing w:after="0" w:line="12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94"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2" w:right="27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 and Code of Ethics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We have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Principles of Corporate Governance and a charter for our audit committee. Each of the foregoing is available on our website at </w:t>
      </w:r>
      <w:r>
        <w:rPr>
          <w:rFonts w:ascii="Arial" w:cs="Arial" w:eastAsia="Arial" w:hAnsi="Arial"/>
          <w:sz w:val="17"/>
          <w:szCs w:val="17"/>
          <w:i w:val="1"/>
          <w:iCs w:val="1"/>
          <w:color w:val="auto"/>
        </w:rPr>
        <w:t xml:space="preserve">www.wlkpartners.com </w:t>
      </w:r>
      <w:r>
        <w:rPr>
          <w:rFonts w:ascii="Arial" w:cs="Arial" w:eastAsia="Arial" w:hAnsi="Arial"/>
          <w:sz w:val="17"/>
          <w:szCs w:val="17"/>
          <w:color w:val="auto"/>
        </w:rPr>
        <w:t>in the "Corporate Governance" section of our Investor Relations tab. We provide copies, free of charge, of any of the foregoing upon</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Corporate Governance Listing Standards</w:t>
      </w:r>
    </w:p>
    <w:p>
      <w:pPr>
        <w:spacing w:after="0" w:line="94"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2019 without qualification. You can also find information about us at the offices of the NYSE, 20 Broad Street, New York, New York 10005 or at the NYSE's Internet site (</w:t>
      </w:r>
      <w:r>
        <w:rPr>
          <w:rFonts w:ascii="Arial" w:cs="Arial" w:eastAsia="Arial" w:hAnsi="Arial"/>
          <w:sz w:val="17"/>
          <w:szCs w:val="17"/>
          <w:i w:val="1"/>
          <w:iCs w:val="1"/>
          <w:color w:val="auto"/>
        </w:rPr>
        <w:t>www.nyse.com</w:t>
      </w:r>
      <w:r>
        <w:rPr>
          <w:rFonts w:ascii="Arial" w:cs="Arial" w:eastAsia="Arial" w:hAnsi="Arial"/>
          <w:sz w:val="17"/>
          <w:szCs w:val="17"/>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392"/>
        <w:spacing w:after="0" w:line="293" w:lineRule="auto"/>
        <w:rPr>
          <w:sz w:val="20"/>
          <w:szCs w:val="20"/>
          <w:color w:val="auto"/>
        </w:rPr>
      </w:pPr>
      <w:r>
        <w:rPr>
          <w:rFonts w:ascii="Arial" w:cs="Arial" w:eastAsia="Arial" w:hAnsi="Arial"/>
          <w:sz w:val="16"/>
          <w:szCs w:val="16"/>
          <w:color w:val="auto"/>
        </w:rPr>
        <w:t>Neither we nor our general partner directly employ any of the persons responsible for managing our business. All of our general partner's executive officers are employees of Westlake. In accordance with the terms of the Omnibus Agreement, we reimburse Westlake for compensation-related expenses attributable to the portion of our executive officers' time dedicated to providing services to us. During 2019, Mr. Albert Chao devoted approximately 10% of his total business time to our general partner, our consolidated subsidiaries (including OpCo) and us and Mr. Steve Bender devoted approximately 10% of his total business time to our general partner, our consolidated subsidiaries (including OpCo) and us. The allocation of the executive officers' time in future years and, in turn, future compensation allocations may differ from the time and compensation allocated for each executive officer in 2019.</w:t>
      </w:r>
    </w:p>
    <w:p>
      <w:pPr>
        <w:spacing w:after="0" w:line="111"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Westlake equity awards and annual and quarterly cash incentive plans are geared toward specific performance goals of Westlake's business, and not our business. Westlake has significant assets and holdings outside of us and our general partner.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90" w:lineRule="exact"/>
        <w:rPr>
          <w:sz w:val="20"/>
          <w:szCs w:val="20"/>
          <w:color w:val="auto"/>
        </w:rPr>
      </w:pPr>
    </w:p>
    <w:p>
      <w:pPr>
        <w:jc w:val="both"/>
        <w:ind w:right="120" w:firstLine="392"/>
        <w:spacing w:after="0" w:line="264" w:lineRule="auto"/>
        <w:rPr>
          <w:sz w:val="20"/>
          <w:szCs w:val="20"/>
          <w:color w:val="auto"/>
        </w:rPr>
      </w:pPr>
      <w:r>
        <w:rPr>
          <w:rFonts w:ascii="Arial" w:cs="Arial" w:eastAsia="Arial" w:hAnsi="Arial"/>
          <w:sz w:val="18"/>
          <w:szCs w:val="18"/>
          <w:color w:val="auto"/>
        </w:rPr>
        <w:t>For 2019, our named executive officers ("NEOs") consisted of our principal executive officer, Mr. Albert Chao, and our principal financial officer, Mr. Bender. The compensation allocated to us in 2019 for each of the other executive officers of our general partner did not exceed $100,000. Therefore, none of the other executive officers are considered NEOs for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90"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Westlake has ultimate decision-making authority with respect to the total compensation of our NEOs that are employed by Westlake. Any such compensation decisions will not be subject to any approvals by the board of directors of our general partner; provided, however, that any awards under the Westlake Chemical Partners LP Long-Term Incentive Plan (the "LTIP") must be approved by the board of directors of our general partner.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Compensation Committee Oversight</w:t>
      </w:r>
    </w:p>
    <w:p>
      <w:pPr>
        <w:spacing w:after="0" w:line="90" w:lineRule="exact"/>
        <w:rPr>
          <w:sz w:val="20"/>
          <w:szCs w:val="20"/>
          <w:color w:val="auto"/>
        </w:rPr>
      </w:pPr>
    </w:p>
    <w:p>
      <w:pPr>
        <w:ind w:right="360" w:firstLine="392"/>
        <w:spacing w:after="0" w:line="259" w:lineRule="auto"/>
        <w:rPr>
          <w:sz w:val="20"/>
          <w:szCs w:val="20"/>
          <w:color w:val="auto"/>
        </w:rPr>
      </w:pPr>
      <w:r>
        <w:rPr>
          <w:rFonts w:ascii="Arial" w:cs="Arial" w:eastAsia="Arial" w:hAnsi="Arial"/>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Advisors</w:t>
      </w:r>
    </w:p>
    <w:p>
      <w:pPr>
        <w:spacing w:after="0" w:line="90" w:lineRule="exact"/>
        <w:rPr>
          <w:sz w:val="20"/>
          <w:szCs w:val="20"/>
          <w:color w:val="auto"/>
        </w:rPr>
      </w:pPr>
    </w:p>
    <w:p>
      <w:pPr>
        <w:ind w:right="100" w:firstLine="392"/>
        <w:spacing w:after="0" w:line="268" w:lineRule="auto"/>
        <w:rPr>
          <w:sz w:val="20"/>
          <w:szCs w:val="20"/>
          <w:color w:val="auto"/>
        </w:rPr>
      </w:pPr>
      <w:r>
        <w:rPr>
          <w:rFonts w:ascii="Arial" w:cs="Arial" w:eastAsia="Arial" w:hAnsi="Arial"/>
          <w:sz w:val="17"/>
          <w:szCs w:val="17"/>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 with executive compensation and offer opinions as to the effectiveness and competitiveness of the program. For 2019, the Westlake Compensation Committee directly engaged the services of Willis Towers Watson as a compensation consultant to advise the Westlake Compensation Committee on executive compensation matters. Willis Towers Watson assists the Westlake Compensation Committee by providing comparative market data on compensation programs and practices of peer competitors, the broader-based chemical industry and general industry. Willis Towers Watson also assists Westlake with general compensation consultation regarding employees other than the Westlake NEOs. In 2019, Westlake paid Willis Towers Watson approximately $55,000 for executive compensation advisory services and approximately $2.5 million for other services (primarily related to the administration of Westlake's legacy defined benefit retirement plans). The decision to engage Willis Towers Watson for the non-executive-compensation services was made by Westlake management and approved by the Westlake Compensation Committee. In February 2020, the Westlake Compensation Committee assessed whether the work of Willis Towers Watson for Westlake during 2019 raised any conflict of interest and concluded that no conflict of interest exists.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Deliberative Process</w:t>
      </w:r>
    </w:p>
    <w:p>
      <w:pPr>
        <w:spacing w:after="0" w:line="9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establishing target executive compensation, the Westlake Compensation Committee has selected a set of peer group companies (the "Peer Group") that is used as one of the means in helping to establish executive compensation targets. The companies that comprise the Peer Group are selected annually from among companies within the chemical industry of relative comparable size to Westlake, with executive positions of similar scope and responsibility and from among companies with which Westlake may compete for executive talent. The following companies make up the Peer Group as adopted by the Westlake Compensation Committee in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 Products and Chemicals, Inc.</w:t>
            </w:r>
          </w:p>
        </w:tc>
        <w:tc>
          <w:tcPr>
            <w:tcW w:w="72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Huntsman Corporation</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Axalta Coating Systems Ltd.</w:t>
            </w:r>
          </w:p>
        </w:tc>
        <w:tc>
          <w:tcPr>
            <w:tcW w:w="7280" w:type="dxa"/>
            <w:vAlign w:val="bottom"/>
          </w:tcPr>
          <w:p>
            <w:pPr>
              <w:ind w:left="1720"/>
              <w:spacing w:after="0"/>
              <w:rPr>
                <w:sz w:val="20"/>
                <w:szCs w:val="20"/>
                <w:color w:val="auto"/>
              </w:rPr>
            </w:pPr>
            <w:r>
              <w:rPr>
                <w:rFonts w:ascii="Arial" w:cs="Arial" w:eastAsia="Arial" w:hAnsi="Arial"/>
                <w:sz w:val="18"/>
                <w:szCs w:val="18"/>
                <w:color w:val="auto"/>
              </w:rPr>
              <w:t>The Mosaic Company</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Celanese Corporation</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Olin Corporation</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CF Industries Holdings, Inc.</w:t>
            </w:r>
          </w:p>
        </w:tc>
        <w:tc>
          <w:tcPr>
            <w:tcW w:w="7280" w:type="dxa"/>
            <w:vAlign w:val="bottom"/>
          </w:tcPr>
          <w:p>
            <w:pPr>
              <w:ind w:left="1720"/>
              <w:spacing w:after="0"/>
              <w:rPr>
                <w:sz w:val="20"/>
                <w:szCs w:val="20"/>
                <w:color w:val="auto"/>
              </w:rPr>
            </w:pPr>
            <w:r>
              <w:rPr>
                <w:rFonts w:ascii="Arial" w:cs="Arial" w:eastAsia="Arial" w:hAnsi="Arial"/>
                <w:sz w:val="18"/>
                <w:szCs w:val="18"/>
                <w:color w:val="auto"/>
              </w:rPr>
              <w:t>PPG Industries, Inc.</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Chemours Company</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RPM International Inc.</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Eastman Chemical Company</w:t>
            </w:r>
          </w:p>
        </w:tc>
        <w:tc>
          <w:tcPr>
            <w:tcW w:w="7280" w:type="dxa"/>
            <w:vAlign w:val="bottom"/>
          </w:tcPr>
          <w:p>
            <w:pPr>
              <w:ind w:left="1720"/>
              <w:spacing w:after="0"/>
              <w:rPr>
                <w:sz w:val="20"/>
                <w:szCs w:val="20"/>
                <w:color w:val="auto"/>
              </w:rPr>
            </w:pPr>
            <w:r>
              <w:rPr>
                <w:rFonts w:ascii="Arial" w:cs="Arial" w:eastAsia="Arial" w:hAnsi="Arial"/>
                <w:sz w:val="18"/>
                <w:szCs w:val="18"/>
                <w:color w:val="auto"/>
              </w:rPr>
              <w:t>The Sherwin-Williams Company</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43"/>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Ecolab Inc.</w:t>
            </w:r>
          </w:p>
        </w:tc>
        <w:tc>
          <w:tcPr>
            <w:tcW w:w="72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Trinseo S.A.</w:t>
            </w:r>
          </w:p>
        </w:tc>
      </w:tr>
      <w:tr>
        <w:trPr>
          <w:trHeight w:val="27"/>
        </w:trPr>
        <w:tc>
          <w:tcPr>
            <w:tcW w:w="4140" w:type="dxa"/>
            <w:vAlign w:val="bottom"/>
            <w:shd w:val="clear" w:color="auto" w:fill="CCEEFF"/>
          </w:tcPr>
          <w:p>
            <w:pPr>
              <w:spacing w:after="0"/>
              <w:rPr>
                <w:sz w:val="2"/>
                <w:szCs w:val="2"/>
                <w:color w:val="auto"/>
              </w:rPr>
            </w:pPr>
          </w:p>
        </w:tc>
        <w:tc>
          <w:tcPr>
            <w:tcW w:w="7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Peer Group selected for 2019 reflects no changes from the previous year. The Westlake Compensation Committee may add or replace companies in the Peer Group as warranted to reflect changes in the size, business profile and publicly-listed status of the companies in the Peer Group to help ensure that companies more comparable in size and business profile to Westlake are included.</w:t>
      </w:r>
    </w:p>
    <w:p>
      <w:pPr>
        <w:spacing w:after="0" w:line="127" w:lineRule="exact"/>
        <w:rPr>
          <w:sz w:val="20"/>
          <w:szCs w:val="20"/>
          <w:color w:val="auto"/>
        </w:rPr>
      </w:pPr>
    </w:p>
    <w:p>
      <w:pPr>
        <w:ind w:right="140" w:firstLine="392"/>
        <w:spacing w:after="0" w:line="288" w:lineRule="auto"/>
        <w:rPr>
          <w:sz w:val="20"/>
          <w:szCs w:val="20"/>
          <w:color w:val="auto"/>
        </w:rPr>
      </w:pPr>
      <w:r>
        <w:rPr>
          <w:rFonts w:ascii="Arial" w:cs="Arial" w:eastAsia="Arial" w:hAnsi="Arial"/>
          <w:sz w:val="16"/>
          <w:szCs w:val="16"/>
          <w:color w:val="auto"/>
        </w:rPr>
        <w:t>In addition to referring to the Peer Group, Willis Towers Watson utilizes survey data from its proprietary general industry and chemical industry databases, including, but not limited to, the Willis Towers Watson CDB Executive Survey as well as the Korn Ferry Hay Group Chemicals Industry survey and other relevant market information, that compare the compensation of executives at numerous companies in similar positions as the Westlake NEOs (the "Market Survey"). The Market Survey is used in conjunction with the Peer Group data (collectively, the "Reference Points") to help validate the market findings and more specifically establish market compensation rates for positions for which there are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 and equity awards, so that as long as the composite total compensation of a Westlake NEO is competitive with the Reference Points, individual components may fall below or above the median of the Reference Points. In conducting its surveys for the Reference Points, Willis Towers Watson reports directly to the Westlake Compensation Committee on each component and on a composite total compensation basis.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Westlake Compensation Committee meets annually in February to address the compensation of the Westlake NEOs and other Westlake Executives. During this meeting, the Westlake Compensation Committee reviews the achievement of Westlake's goals and objectives, including Westlake's performance relative to its competitors within the commodity chemical industry, including those direct competitors within the Peer Group, and the Westlake Compensation Committee reviews the Reference Points as well as other relevant factors established by the Westlake Compensation Committee for the Westlake PEO and the factors established by the Westlake PEO in setting and approving the other Westlake NEOs' compensation. During this deliberation, the Westlake PEO is excused from the meeting to allow the other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Program Objectives of Westlake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 has designed and maintains a comprehensive executive compensation program as a means of:</w:t>
      </w:r>
    </w:p>
    <w:p>
      <w:pPr>
        <w:spacing w:after="0" w:line="9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attracting, rewarding and retaining top executive talent in support of Westlake's vision, mission and objectives;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market competitiveness with Westlake's peer group compensation programs and practices;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encouraging and rewarding the achievement of specific individual, business segment and corporate goals and objectives;</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aligning management interests with the interests of Westlake's stockholders;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balancing short-term objectives with long-term strategic initiatives and thinking through the design of both short-term and long-term pay programs.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Compensation Levels</w:t>
      </w:r>
    </w:p>
    <w:p>
      <w:pPr>
        <w:spacing w:after="0" w:line="90" w:lineRule="exact"/>
        <w:rPr>
          <w:sz w:val="20"/>
          <w:szCs w:val="20"/>
          <w:color w:val="auto"/>
        </w:rPr>
      </w:pPr>
    </w:p>
    <w:p>
      <w:pPr>
        <w:ind w:right="20" w:firstLine="392"/>
        <w:spacing w:after="0" w:line="290" w:lineRule="auto"/>
        <w:rPr>
          <w:sz w:val="20"/>
          <w:szCs w:val="20"/>
          <w:color w:val="auto"/>
        </w:rPr>
      </w:pPr>
      <w:r>
        <w:rPr>
          <w:rFonts w:ascii="Arial" w:cs="Arial" w:eastAsia="Arial" w:hAnsi="Arial"/>
          <w:sz w:val="16"/>
          <w:szCs w:val="16"/>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Base Pay—</w:t>
      </w:r>
      <w:r>
        <w:rPr>
          <w:rFonts w:ascii="Arial" w:cs="Arial" w:eastAsia="Arial" w:hAnsi="Arial"/>
          <w:sz w:val="16"/>
          <w:szCs w:val="16"/>
          <w:color w:val="auto"/>
        </w:rPr>
        <w:t>This element is the principal cash compensation component of Westlake's program and is designed to provide the Westlake Executive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market-competitive minimum level of compensation. In setting base pay rates for 2019,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Willis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w:t>
      </w:r>
    </w:p>
    <w:p>
      <w:pPr>
        <w:spacing w:after="0" w:line="3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ensure that the Westlake Executive's current base pay is within the acceptable target level as determined by the Westlake Compensation Committee;</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ensure internal equity;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recognize individual performance and contributions;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recognize changes in responsibility or the scope of the Westlake Executive's position.</w:t>
      </w:r>
    </w:p>
    <w:p>
      <w:pPr>
        <w:spacing w:after="0" w:line="171" w:lineRule="exact"/>
        <w:rPr>
          <w:sz w:val="20"/>
          <w:szCs w:val="20"/>
          <w:color w:val="auto"/>
        </w:rPr>
      </w:pPr>
    </w:p>
    <w:p>
      <w:pPr>
        <w:ind w:right="80" w:firstLine="392"/>
        <w:spacing w:after="0" w:line="297" w:lineRule="auto"/>
        <w:rPr>
          <w:sz w:val="20"/>
          <w:szCs w:val="20"/>
          <w:color w:val="auto"/>
        </w:rPr>
      </w:pPr>
      <w:r>
        <w:rPr>
          <w:rFonts w:ascii="Arial" w:cs="Arial" w:eastAsia="Arial" w:hAnsi="Arial"/>
          <w:sz w:val="16"/>
          <w:szCs w:val="16"/>
          <w:color w:val="auto"/>
        </w:rPr>
        <w:t>For further information regarding compensation decisions made by the Westlake Compensation Committee during 2019, see the proxy statement that is expected to be filed by Westlake in connection with its 2020 annual meeting of stockholders. In February 2020, the Westlake Compensation Committee elected to leave the base salaries for the Westlake NEOs unchanged at: $1,144,000 for Mr. Albert Chao and $628,000 for Mr. Bender. In lieu of a salary increase for 2020, the Westlake Compensation Committee elected to issue a special, one-time grant of Westlake restricted stock units, which will vest in one year, to the Westlake NEOs, equivalent in value to what would have been provided as an increase to the base salary of the Westlake NEOs.</w:t>
      </w:r>
    </w:p>
    <w:p>
      <w:pPr>
        <w:spacing w:after="0" w:line="181"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b w:val="1"/>
          <w:bCs w:val="1"/>
          <w:color w:val="auto"/>
        </w:rPr>
        <w:t>Employment Agreements; Severance and Change-in-Control Arrangements</w:t>
      </w:r>
      <w:r>
        <w:rPr>
          <w:rFonts w:ascii="Arial" w:cs="Arial" w:eastAsia="Arial" w:hAnsi="Arial"/>
          <w:sz w:val="18"/>
          <w:szCs w:val="18"/>
          <w:color w:val="auto"/>
        </w:rPr>
        <w:t>—Westlake does not have employment agreements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Westlake NEOs; however, each Westlake Executive, including each of the Westlake NEOs, is typically provided an offer letter of employment containing the principal elements of the employment arrangement, including compensation. None of these offer letters currently contains a provision for payments upon a change in control.</w:t>
      </w:r>
    </w:p>
    <w:p>
      <w:pPr>
        <w:spacing w:after="0" w:line="207" w:lineRule="exact"/>
        <w:rPr>
          <w:sz w:val="20"/>
          <w:szCs w:val="20"/>
          <w:color w:val="auto"/>
        </w:rPr>
      </w:pPr>
    </w:p>
    <w:p>
      <w:pPr>
        <w:ind w:firstLine="405"/>
        <w:spacing w:after="0" w:line="289" w:lineRule="auto"/>
        <w:rPr>
          <w:sz w:val="20"/>
          <w:szCs w:val="20"/>
          <w:color w:val="auto"/>
        </w:rPr>
      </w:pPr>
      <w:r>
        <w:rPr>
          <w:rFonts w:ascii="Arial" w:cs="Arial" w:eastAsia="Arial" w:hAnsi="Arial"/>
          <w:sz w:val="17"/>
          <w:szCs w:val="17"/>
          <w:b w:val="1"/>
          <w:bCs w:val="1"/>
          <w:color w:val="auto"/>
        </w:rPr>
        <w:t>Deferred Compensation Programs</w:t>
      </w:r>
      <w:r>
        <w:rPr>
          <w:rFonts w:ascii="Arial" w:cs="Arial" w:eastAsia="Arial" w:hAnsi="Arial"/>
          <w:sz w:val="17"/>
          <w:szCs w:val="17"/>
          <w:color w:val="auto"/>
        </w:rPr>
        <w:t>—Westlake has no deferred compensation programs for which its executives are eligible to participate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standard provisions of Westlake's 401(k) plan and provisions of Section 125 of the Internal Revenue Code whereby salary is reduced for taxation since the 401(k) contributions are made by employees on a pre-tax basis, thereby reducing their salary and taxable income.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2" w:right="25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Neither we nor our general partner has a compensation committee. The board of directors has reviewed and discussed the Company's Compensation Discussion and Analysis with management and, based upon this review, has approved it for inclusion in this report.</w:t>
      </w:r>
    </w:p>
    <w:p>
      <w:pPr>
        <w:spacing w:after="0" w:line="9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BOARD OF DIRECTORS OF</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WESTLAKE CHEMICAL PARTNERS GP LLC</w:t>
      </w:r>
    </w:p>
    <w:p>
      <w:pPr>
        <w:spacing w:after="0" w:line="292"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Albert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James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Max L. Lukens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Angela Minas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 Steven Bender</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L. Benjamin Ederington</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Randy G. Woelfel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regarding the compensation awarded to or earned during 2019 and prior years, as applicable by the NEOs.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 xml:space="preserve">Portion Allocation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(3)</w:t>
            </w:r>
          </w:p>
        </w:tc>
      </w:tr>
      <w:tr>
        <w:trPr>
          <w:trHeight w:val="228"/>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1,144,000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114,400</w:t>
            </w:r>
          </w:p>
        </w:tc>
      </w:tr>
      <w:tr>
        <w:trPr>
          <w:trHeight w:val="243"/>
        </w:trPr>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110,000</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103,400</w:t>
            </w:r>
          </w:p>
        </w:tc>
      </w:tr>
      <w:tr>
        <w:trPr>
          <w:trHeight w:val="229"/>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M. Steven Bender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Senior Vice President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Treasurer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628,000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62,800</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w:t>
            </w:r>
          </w:p>
        </w:tc>
      </w:tr>
      <w:tr>
        <w:trPr>
          <w:trHeight w:val="243"/>
        </w:trPr>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68,750</w:t>
            </w:r>
          </w:p>
        </w:tc>
      </w:tr>
      <w:tr>
        <w:trPr>
          <w:trHeight w:val="181"/>
        </w:trPr>
        <w:tc>
          <w:tcPr>
            <w:tcW w:w="502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4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"Compensation Discussion and Analysis—Establishing Compensation Levels—Base Pay" for more information on base salary.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"Compensation Discussion and Analysis—Overview" for more information on the portion of base salary allocated to us by Westlake.</w:t>
      </w:r>
    </w:p>
    <w:p>
      <w:pPr>
        <w:spacing w:after="0" w:line="90"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portion of base salary allocated to us by Westlake for the periods from January 1, 2019 through December 31, 2019, from January 1, 2018 through December 31, 2018 and from January 1, 2017 through December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Officers or employees of Westlake or its affiliates who also serve as directors do not receive additional compensation for such service. The directors who are not also officers or employees of Westlake or its affiliates (i.e., Ms. Minas and Messrs. Lukens and Woelfel) receive compensation from our general partner for their service. In 2019, Messrs. Lukens and Lumpkins and Ms. Minas each received an annual retainer valued at approximately $180,000, of which $80,000 was paid in the form of a cash retainer and the remaining $100,000 was paid in the form of a grant of phantom unit awards under the LTIP. In connection with his appointment to the Board of Directors, Mr. Woelfel received a grant of phantom unit awards valued at $100,000. All phantom unit awards vest on the first anniversary of their grant date. Mr. Lukens, as the audit committee chairman, received an additional cash retainer of $15,000, Mr. Lumpkins, as the conflicts committee chairman until November 2019, received an additional cash retainer of $20,000, and Ms. Minas, as a member of the conflicts committee, received an additional cash retainer of $15,000 in recognition of their service in 2019.</w:t>
      </w:r>
    </w:p>
    <w:p>
      <w:pPr>
        <w:spacing w:after="0" w:line="1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the Partnership Agreement.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 summary of the compensation paid to non-employee directors in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 Paid in</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Phantom Unit Awards</w:t>
            </w:r>
          </w:p>
        </w:tc>
        <w:tc>
          <w:tcPr>
            <w:tcW w:w="180" w:type="dxa"/>
            <w:vAlign w:val="bottom"/>
          </w:tcPr>
          <w:p>
            <w:pPr>
              <w:spacing w:after="0"/>
              <w:rPr>
                <w:sz w:val="16"/>
                <w:szCs w:val="16"/>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16"/>
                <w:szCs w:val="16"/>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Cash</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 xml:space="preserve">Compensation </w:t>
            </w:r>
            <w:r>
              <w:rPr>
                <w:rFonts w:ascii="Arial" w:cs="Arial" w:eastAsia="Arial" w:hAnsi="Arial"/>
                <w:sz w:val="8"/>
                <w:szCs w:val="8"/>
                <w:b w:val="1"/>
                <w:bCs w:val="1"/>
                <w:color w:val="auto"/>
                <w:w w:val="95"/>
              </w:rPr>
              <w:t>(2)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Max L. Lukens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92,500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203,326</w:t>
            </w: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David Lumpkins </w:t>
            </w:r>
            <w:r>
              <w:rPr>
                <w:rFonts w:ascii="Arial" w:cs="Arial" w:eastAsia="Arial" w:hAnsi="Arial"/>
                <w:sz w:val="25"/>
                <w:szCs w:val="25"/>
                <w:color w:val="auto"/>
                <w:vertAlign w:val="superscript"/>
              </w:rPr>
              <w:t>(3)</w:t>
            </w:r>
          </w:p>
        </w:tc>
        <w:tc>
          <w:tcPr>
            <w:tcW w:w="3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77,500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10,826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188,326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Angela Minas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92,500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205,195</w:t>
            </w:r>
          </w:p>
        </w:tc>
        <w:tc>
          <w:tcPr>
            <w:tcW w:w="0" w:type="dxa"/>
            <w:vAlign w:val="bottom"/>
          </w:tcPr>
          <w:p>
            <w:pPr>
              <w:spacing w:after="0"/>
              <w:rPr>
                <w:sz w:val="1"/>
                <w:szCs w:val="1"/>
                <w:color w:val="auto"/>
              </w:rPr>
            </w:pPr>
          </w:p>
        </w:tc>
      </w:tr>
      <w:tr>
        <w:trPr>
          <w:trHeight w:val="28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 xml:space="preserve">Randy G. Woelfel </w:t>
            </w:r>
            <w:r>
              <w:rPr>
                <w:rFonts w:ascii="Arial" w:cs="Arial" w:eastAsia="Arial" w:hAnsi="Arial"/>
                <w:sz w:val="25"/>
                <w:szCs w:val="25"/>
                <w:color w:val="auto"/>
                <w:vertAlign w:val="superscript"/>
              </w:rPr>
              <w:t>(3)</w:t>
            </w:r>
          </w:p>
        </w:tc>
        <w:tc>
          <w:tcPr>
            <w:tcW w:w="36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11,739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111,739</w:t>
            </w:r>
          </w:p>
        </w:tc>
        <w:tc>
          <w:tcPr>
            <w:tcW w:w="0" w:type="dxa"/>
            <w:vAlign w:val="bottom"/>
          </w:tcPr>
          <w:p>
            <w:pPr>
              <w:spacing w:after="0"/>
              <w:rPr>
                <w:sz w:val="1"/>
                <w:szCs w:val="1"/>
                <w:color w:val="auto"/>
              </w:rPr>
            </w:pPr>
          </w:p>
        </w:tc>
      </w:tr>
      <w:tr>
        <w:trPr>
          <w:trHeight w:val="136"/>
        </w:trPr>
        <w:tc>
          <w:tcPr>
            <w:tcW w:w="504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22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grant date fair value of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As of December 31, 2019, Mr. Lukens and Ms. Minas held 4,638 phantom units, and Mr. Woelfel held 4,358 phantom units.</w:t>
      </w:r>
    </w:p>
    <w:p>
      <w:pPr>
        <w:spacing w:after="0" w:line="51"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amount of cash paid with respect to distribution equivalent rights granted in tandem with the phantom unit awards.</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Lumpkins stepped down from, and Mr. Woelfel joined, the Board of Directors in November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 Analysis</w:t>
      </w:r>
    </w:p>
    <w:p>
      <w:pPr>
        <w:spacing w:after="0" w:line="17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table below sets forth comparative information regarding: (1) the annual total compensation of our Chief Executive Officer, Mr. Albert Chao, for the year ended December 31, 2019, determined on the basis set forth in the Summary Compensation Table; (2) the median of the annual total compensation of all seconded employees of Westlake that provide services to OpCo under the Services and Secondment Agreement, which excludes our Chief Executive Officer, for the year ended December 31, 2019, determined on the basis described below; and (3) a ratio comparison of those two amounts. These amounts were determined in accordance with rules prescribed by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firstLine="392"/>
        <w:spacing w:after="0" w:line="287" w:lineRule="auto"/>
        <w:rPr>
          <w:sz w:val="20"/>
          <w:szCs w:val="20"/>
          <w:color w:val="auto"/>
        </w:rPr>
      </w:pPr>
      <w:r>
        <w:rPr>
          <w:rFonts w:ascii="Arial" w:cs="Arial" w:eastAsia="Arial" w:hAnsi="Arial"/>
          <w:sz w:val="16"/>
          <w:szCs w:val="16"/>
          <w:color w:val="auto"/>
        </w:rPr>
        <w:t>Neither we nor OpCo have any employees. However, for purposes of this disclosure, we have included the employees of Westlake and its other affiliates who are seconded to OpCo under the Services and Secondment Agreement for the production of ethylene (the "Seconded Employees"). For purposes of determining the median of the annual total compensation of such Seconded Employees for the year ended December 31, 2019, the applicable SEC rules require us to identify the median employee, by using either annual total compensation for all such employees or another consistently applied compensation measure. For these purposes, we used total taxable earnings, plus certain non-taxable items, including retirement plan contributions and perquisites, as determined from the payroll records of Westlake and its affiliates providing the services of the Seconded Employees to OpCo for the period from January 1, 2017 through December 31, 2017 (the "Measurement Date"), as our consistently applied compensation measure. We included all Seconded Employees of Westlake who provided services to OpCo as of the Measurement Date whether employed on a full-time, part-time or seasonal basis. We did not use statistical sampling or include any cost of living adjustments for purposes of this determination. After identifying the median employee, based on the process described above, we calculated annual total compensation for that employee using the same methodology we used for determining total compensation for 2019 for our named executive officers as set forth in the Summary Compensation Table.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annual total compensation (A)</w:t>
            </w:r>
          </w:p>
        </w:tc>
        <w:tc>
          <w:tcPr>
            <w:tcW w:w="2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114,400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Median annual total compensation of all employees (excluding Chief Executive Officer) (B)</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147,429</w:t>
            </w:r>
          </w:p>
        </w:tc>
      </w:tr>
      <w:tr>
        <w:trPr>
          <w:trHeight w:val="27"/>
        </w:trPr>
        <w:tc>
          <w:tcPr>
            <w:tcW w:w="8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(A) to (B)</w:t>
            </w:r>
          </w:p>
        </w:tc>
        <w:tc>
          <w:tcPr>
            <w:tcW w:w="20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83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as of February 21, 2020, the beneficial ownership of our outstanding common units and subordinated units held by:</w:t>
      </w:r>
    </w:p>
    <w:p>
      <w:pPr>
        <w:spacing w:after="0" w:line="10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Westlake;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director and named executive officer of our general partner;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171"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February 1, 2020,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80" w:type="dxa"/>
            <w:vAlign w:val="bottom"/>
            <w:tcBorders>
              <w:bottom w:val="single" w:sz="8" w:color="auto"/>
            </w:tcBorders>
            <w:gridSpan w:val="5"/>
          </w:tcPr>
          <w:p>
            <w:pPr>
              <w:jc w:val="right"/>
              <w:ind w:right="594"/>
              <w:spacing w:after="0"/>
              <w:rPr>
                <w:sz w:val="20"/>
                <w:szCs w:val="20"/>
                <w:color w:val="auto"/>
              </w:rPr>
            </w:pPr>
            <w:r>
              <w:rPr>
                <w:rFonts w:ascii="Arial" w:cs="Arial" w:eastAsia="Arial" w:hAnsi="Arial"/>
                <w:sz w:val="14"/>
                <w:szCs w:val="14"/>
                <w:b w:val="1"/>
                <w:bCs w:val="1"/>
                <w:color w:val="auto"/>
              </w:rPr>
              <w:t>Amount and Nature of Beneficial Ownership of Common Units</w:t>
            </w: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49"/>
        </w:trPr>
        <w:tc>
          <w:tcPr>
            <w:tcW w:w="6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4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12"/>
                <w:szCs w:val="12"/>
                <w:color w:val="auto"/>
              </w:rPr>
            </w:pPr>
          </w:p>
        </w:tc>
        <w:tc>
          <w:tcPr>
            <w:tcW w:w="14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Beneficially</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Westlake Chemical Corporation</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Westlake Chemical Partners GP LLC</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96,435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15,533,192</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James Chao</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15,524,099</w:t>
            </w:r>
          </w:p>
        </w:tc>
        <w:tc>
          <w:tcPr>
            <w:tcW w:w="660" w:type="dxa"/>
            <w:vAlign w:val="bottom"/>
          </w:tcPr>
          <w:p>
            <w:pPr>
              <w:ind w:left="20"/>
              <w:spacing w:after="0"/>
              <w:rPr>
                <w:sz w:val="20"/>
                <w:szCs w:val="20"/>
                <w:color w:val="auto"/>
              </w:rPr>
            </w:pPr>
            <w:r>
              <w:rPr>
                <w:rFonts w:ascii="Arial" w:cs="Arial" w:eastAsia="Arial" w:hAnsi="Arial"/>
                <w:sz w:val="13"/>
                <w:szCs w:val="13"/>
                <w:color w:val="auto"/>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 Steven Bender</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L. Benjamin Ederington</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Max L. Lukens</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Angela Minas</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15,100</w:t>
            </w:r>
          </w:p>
        </w:tc>
        <w:tc>
          <w:tcPr>
            <w:tcW w:w="10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Randy G. Woelfel</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(9 persons)</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321,335</w:t>
            </w:r>
          </w:p>
        </w:tc>
        <w:tc>
          <w:tcPr>
            <w:tcW w:w="10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15,533,192</w:t>
            </w:r>
          </w:p>
        </w:tc>
        <w:tc>
          <w:tcPr>
            <w:tcW w:w="660" w:type="dxa"/>
            <w:vAlign w:val="bottom"/>
          </w:tcPr>
          <w:p>
            <w:pPr>
              <w:ind w:left="20"/>
              <w:spacing w:after="0"/>
              <w:rPr>
                <w:sz w:val="20"/>
                <w:szCs w:val="20"/>
                <w:color w:val="auto"/>
              </w:rPr>
            </w:pPr>
            <w:r>
              <w:rPr>
                <w:rFonts w:ascii="Arial" w:cs="Arial" w:eastAsia="Arial" w:hAnsi="Arial"/>
                <w:sz w:val="13"/>
                <w:szCs w:val="13"/>
                <w:color w:val="auto"/>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 Less than 1% of the outstanding common units.</w:t>
      </w:r>
    </w:p>
    <w:p>
      <w:pPr>
        <w:spacing w:after="0" w:line="90" w:lineRule="exact"/>
        <w:rPr>
          <w:sz w:val="20"/>
          <w:szCs w:val="20"/>
          <w:color w:val="auto"/>
        </w:rPr>
      </w:pPr>
    </w:p>
    <w:p>
      <w:pPr>
        <w:ind w:left="340" w:right="420" w:hanging="332"/>
        <w:spacing w:after="0" w:line="277" w:lineRule="auto"/>
        <w:tabs>
          <w:tab w:leader="none" w:pos="2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includes 9,093 common units held in a family trust for the benefit of Mr. Albert Chao and his family members with respect to which Mr. Albert Chao serves as trustee.</w:t>
      </w:r>
    </w:p>
    <w:p>
      <w:pPr>
        <w:spacing w:after="0" w:line="35"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includes (1) 14,122,230 common units held by WPT, LLC, a wholly-owned subsidiary of Westlake Chemical Corporation, and (2) 1,401,869 common units held by TTWFGP LLC. Two trusts for the benefit of members of the Chao family, including Messrs. James and Albert Chao, are the managers of TTWFGP LLC, a Delaware limited liability company. As of February 1, 2020, James Chao had sole voting power and sole dispositive power over 55,000 units and shared voting power and shared dispositive power over 15,524,099 units; and Albert Chao had sole voting power and sole dispositive power over 96,435 units and shared voting power and shared dispositive power over 15,533,192 units. Messrs. James and Albert Chao disclaim beneficial ownership of the 15,524,099 units held by WPT, LLC and TTWFGP LLC except to the extent of their respective pecuniary interest therein.</w:t>
      </w:r>
    </w:p>
    <w:p>
      <w:pPr>
        <w:spacing w:after="0" w:line="135"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The following table sets forth, as of February 17, 2020, the number of shares of common stock of Westlake Chemical Corporation beneficially owned by each director and named executive officer of our general partner and by all directors and executive officers of our general partner as a group:</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2"/>
          </w:tcPr>
          <w:p>
            <w:pPr>
              <w:jc w:val="right"/>
              <w:ind w:right="417"/>
              <w:spacing w:after="0"/>
              <w:rPr>
                <w:sz w:val="20"/>
                <w:szCs w:val="20"/>
                <w:color w:val="auto"/>
              </w:rPr>
            </w:pPr>
            <w:r>
              <w:rPr>
                <w:rFonts w:ascii="Arial" w:cs="Arial" w:eastAsia="Arial" w:hAnsi="Arial"/>
                <w:sz w:val="14"/>
                <w:szCs w:val="14"/>
                <w:b w:val="1"/>
                <w:bCs w:val="1"/>
                <w:color w:val="auto"/>
              </w:rPr>
              <w:t>Amount and Nature of</w:t>
            </w:r>
          </w:p>
        </w:tc>
        <w:tc>
          <w:tcPr>
            <w:tcW w:w="1560" w:type="dxa"/>
            <w:vAlign w:val="bottom"/>
          </w:tcPr>
          <w:p>
            <w:pPr>
              <w:spacing w:after="0"/>
              <w:rPr>
                <w:sz w:val="14"/>
                <w:szCs w:val="14"/>
                <w:color w:val="auto"/>
              </w:rPr>
            </w:pPr>
          </w:p>
        </w:tc>
      </w:tr>
      <w:tr>
        <w:trPr>
          <w:trHeight w:val="192"/>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00" w:type="dxa"/>
            <w:vAlign w:val="bottom"/>
            <w:tcBorders>
              <w:bottom w:val="single" w:sz="8" w:color="auto"/>
            </w:tcBorders>
            <w:gridSpan w:val="5"/>
          </w:tcPr>
          <w:p>
            <w:pPr>
              <w:jc w:val="right"/>
              <w:ind w:right="652"/>
              <w:spacing w:after="0"/>
              <w:rPr>
                <w:sz w:val="20"/>
                <w:szCs w:val="20"/>
                <w:color w:val="auto"/>
              </w:rPr>
            </w:pPr>
            <w:r>
              <w:rPr>
                <w:rFonts w:ascii="Arial" w:cs="Arial" w:eastAsia="Arial" w:hAnsi="Arial"/>
                <w:sz w:val="14"/>
                <w:szCs w:val="14"/>
                <w:b w:val="1"/>
                <w:bCs w:val="1"/>
                <w:color w:val="auto"/>
              </w:rPr>
              <w:t xml:space="preserve">Beneficial Ownership of Common Stock of Westlake Chemical </w:t>
            </w:r>
            <w:r>
              <w:rPr>
                <w:rFonts w:ascii="Arial" w:cs="Arial" w:eastAsia="Arial" w:hAnsi="Arial"/>
                <w:sz w:val="8"/>
                <w:szCs w:val="8"/>
                <w:b w:val="1"/>
                <w:bCs w:val="1"/>
                <w:color w:val="auto"/>
              </w:rPr>
              <w:t>(1)</w:t>
            </w: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Directors and Named Executive Officers of Our General Partner</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Direct</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88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Percent of Class</w:t>
            </w: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931,021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3"/>
                <w:szCs w:val="13"/>
                <w:color w:val="auto"/>
              </w:rPr>
              <w:t>(2)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James Chao</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272,824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Pr>
          <w:p>
            <w:pPr>
              <w:jc w:val="right"/>
              <w:ind w:right="537"/>
              <w:spacing w:after="0"/>
              <w:rPr>
                <w:sz w:val="20"/>
                <w:szCs w:val="20"/>
                <w:color w:val="auto"/>
              </w:rPr>
            </w:pPr>
            <w:r>
              <w:rPr>
                <w:rFonts w:ascii="Arial" w:cs="Arial" w:eastAsia="Arial" w:hAnsi="Arial"/>
                <w:sz w:val="13"/>
                <w:szCs w:val="13"/>
                <w:color w:val="auto"/>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 Steven Bender</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109,840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L. Benjamin Ederington</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64,324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Max L. Lukens</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Angela Minas</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Randy G. Woelfel</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(9 persons)</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1,428,559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72.2%</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7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8"/>
          <w:szCs w:val="18"/>
          <w:color w:val="auto"/>
        </w:rPr>
        <w:t>Less than 1% of the outstanding shares of common stock.</w:t>
      </w:r>
    </w:p>
    <w:p>
      <w:pPr>
        <w:spacing w:after="0" w:line="9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 of the shares beneficially owned by the directors or officers are pledged as security.</w:t>
      </w:r>
    </w:p>
    <w:p>
      <w:pPr>
        <w:spacing w:after="0" w:line="90" w:lineRule="exact"/>
        <w:rPr>
          <w:rFonts w:ascii="Arial" w:cs="Arial" w:eastAsia="Arial" w:hAnsi="Arial"/>
          <w:sz w:val="18"/>
          <w:szCs w:val="18"/>
          <w:color w:val="auto"/>
        </w:rPr>
      </w:pPr>
    </w:p>
    <w:p>
      <w:pPr>
        <w:ind w:left="340" w:hanging="332"/>
        <w:spacing w:after="0" w:line="293"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Two trusts for the benefit of members of the Chao family, including James Chao and Albert Chao, are the managers of TTWFGP LLC, a Delaware limited liability company, which is the general partner of TTWF LP. The limited partners of TTWF LP are five trusts principally for the benefit of members of the Chao family, including James Chao and Albert Chao and two corporations owned, indirectly or directly, by certain of these trusts and by other entities owned by members of the Chao family, including Messrs. James and Albert Chao. James Chao, Albert Chao, TTWF LP and TTWFGP LLC share voting and dispositive power with respect to the shares of Westlake's common stock beneficially owned by TTWF LP. Messrs. James and Albert Chao disclaim beneficial ownership of the 92,010,554 shares held by TTWF LP except to the extent of their respective pecuniary interest therein.</w:t>
      </w:r>
    </w:p>
    <w:p>
      <w:pPr>
        <w:spacing w:after="0" w:line="1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each person known to us who is the beneficial owner of 5% or more of our outstanding common units, other than Westlake, the holdings of which are listed in the first table of this Item 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Common Units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49"/>
        </w:trPr>
        <w:tc>
          <w:tcPr>
            <w:tcW w:w="8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Beneficially</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Beneficially Owned</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8"/>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Energy Income Partners, LLC</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 Wright Street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Westport, CT 06880</w:t>
            </w:r>
          </w:p>
        </w:tc>
        <w:tc>
          <w:tcPr>
            <w:tcW w:w="1480" w:type="dxa"/>
            <w:vAlign w:val="bottom"/>
            <w:shd w:val="clear" w:color="auto" w:fill="CCEEFF"/>
          </w:tcPr>
          <w:p>
            <w:pPr>
              <w:jc w:val="right"/>
              <w:spacing w:after="0" w:line="257" w:lineRule="exact"/>
              <w:rPr>
                <w:sz w:val="20"/>
                <w:szCs w:val="20"/>
                <w:color w:val="auto"/>
              </w:rPr>
            </w:pPr>
            <w:r>
              <w:rPr>
                <w:rFonts w:ascii="Arial" w:cs="Arial" w:eastAsia="Arial" w:hAnsi="Arial"/>
                <w:sz w:val="18"/>
                <w:szCs w:val="18"/>
                <w:color w:val="auto"/>
              </w:rPr>
              <w:t xml:space="preserve">2,259,395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8280" w:type="dxa"/>
            <w:vAlign w:val="bottom"/>
            <w:gridSpan w:val="2"/>
          </w:tcPr>
          <w:p>
            <w:pPr>
              <w:ind w:left="40"/>
              <w:spacing w:after="0"/>
              <w:rPr>
                <w:sz w:val="20"/>
                <w:szCs w:val="20"/>
                <w:color w:val="auto"/>
              </w:rPr>
            </w:pPr>
            <w:r>
              <w:rPr>
                <w:rFonts w:ascii="Arial" w:cs="Arial" w:eastAsia="Arial" w:hAnsi="Arial"/>
                <w:sz w:val="18"/>
                <w:szCs w:val="18"/>
                <w:color w:val="auto"/>
              </w:rPr>
              <w:t>Invesco Ltd.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1555 Peachtree Street NE, Suite 1800</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280" w:type="dxa"/>
            <w:vAlign w:val="bottom"/>
            <w:gridSpan w:val="2"/>
          </w:tcPr>
          <w:p>
            <w:pPr>
              <w:ind w:left="160"/>
              <w:spacing w:after="0"/>
              <w:rPr>
                <w:sz w:val="20"/>
                <w:szCs w:val="20"/>
                <w:color w:val="auto"/>
              </w:rPr>
            </w:pPr>
            <w:r>
              <w:rPr>
                <w:rFonts w:ascii="Arial" w:cs="Arial" w:eastAsia="Arial" w:hAnsi="Arial"/>
                <w:sz w:val="18"/>
                <w:szCs w:val="18"/>
                <w:color w:val="auto"/>
              </w:rPr>
              <w:t>Atlanta, GA 30309</w:t>
            </w:r>
          </w:p>
        </w:tc>
        <w:tc>
          <w:tcPr>
            <w:tcW w:w="1480" w:type="dxa"/>
            <w:vAlign w:val="bottom"/>
          </w:tcPr>
          <w:p>
            <w:pPr>
              <w:jc w:val="right"/>
              <w:spacing w:after="0" w:line="257" w:lineRule="exact"/>
              <w:rPr>
                <w:sz w:val="20"/>
                <w:szCs w:val="20"/>
                <w:color w:val="auto"/>
              </w:rPr>
            </w:pPr>
            <w:r>
              <w:rPr>
                <w:rFonts w:ascii="Arial" w:cs="Arial" w:eastAsia="Arial" w:hAnsi="Arial"/>
                <w:sz w:val="18"/>
                <w:szCs w:val="18"/>
                <w:color w:val="auto"/>
              </w:rPr>
              <w:t xml:space="preserve">6,927,699 </w:t>
            </w:r>
            <w:r>
              <w:rPr>
                <w:rFonts w:ascii="Arial" w:cs="Arial" w:eastAsia="Arial" w:hAnsi="Arial"/>
                <w:sz w:val="25"/>
                <w:szCs w:val="25"/>
                <w:color w:val="auto"/>
                <w:vertAlign w:val="superscript"/>
              </w:rPr>
              <w:t>(2)</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Janus Henderson Group plc</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 Bishopsgate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EC2M 3AE United Kingdom</w:t>
            </w:r>
          </w:p>
        </w:tc>
        <w:tc>
          <w:tcPr>
            <w:tcW w:w="1480" w:type="dxa"/>
            <w:vAlign w:val="bottom"/>
            <w:shd w:val="clear" w:color="auto" w:fill="CCEEFF"/>
          </w:tcPr>
          <w:p>
            <w:pPr>
              <w:jc w:val="right"/>
              <w:spacing w:after="0" w:line="257" w:lineRule="exact"/>
              <w:rPr>
                <w:sz w:val="20"/>
                <w:szCs w:val="20"/>
                <w:color w:val="auto"/>
              </w:rPr>
            </w:pPr>
            <w:r>
              <w:rPr>
                <w:rFonts w:ascii="Arial" w:cs="Arial" w:eastAsia="Arial" w:hAnsi="Arial"/>
                <w:sz w:val="18"/>
                <w:szCs w:val="18"/>
                <w:color w:val="auto"/>
              </w:rPr>
              <w:t xml:space="preserve">1,900,928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340" w:right="140" w:hanging="332"/>
        <w:spacing w:after="0" w:line="30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a Schedule 13G filed on February 14, 2020. According to the filing, Energy Income Partners, LLC had shared voting and shared dispositive power over 2,259,395 common units. In addition, each of James J. Murchie, Eva Pao and John Tyssel had shared voting and shared dispositive power over 2,259,395 common units as portfolios managers with respect to the portfolios managed by Energy Income Partners, LLC, and Saul Ballesteros had shared voting and shared dispositive power over 2,259,395 common units as a control person of Energy Income Partners, LLC.</w:t>
      </w:r>
    </w:p>
    <w:p>
      <w:pPr>
        <w:spacing w:after="0" w:line="19" w:lineRule="exact"/>
        <w:rPr>
          <w:rFonts w:ascii="Arial" w:cs="Arial" w:eastAsia="Arial" w:hAnsi="Arial"/>
          <w:sz w:val="16"/>
          <w:szCs w:val="16"/>
          <w:color w:val="auto"/>
        </w:rPr>
      </w:pPr>
    </w:p>
    <w:p>
      <w:pPr>
        <w:ind w:left="340" w:right="16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an Amendment No. 1 to a Schedule 13G filed on February 12, 2020. According to the filing, Invesco Ltd. had sole voting and sole dispositive power over 6,927,699 common units.</w:t>
      </w:r>
    </w:p>
    <w:p>
      <w:pPr>
        <w:spacing w:after="0" w:line="35" w:lineRule="exact"/>
        <w:rPr>
          <w:rFonts w:ascii="Arial" w:cs="Arial" w:eastAsia="Arial" w:hAnsi="Arial"/>
          <w:sz w:val="18"/>
          <w:szCs w:val="18"/>
          <w:color w:val="auto"/>
        </w:rPr>
      </w:pPr>
    </w:p>
    <w:p>
      <w:pPr>
        <w:ind w:left="340" w:right="260" w:hanging="332"/>
        <w:spacing w:after="0" w:line="255"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an Amendment No. 1 to a Schedule 13G filed on February 14, 2020. According to the filing, Janus Henderson Group plc. had shared voting and shared dispositive power over 1,900,928 common units and one of its managed portfolios, Janus Henderson Small Cap Value Fund ("Janus Small Cap"), had shared voting and shared dispositive power over 1,786,699 of those common units. According to the filing, another affiliate, Perkins Investment Management LLC ("Perkins"), may be deemed to be the beneficial owner of 1,900,928 common units as a result of its role as investment advisor to the managed portfolios of Janus Henderson Group plc. However, according to the filing, Perkins does not have the right to receive any dividends from, or the proceeds from the sale of, any common units held by such managed portfolios and disclaims any ownership associated with the same.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Units authorized for issuance under the Partnership's Long-Term Incentive Plan (the "LTIP") are summarized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Number of units</w:t>
            </w: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 under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24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 and rights</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 compensation plan approved by security holders </w:t>
            </w:r>
            <w:r>
              <w:rPr>
                <w:rFonts w:ascii="Arial" w:cs="Arial" w:eastAsia="Arial" w:hAnsi="Arial"/>
                <w:sz w:val="25"/>
                <w:szCs w:val="25"/>
                <w:color w:val="auto"/>
                <w:vertAlign w:val="superscript"/>
              </w:rPr>
              <w:t>(1)</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13,634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1,237,369</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 not approved by security holders</w:t>
            </w:r>
          </w:p>
        </w:tc>
        <w:tc>
          <w:tcPr>
            <w:tcW w:w="184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ind w:left="116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13,634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1,237,369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right="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Adopted by our general partner's board of directors in connection with our IPO. Only phantom unit awards have been granted under the LTIP. There is no weighted-average exercise price associated with these awards.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more information about the plan, please see Note 13 to our consolidated financial statements included in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Westlake owns (1) 14,122,230 common units, representing an aggregate approximate 40.1% limited partner interest in us; (2) a 100% interest in our general partner; and (3) our incentive distribution rights. Transactions with Westlake and its affiliated entities are considered to be related party transactions because Westlake and its affiliates own more than 5% of our equity interests; in addition, certain of Westlake's directors and executive officers serve as directors and executive officers of both Westlake and our general partner.</w:t>
      </w:r>
    </w:p>
    <w:p>
      <w:pPr>
        <w:spacing w:after="0" w:line="13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the Partnership Agreement, of any agreement contemplated thereby or of any duty, if the resolution, course of action or transaction in respect of such conflict of interest is:</w:t>
      </w:r>
    </w:p>
    <w:p>
      <w:pPr>
        <w:spacing w:after="0" w:line="5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approved by the conflicts committee of our general partner; or</w:t>
      </w:r>
    </w:p>
    <w:p>
      <w:pPr>
        <w:spacing w:after="0" w:line="9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approved by the holders of a majority of our outstanding common units, excluding any such units owned by our general partner or any of its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the Partnership Agreement, the board of directors or its conflicts committee, as applicable, may consider any factors it determines in good faith to consider when resolving a conflict. An independent third party is not required to evaluate the resolution. Under the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94"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Payments to our General Partner and its Affiliates</w:t>
      </w:r>
    </w:p>
    <w:p>
      <w:pPr>
        <w:spacing w:after="0" w:line="9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2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Assuming we have sufficient available cash to pay the full minimum quarterly distribution on all of our outstanding units for four quarters, Westlake would receive an annual distribution of approximately $15.5 million on its common units. During 2019, we made a $1.8005 per unit distribution to all of our unitholders, resulting in Westlake receiving approximately $25.4 million.</w:t>
      </w:r>
    </w:p>
    <w:p>
      <w:pPr>
        <w:spacing w:after="0" w:line="12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the Services and Secondment Agreement, our general partner will determine the expenses that are allocable to us in good faith, but there is no limit on the amount of expenses for which our general partner and its affiliates will be reimbursed. For the year ended December 31, 2019, we paid approximately $173 million for such expenses.</w:t>
      </w:r>
    </w:p>
    <w:p>
      <w:pPr>
        <w:spacing w:after="0" w:line="10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we are ever liquidated, the partners, including Westlake, will be entitled to receive liquidating distributions according to their respective capital account balances.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Westlake</w:t>
      </w:r>
    </w:p>
    <w:p>
      <w:pPr>
        <w:spacing w:after="0" w:line="94"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Except as otherwise indicated, the agreements described below became effective on August 4, 2014, concurrent with the closing of the IPO. For amounts paid by us or Westlake, as applicable, under the agreements described below, see Note 11 to our consolidated financial statements.</w:t>
      </w:r>
    </w:p>
    <w:p>
      <w:pPr>
        <w:spacing w:after="0" w:line="93"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The information required by Item 407(a) of Regulation S-K is included in "Item 10. Directors, Executive Officers and Corporate Governance."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right="380" w:firstLine="405"/>
        <w:spacing w:after="0" w:line="302" w:lineRule="auto"/>
        <w:rPr>
          <w:sz w:val="20"/>
          <w:szCs w:val="20"/>
          <w:color w:val="auto"/>
        </w:rPr>
      </w:pPr>
      <w:r>
        <w:rPr>
          <w:rFonts w:ascii="Arial" w:cs="Arial" w:eastAsia="Arial" w:hAnsi="Arial"/>
          <w:sz w:val="16"/>
          <w:szCs w:val="16"/>
          <w:color w:val="auto"/>
        </w:rPr>
        <w:t>In addition to the agreements described below, we also entered into the MLP Revolver in 2015, which was amended in August 2017 and December 2017, and OpCo entered into the OpCo Revolver and assumed various promissory notes at the closing of the IPO. The OpCo Revolver was amended in September 2018 to extend the maturity date from August 4, 2019 to September 25, 2023, and revise the applicable margin from 3% to 2%. See "Item 7. Management's Discussion &amp; Analysis of Financial Condition and Results of Operations—Liquidity and Capital Resources—Indebtedness."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Under specified circumstances, cost underrecoveries may be carried forward for recovery in subsequent years. Variable costs not incurred by OpCo due to a deficiency in takes are rebated to Westlake.</w:t>
      </w:r>
    </w:p>
    <w:p>
      <w:pPr>
        <w:spacing w:after="0" w:line="113" w:lineRule="exact"/>
        <w:rPr>
          <w:sz w:val="20"/>
          <w:szCs w:val="20"/>
          <w:color w:val="auto"/>
        </w:rPr>
      </w:pPr>
    </w:p>
    <w:p>
      <w:pPr>
        <w:jc w:val="both"/>
        <w:ind w:right="240" w:firstLine="392"/>
        <w:spacing w:after="0" w:line="264" w:lineRule="auto"/>
        <w:rPr>
          <w:sz w:val="20"/>
          <w:szCs w:val="20"/>
          <w:color w:val="auto"/>
        </w:rPr>
      </w:pPr>
      <w:r>
        <w:rPr>
          <w:rFonts w:ascii="Arial" w:cs="Arial" w:eastAsia="Arial" w:hAnsi="Arial"/>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4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November 1, 2018, OpCo and Westlake entered into an amendment to the Ethylene Sales Agreement that provides OpCo with the option to curtail up to 5% of its ethylene production annually in the event OpCo reasonably determines that its sales of such ethylene to third parties during the relevant period would be uneconomic.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agreed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OpCo and Westlake are parties 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2" w:right="25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 The OpCo LP Agreement was amended in December 2017 in connection with the new partnership tax audit rules.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90" w:lineRule="exact"/>
        <w:rPr>
          <w:sz w:val="20"/>
          <w:szCs w:val="20"/>
          <w:color w:val="auto"/>
        </w:rPr>
      </w:pPr>
    </w:p>
    <w:p>
      <w:pPr>
        <w:ind w:right="120" w:firstLine="392"/>
        <w:spacing w:after="0" w:line="259" w:lineRule="auto"/>
        <w:rPr>
          <w:sz w:val="20"/>
          <w:szCs w:val="20"/>
          <w:color w:val="auto"/>
        </w:rPr>
      </w:pPr>
      <w:r>
        <w:rPr>
          <w:rFonts w:ascii="Arial" w:cs="Arial" w:eastAsia="Arial" w:hAnsi="Arial"/>
          <w:sz w:val="18"/>
          <w:szCs w:val="18"/>
          <w:color w:val="auto"/>
        </w:rPr>
        <w:t>OpCo and Westlake are parties 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90" w:lineRule="exact"/>
        <w:rPr>
          <w:sz w:val="20"/>
          <w:szCs w:val="20"/>
          <w:color w:val="auto"/>
        </w:rPr>
      </w:pPr>
    </w:p>
    <w:p>
      <w:pPr>
        <w:ind w:firstLine="392"/>
        <w:spacing w:after="0" w:line="286" w:lineRule="auto"/>
        <w:rPr>
          <w:sz w:val="20"/>
          <w:szCs w:val="20"/>
          <w:color w:val="auto"/>
        </w:rPr>
      </w:pPr>
      <w:r>
        <w:rPr>
          <w:rFonts w:ascii="Arial" w:cs="Arial" w:eastAsia="Arial" w:hAnsi="Arial"/>
          <w:sz w:val="17"/>
          <w:szCs w:val="17"/>
          <w:color w:val="auto"/>
        </w:rPr>
        <w:t>On August 1, 2017, we, OpCo and Westlake executed an Investment Management Agreement that authorizes Westlake to invest our and OpCo's excess cash with Westlake for a term of up to a maximum of nine months. Per the terms of the Investment Management Agreement, we earn a market return plus five basis points and Westlake provides daily availability of the invested cash to meet any liquidity needs of us or OpCo.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PricewaterhouseCoopers LLP serves as our independent registered public accounting firm.</w:t>
      </w:r>
    </w:p>
    <w:p>
      <w:pPr>
        <w:spacing w:after="0" w:line="171"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following table presents fees for professional services rendered by PricewaterhouseCoopers LLP in connection with the 2019 and 2018 audits and fees billed by PricewaterhouseCoopers LLP for other services rendered in the years ended December 31, 2019 and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910,000</w:t>
            </w:r>
          </w:p>
        </w:tc>
      </w:tr>
      <w:tr>
        <w:trPr>
          <w:trHeight w:val="270"/>
        </w:trPr>
        <w:tc>
          <w:tcPr>
            <w:tcW w:w="83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279,154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235,495</w:t>
            </w: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1,029,154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1,145,495</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 w:hanging="412"/>
        <w:spacing w:after="0" w:line="317" w:lineRule="auto"/>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Audit fees represent fees billed for professional services rendered for the audits of our annual consolidated financial statements, audit of internal controls, quarterly review of our consolidated financial statements, reviews of documents filed with the SEC, registration statements and comfort letters.</w:t>
      </w:r>
    </w:p>
    <w:p>
      <w:pPr>
        <w:ind w:left="420" w:right="220" w:hanging="412"/>
        <w:spacing w:after="0" w:line="277"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tax services with respect to the preparation of the Partnership's 2018 K-1 statements in 2019, and the preparation of the Partnership's 2017 K-1 statements in 2018 and compliance services in 2019 and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Policy</w:t>
      </w:r>
    </w:p>
    <w:p>
      <w:pPr>
        <w:spacing w:after="0" w:line="90"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 xml:space="preserve">The charter of the audit committee of our general partner's board of directors, which is available on our website at </w:t>
      </w:r>
      <w:r>
        <w:rPr>
          <w:rFonts w:ascii="Arial" w:cs="Arial" w:eastAsia="Arial" w:hAnsi="Arial"/>
          <w:sz w:val="17"/>
          <w:szCs w:val="17"/>
          <w:i w:val="1"/>
          <w:iCs w:val="1"/>
          <w:color w:val="auto"/>
        </w:rPr>
        <w:t>www.wlkpartners.com</w:t>
      </w:r>
      <w:r>
        <w:rPr>
          <w:rFonts w:ascii="Arial" w:cs="Arial" w:eastAsia="Arial" w:hAnsi="Arial"/>
          <w:sz w:val="17"/>
          <w:szCs w:val="17"/>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The audit committee pre-approved all services provided by PricewaterhouseCoopers during the fiscal year ended December 31, 2019.</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contained elsewhere in this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240" w:top="121" w:right="55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40" w:type="dxa"/>
            <w:vAlign w:val="bottom"/>
            <w:gridSpan w:val="28"/>
          </w:tcPr>
          <w:p>
            <w:pPr>
              <w:ind w:left="64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48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860" w:type="dxa"/>
            <w:vAlign w:val="bottom"/>
            <w:gridSpan w:val="32"/>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371"/>
        </w:trPr>
        <w:tc>
          <w:tcPr>
            <w:tcW w:w="1480" w:type="dxa"/>
            <w:vAlign w:val="bottom"/>
          </w:tcPr>
          <w:p>
            <w:pPr>
              <w:spacing w:after="0"/>
              <w:rPr>
                <w:sz w:val="20"/>
                <w:szCs w:val="20"/>
                <w:color w:val="auto"/>
              </w:rPr>
            </w:pPr>
            <w:r>
              <w:rPr>
                <w:rFonts w:ascii="Arial" w:cs="Arial" w:eastAsia="Arial" w:hAnsi="Arial"/>
                <w:sz w:val="18"/>
                <w:szCs w:val="18"/>
                <w:color w:val="auto"/>
              </w:rPr>
              <w:t>2.1</w:t>
            </w:r>
          </w:p>
        </w:tc>
        <w:tc>
          <w:tcPr>
            <w:tcW w:w="9600" w:type="dxa"/>
            <w:vAlign w:val="bottom"/>
            <w:tcBorders>
              <w:bottom w:val="single" w:sz="8" w:color="0000FF"/>
            </w:tcBorders>
            <w:gridSpan w:val="21"/>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Equity Purchase Agreement by and among Westlake Chemical Partners LP, Westlake Chemical OpCo LP and WPT LLC, dated as of</w:t>
              </w:r>
            </w:hyperlink>
          </w:p>
        </w:tc>
        <w:tc>
          <w:tcPr>
            <w:tcW w:w="26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4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April 29, 2015 (incorporated by reference to Exhibit 2.1 to Westlake Chemical Partners LP's Current Report on Form 8-K, filed on April</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30, 2015, File No 001-36567).</w:t>
              </w:r>
            </w:hyperlink>
          </w:p>
        </w:tc>
        <w:tc>
          <w:tcPr>
            <w:tcW w:w="7660" w:type="dxa"/>
            <w:vAlign w:val="bottom"/>
            <w:gridSpan w:val="30"/>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2.2</w:t>
            </w:r>
          </w:p>
        </w:tc>
        <w:tc>
          <w:tcPr>
            <w:tcW w:w="9600" w:type="dxa"/>
            <w:vAlign w:val="bottom"/>
            <w:tcBorders>
              <w:bottom w:val="single" w:sz="8" w:color="0000FF"/>
            </w:tcBorders>
            <w:gridSpan w:val="21"/>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Equity Purchase Agreement by and among Westlake Chemical Partners LP, Westlake Chemical OpCo LP and WPT LLC, dated as of</w:t>
              </w:r>
            </w:hyperlink>
          </w:p>
        </w:tc>
        <w:tc>
          <w:tcPr>
            <w:tcW w:w="26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September 26, 2017 (incorporated by reference to Exhibit 2.1 to Westlake Chemical Partners LP's Current Report on Form 8-K, filed on</w:t>
              </w:r>
            </w:hyperlink>
          </w:p>
        </w:tc>
        <w:tc>
          <w:tcPr>
            <w:tcW w:w="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2"/>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September 26, 2017, File No. 001-36567)</w:t>
              </w:r>
              <w:r>
                <w:rPr>
                  <w:rFonts w:ascii="Arial" w:cs="Arial" w:eastAsia="Arial" w:hAnsi="Arial"/>
                  <w:sz w:val="18"/>
                  <w:szCs w:val="18"/>
                  <w:color w:val="000000"/>
                </w:rPr>
                <w:t>.</w:t>
              </w:r>
            </w:hyperlink>
          </w:p>
        </w:tc>
      </w:tr>
      <w:tr>
        <w:trPr>
          <w:trHeight w:val="20"/>
        </w:trPr>
        <w:tc>
          <w:tcPr>
            <w:tcW w:w="148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2.3</w:t>
            </w:r>
          </w:p>
        </w:tc>
        <w:tc>
          <w:tcPr>
            <w:tcW w:w="9600" w:type="dxa"/>
            <w:vAlign w:val="bottom"/>
            <w:tcBorders>
              <w:bottom w:val="single" w:sz="8" w:color="0000FF"/>
            </w:tcBorders>
            <w:gridSpan w:val="21"/>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Equity Purchase Agreement by and among Westlake Chemical Partners LP, Westlake Chemical OpCo LP and WPT LLC, dated as of</w:t>
              </w:r>
            </w:hyperlink>
          </w:p>
        </w:tc>
        <w:tc>
          <w:tcPr>
            <w:tcW w:w="26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2"/>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March 26, 2019 (incorporated by reference to Exhibit 2.1 to Westlake Chemical Partners LP's Current Report on Form 8-K, filed on</w:t>
              </w:r>
            </w:hyperlink>
          </w:p>
        </w:tc>
      </w:tr>
      <w:tr>
        <w:trPr>
          <w:trHeight w:val="196"/>
        </w:trPr>
        <w:tc>
          <w:tcPr>
            <w:tcW w:w="148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March 27, 2019, File No. 001-36567).</w:t>
              </w:r>
            </w:hyperlink>
          </w:p>
        </w:tc>
        <w:tc>
          <w:tcPr>
            <w:tcW w:w="6740" w:type="dxa"/>
            <w:vAlign w:val="bottom"/>
            <w:tcBorders>
              <w:top w:val="single" w:sz="8" w:color="0000FF"/>
            </w:tcBorders>
            <w:gridSpan w:val="14"/>
          </w:tcPr>
          <w:p>
            <w:pPr>
              <w:spacing w:after="0"/>
              <w:rPr>
                <w:sz w:val="17"/>
                <w:szCs w:val="17"/>
                <w:color w:val="auto"/>
              </w:rPr>
            </w:pPr>
          </w:p>
        </w:tc>
        <w:tc>
          <w:tcPr>
            <w:tcW w:w="360" w:type="dxa"/>
            <w:vAlign w:val="bottom"/>
            <w:gridSpan w:val="15"/>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w:t>
            </w:r>
          </w:p>
        </w:tc>
        <w:tc>
          <w:tcPr>
            <w:tcW w:w="9560" w:type="dxa"/>
            <w:vAlign w:val="bottom"/>
            <w:tcBorders>
              <w:bottom w:val="single" w:sz="8" w:color="0000FF"/>
            </w:tcBorders>
            <w:gridSpan w:val="19"/>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Certificate of Limited Partnership of Westlake Chemical Partners LP (incorporated by reference to Exhibit 3.1 to Westlake Chemical</w:t>
              </w:r>
            </w:hyperlink>
          </w:p>
        </w:tc>
        <w:tc>
          <w:tcPr>
            <w:tcW w:w="30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1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Partners LP's Registration Statement on Form S-1 (File No. 333-195551), filed on April 29, 2014).</w:t>
              </w:r>
            </w:hyperlink>
          </w:p>
        </w:tc>
        <w:tc>
          <w:tcPr>
            <w:tcW w:w="2740" w:type="dxa"/>
            <w:vAlign w:val="bottom"/>
            <w:gridSpan w:val="23"/>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3.2</w:t>
            </w:r>
          </w:p>
        </w:tc>
        <w:tc>
          <w:tcPr>
            <w:tcW w:w="9800" w:type="dxa"/>
            <w:vAlign w:val="bottom"/>
            <w:tcBorders>
              <w:bottom w:val="single" w:sz="8" w:color="0000FF"/>
            </w:tcBorders>
            <w:gridSpan w:val="29"/>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First Amended and Restated Agreement of Limited Partnership of Westlake Chemical Partners LP (incorporated by reference to Exhibit</w:t>
              </w:r>
            </w:hyperlink>
          </w:p>
        </w:tc>
        <w:tc>
          <w:tcPr>
            <w:tcW w:w="6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2"/>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Westlake Chemical Partners LP's Current Report on Form 8-K (File No. 001-36567) filed on August 8, 2014).</w:t>
              </w:r>
            </w:hyperlink>
          </w:p>
        </w:tc>
      </w:tr>
      <w:tr>
        <w:trPr>
          <w:trHeight w:val="20"/>
        </w:trPr>
        <w:tc>
          <w:tcPr>
            <w:tcW w:w="148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3.3</w:t>
            </w:r>
          </w:p>
        </w:tc>
        <w:tc>
          <w:tcPr>
            <w:tcW w:w="9740" w:type="dxa"/>
            <w:vAlign w:val="bottom"/>
            <w:tcBorders>
              <w:bottom w:val="single" w:sz="8" w:color="0000FF"/>
            </w:tcBorders>
            <w:gridSpan w:val="26"/>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Amendment No. 1 to the First Amended and Restated Agreement of Limited Partnership of Westlake Chemical Partners LP dated as of</w:t>
              </w:r>
            </w:hyperlink>
          </w:p>
        </w:tc>
        <w:tc>
          <w:tcPr>
            <w:tcW w:w="12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November 16, 2017 (incorporated by Reference to Exhibit 3.1 to Westlake Chemical Partners LP's Current Report on Form 8-K, filed on</w:t>
              </w:r>
            </w:hyperlink>
          </w:p>
        </w:tc>
      </w:tr>
      <w:tr>
        <w:trPr>
          <w:trHeight w:val="196"/>
        </w:trPr>
        <w:tc>
          <w:tcPr>
            <w:tcW w:w="1480" w:type="dxa"/>
            <w:vAlign w:val="bottom"/>
          </w:tcPr>
          <w:p>
            <w:pPr>
              <w:spacing w:after="0"/>
              <w:rPr>
                <w:sz w:val="17"/>
                <w:szCs w:val="17"/>
                <w:color w:val="auto"/>
              </w:rPr>
            </w:pPr>
          </w:p>
        </w:tc>
        <w:tc>
          <w:tcPr>
            <w:tcW w:w="30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November 16, 2017, File No. 01-36567).</w:t>
              </w:r>
            </w:hyperlink>
          </w:p>
        </w:tc>
        <w:tc>
          <w:tcPr>
            <w:tcW w:w="6840" w:type="dxa"/>
            <w:vAlign w:val="bottom"/>
            <w:gridSpan w:val="28"/>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3.4</w:t>
            </w:r>
          </w:p>
        </w:tc>
        <w:tc>
          <w:tcPr>
            <w:tcW w:w="9580" w:type="dxa"/>
            <w:vAlign w:val="bottom"/>
            <w:tcBorders>
              <w:bottom w:val="single" w:sz="8" w:color="0000FF"/>
            </w:tcBorders>
            <w:gridSpan w:val="20"/>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Amendment No. 1 to the First Amended and Restated Agreement of Limited Partnership of Westlake Chemical OpCo LP dated as of</w:t>
              </w:r>
            </w:hyperlink>
          </w:p>
        </w:tc>
        <w:tc>
          <w:tcPr>
            <w:tcW w:w="28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December 1, 2017 (File No. 01-36567) (incorporated by reference to Exhibit 3.4 to Westlake Chemical Partners LP's Annual Report on</w:t>
              </w:r>
            </w:hyperlink>
          </w:p>
        </w:tc>
        <w:tc>
          <w:tcPr>
            <w:tcW w:w="100" w:type="dxa"/>
            <w:vAlign w:val="bottom"/>
            <w:gridSpan w:val="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2"/>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Form 10-K for the year ended December 31, 2017 (File No. 01-36567) filed on March 1, 2018).</w:t>
              </w:r>
            </w:hyperlink>
          </w:p>
        </w:tc>
      </w:tr>
      <w:tr>
        <w:trPr>
          <w:trHeight w:val="20"/>
        </w:trPr>
        <w:tc>
          <w:tcPr>
            <w:tcW w:w="148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2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3.5</w:t>
            </w:r>
          </w:p>
        </w:tc>
        <w:tc>
          <w:tcPr>
            <w:tcW w:w="8920" w:type="dxa"/>
            <w:vAlign w:val="bottom"/>
            <w:tcBorders>
              <w:bottom w:val="single" w:sz="8" w:color="0000FF"/>
            </w:tcBorders>
            <w:gridSpan w:val="14"/>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Amendment No. 2 to the First Amended and Restated Agreement of Limited Partnership of Westlake Chemical Partners LP</w:t>
              </w:r>
            </w:hyperlink>
          </w:p>
        </w:tc>
        <w:tc>
          <w:tcPr>
            <w:tcW w:w="940" w:type="dxa"/>
            <w:vAlign w:val="bottom"/>
            <w:gridSpan w:val="1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8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(incorporated by reference to Exhibit 3.1 to Westlake Chemical Partners LP's Current Report on Form 8-K filed on July 30, 2018 (File</w:t>
              </w:r>
            </w:hyperlink>
          </w:p>
        </w:tc>
        <w:tc>
          <w:tcPr>
            <w:tcW w:w="18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No. 01-36567)).</w:t>
              </w:r>
            </w:hyperlink>
          </w:p>
        </w:tc>
      </w:tr>
      <w:tr>
        <w:trPr>
          <w:trHeight w:val="20"/>
        </w:trPr>
        <w:tc>
          <w:tcPr>
            <w:tcW w:w="148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4.1*</w:t>
            </w:r>
          </w:p>
        </w:tc>
        <w:tc>
          <w:tcPr>
            <w:tcW w:w="720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96">
              <w:r>
                <w:rPr>
                  <w:rFonts w:ascii="Arial" w:cs="Arial" w:eastAsia="Arial" w:hAnsi="Arial"/>
                  <w:sz w:val="18"/>
                  <w:szCs w:val="18"/>
                  <w:color w:val="0000FF"/>
                  <w:w w:val="90"/>
                </w:rPr>
                <w:t>Description of Securities Registered Pursuant to Section 12 of the Securities Exchange Act of 1934.</w:t>
              </w:r>
            </w:hyperlink>
          </w:p>
        </w:tc>
        <w:tc>
          <w:tcPr>
            <w:tcW w:w="2660" w:type="dxa"/>
            <w:vAlign w:val="bottom"/>
            <w:gridSpan w:val="22"/>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4.2</w:t>
            </w:r>
          </w:p>
        </w:tc>
        <w:tc>
          <w:tcPr>
            <w:tcW w:w="9680" w:type="dxa"/>
            <w:vAlign w:val="bottom"/>
            <w:tcBorders>
              <w:bottom w:val="single" w:sz="8" w:color="0000FF"/>
            </w:tcBorders>
            <w:gridSpan w:val="24"/>
          </w:tcPr>
          <w:p>
            <w:pPr>
              <w:spacing w:after="0"/>
              <w:rPr>
                <w:rFonts w:ascii="Arial" w:cs="Arial" w:eastAsia="Arial" w:hAnsi="Arial"/>
                <w:sz w:val="18"/>
                <w:szCs w:val="18"/>
                <w:color w:val="0000FF"/>
                <w:w w:val="89"/>
              </w:rPr>
            </w:pPr>
            <w:hyperlink r:id="rId43">
              <w:r>
                <w:rPr>
                  <w:rFonts w:ascii="Arial" w:cs="Arial" w:eastAsia="Arial" w:hAnsi="Arial"/>
                  <w:sz w:val="18"/>
                  <w:szCs w:val="18"/>
                  <w:color w:val="0000FF"/>
                  <w:w w:val="89"/>
                </w:rPr>
                <w:t>Indenture dated as of January 1, 2006 by and among Westlake Chemical Corporation, the potential subsidiary guarantors listed therein</w:t>
              </w:r>
            </w:hyperlink>
          </w:p>
        </w:tc>
        <w:tc>
          <w:tcPr>
            <w:tcW w:w="180" w:type="dxa"/>
            <w:vAlign w:val="bottom"/>
            <w:gridSpan w:val="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2"/>
          </w:tcPr>
          <w:p>
            <w:pPr>
              <w:spacing w:after="0" w:line="196"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and JPMorgan Chase Bank, National Association, as trustee (incorporated by reference to Exhibit 4.1 to Westlake Chemical</w:t>
              </w:r>
            </w:hyperlink>
          </w:p>
        </w:tc>
      </w:tr>
      <w:tr>
        <w:trPr>
          <w:trHeight w:val="196"/>
        </w:trPr>
        <w:tc>
          <w:tcPr>
            <w:tcW w:w="1480" w:type="dxa"/>
            <w:vAlign w:val="bottom"/>
          </w:tcPr>
          <w:p>
            <w:pPr>
              <w:spacing w:after="0"/>
              <w:rPr>
                <w:sz w:val="17"/>
                <w:szCs w:val="17"/>
                <w:color w:val="auto"/>
              </w:rPr>
            </w:pPr>
          </w:p>
        </w:tc>
        <w:tc>
          <w:tcPr>
            <w:tcW w:w="89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Corporation's Current Report on Form 8-K, filed on January 13, 2006, File No. 1-32260).</w:t>
              </w:r>
            </w:hyperlink>
          </w:p>
        </w:tc>
        <w:tc>
          <w:tcPr>
            <w:tcW w:w="940" w:type="dxa"/>
            <w:vAlign w:val="bottom"/>
            <w:gridSpan w:val="18"/>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644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4.3</w:t>
            </w:r>
          </w:p>
        </w:tc>
        <w:tc>
          <w:tcPr>
            <w:tcW w:w="9860" w:type="dxa"/>
            <w:vAlign w:val="bottom"/>
            <w:gridSpan w:val="32"/>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Third Supplemental Indenture, dated as of July 2, 2010, among Westlake Chemical Corporation, the Subsidiary Guarantors (as defined</w:t>
              </w:r>
            </w:hyperlink>
          </w:p>
        </w:tc>
      </w:tr>
      <w:tr>
        <w:trPr>
          <w:trHeight w:val="196"/>
        </w:trPr>
        <w:tc>
          <w:tcPr>
            <w:tcW w:w="1480" w:type="dxa"/>
            <w:vAlign w:val="bottom"/>
          </w:tcPr>
          <w:p>
            <w:pPr>
              <w:spacing w:after="0"/>
              <w:rPr>
                <w:sz w:val="17"/>
                <w:szCs w:val="17"/>
                <w:color w:val="auto"/>
              </w:rPr>
            </w:pPr>
          </w:p>
        </w:tc>
        <w:tc>
          <w:tcPr>
            <w:tcW w:w="9700" w:type="dxa"/>
            <w:vAlign w:val="bottom"/>
            <w:tcBorders>
              <w:top w:val="single" w:sz="8" w:color="0000FF"/>
            </w:tcBorders>
            <w:gridSpan w:val="25"/>
          </w:tcPr>
          <w:p>
            <w:pPr>
              <w:spacing w:after="0" w:line="196"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therein) and The Bank of New York Mellon Trust Company, N.A., as trustee (incorporated by reference to Exhibit 4.2 to Westlake</w:t>
              </w:r>
            </w:hyperlink>
          </w:p>
        </w:tc>
        <w:tc>
          <w:tcPr>
            <w:tcW w:w="16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3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Chemical Corporation's Current Report on Form 8-K, filed on July 8, 2010, File No. 1-32260).</w:t>
              </w:r>
            </w:hyperlink>
          </w:p>
        </w:tc>
        <w:tc>
          <w:tcPr>
            <w:tcW w:w="480" w:type="dxa"/>
            <w:vAlign w:val="bottom"/>
            <w:gridSpan w:val="16"/>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6820" w:type="dxa"/>
            <w:vAlign w:val="bottom"/>
            <w:gridSpan w:val="6"/>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4.4</w:t>
            </w:r>
          </w:p>
        </w:tc>
        <w:tc>
          <w:tcPr>
            <w:tcW w:w="9660" w:type="dxa"/>
            <w:vAlign w:val="bottom"/>
            <w:tcBorders>
              <w:bottom w:val="single" w:sz="8" w:color="0000FF"/>
            </w:tcBorders>
            <w:gridSpan w:val="23"/>
          </w:tcPr>
          <w:p>
            <w:pPr>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Fourth Supplemental Indenture, dated as of December 2, 2010, among Westlake Chemical Corporation, the Subsidiary Guarantors (as</w:t>
              </w:r>
            </w:hyperlink>
          </w:p>
        </w:tc>
        <w:tc>
          <w:tcPr>
            <w:tcW w:w="20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2"/>
          </w:tcPr>
          <w:p>
            <w:pPr>
              <w:spacing w:after="0" w:line="196" w:lineRule="exact"/>
              <w:rPr>
                <w:rFonts w:ascii="Arial" w:cs="Arial" w:eastAsia="Arial" w:hAnsi="Arial"/>
                <w:sz w:val="18"/>
                <w:szCs w:val="18"/>
                <w:color w:val="0000FF"/>
                <w:w w:val="97"/>
              </w:rPr>
            </w:pPr>
            <w:hyperlink r:id="rId45">
              <w:r>
                <w:rPr>
                  <w:rFonts w:ascii="Arial" w:cs="Arial" w:eastAsia="Arial" w:hAnsi="Arial"/>
                  <w:sz w:val="18"/>
                  <w:szCs w:val="18"/>
                  <w:color w:val="0000FF"/>
                  <w:w w:val="97"/>
                </w:rPr>
                <w:t>defined therein) and The Bank of New York Mellon Trust Company, N.A., as trustee (incorporated by reference to Exhibit 4.2 to</w:t>
              </w:r>
            </w:hyperlink>
          </w:p>
        </w:tc>
      </w:tr>
      <w:tr>
        <w:trPr>
          <w:trHeight w:val="196"/>
        </w:trPr>
        <w:tc>
          <w:tcPr>
            <w:tcW w:w="1480" w:type="dxa"/>
            <w:vAlign w:val="bottom"/>
          </w:tcPr>
          <w:p>
            <w:pPr>
              <w:spacing w:after="0"/>
              <w:rPr>
                <w:sz w:val="17"/>
                <w:szCs w:val="17"/>
                <w:color w:val="auto"/>
              </w:rPr>
            </w:pPr>
          </w:p>
        </w:tc>
        <w:tc>
          <w:tcPr>
            <w:tcW w:w="92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Westlake Chemical Corporation's Current Report on Form 8-K, filed on December 8, 2010, File No. 1-32260).</w:t>
              </w:r>
            </w:hyperlink>
          </w:p>
        </w:tc>
        <w:tc>
          <w:tcPr>
            <w:tcW w:w="600" w:type="dxa"/>
            <w:vAlign w:val="bottom"/>
            <w:gridSpan w:val="17"/>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6920" w:type="dxa"/>
            <w:vAlign w:val="bottom"/>
            <w:gridSpan w:val="8"/>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4.5</w:t>
            </w:r>
          </w:p>
        </w:tc>
        <w:tc>
          <w:tcPr>
            <w:tcW w:w="9520" w:type="dxa"/>
            <w:vAlign w:val="bottom"/>
            <w:tcBorders>
              <w:bottom w:val="single" w:sz="8" w:color="0000FF"/>
            </w:tcBorders>
            <w:gridSpan w:val="18"/>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Fifth Supplemental Indenture, dated as of December 2, 2010, among Westlake Chemical Corporation, the Subsidiary Guarantors (as</w:t>
              </w:r>
            </w:hyperlink>
          </w:p>
        </w:tc>
        <w:tc>
          <w:tcPr>
            <w:tcW w:w="340" w:type="dxa"/>
            <w:vAlign w:val="bottom"/>
            <w:gridSpan w:val="1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2"/>
          </w:tcPr>
          <w:p>
            <w:pPr>
              <w:spacing w:after="0" w:line="196" w:lineRule="exact"/>
              <w:rPr>
                <w:rFonts w:ascii="Arial" w:cs="Arial" w:eastAsia="Arial" w:hAnsi="Arial"/>
                <w:sz w:val="18"/>
                <w:szCs w:val="18"/>
                <w:color w:val="0000FF"/>
                <w:w w:val="97"/>
              </w:rPr>
            </w:pPr>
            <w:hyperlink r:id="rId46">
              <w:r>
                <w:rPr>
                  <w:rFonts w:ascii="Arial" w:cs="Arial" w:eastAsia="Arial" w:hAnsi="Arial"/>
                  <w:sz w:val="18"/>
                  <w:szCs w:val="18"/>
                  <w:color w:val="0000FF"/>
                  <w:w w:val="97"/>
                </w:rPr>
                <w:t>defined therein) and The Bank of New York Mellon Trust Company, N.A., as trustee (incorporated by reference to Exhibit 4.3 to</w:t>
              </w:r>
            </w:hyperlink>
          </w:p>
        </w:tc>
      </w:tr>
      <w:tr>
        <w:trPr>
          <w:trHeight w:val="196"/>
        </w:trPr>
        <w:tc>
          <w:tcPr>
            <w:tcW w:w="1480" w:type="dxa"/>
            <w:vAlign w:val="bottom"/>
          </w:tcPr>
          <w:p>
            <w:pPr>
              <w:spacing w:after="0"/>
              <w:rPr>
                <w:sz w:val="17"/>
                <w:szCs w:val="17"/>
                <w:color w:val="auto"/>
              </w:rPr>
            </w:pPr>
          </w:p>
        </w:tc>
        <w:tc>
          <w:tcPr>
            <w:tcW w:w="92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Westlake Chemical Corporation's Current Report on Form 8-K, filed on December 8, 2010, File No. 1-32260).</w:t>
              </w:r>
            </w:hyperlink>
          </w:p>
        </w:tc>
        <w:tc>
          <w:tcPr>
            <w:tcW w:w="600" w:type="dxa"/>
            <w:vAlign w:val="bottom"/>
            <w:gridSpan w:val="17"/>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6920" w:type="dxa"/>
            <w:vAlign w:val="bottom"/>
            <w:gridSpan w:val="8"/>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4.6</w:t>
            </w:r>
          </w:p>
        </w:tc>
        <w:tc>
          <w:tcPr>
            <w:tcW w:w="9740" w:type="dxa"/>
            <w:vAlign w:val="bottom"/>
            <w:tcBorders>
              <w:bottom w:val="single" w:sz="8" w:color="0000FF"/>
            </w:tcBorders>
            <w:gridSpan w:val="26"/>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Supplemental Indenture, dated as of December 31, 2007, among Westlake Chemical Corporation, WPT LLC, Westlake Polymers LLC,</w:t>
              </w:r>
            </w:hyperlink>
          </w:p>
        </w:tc>
        <w:tc>
          <w:tcPr>
            <w:tcW w:w="12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4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Westlake Petrochemicals LLC, Westlake Styrene LLC, the other subsidiary guarantors party thereto and The Bank of New York Trust</w:t>
              </w:r>
            </w:hyperlink>
          </w:p>
        </w:tc>
        <w:tc>
          <w:tcPr>
            <w:tcW w:w="220" w:type="dxa"/>
            <w:vAlign w:val="bottom"/>
            <w:gridSpan w:val="1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2"/>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Company, N.A. related to the 6 ¾% senior notes (incorporated by reference to Exhibit 4.7 to Westlake Chemical Corporation's Annual</w:t>
              </w:r>
            </w:hyperlink>
          </w:p>
        </w:tc>
      </w:tr>
      <w:tr>
        <w:trPr>
          <w:trHeight w:val="196"/>
        </w:trPr>
        <w:tc>
          <w:tcPr>
            <w:tcW w:w="148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Report on Form 10-K for the year ended December 31, 2007, filed on February 20, 2008, File No. 1-32260).</w:t>
              </w:r>
            </w:hyperlink>
          </w:p>
        </w:tc>
        <w:tc>
          <w:tcPr>
            <w:tcW w:w="1860" w:type="dxa"/>
            <w:vAlign w:val="bottom"/>
            <w:tcBorders>
              <w:top w:val="single" w:sz="8" w:color="0000FF"/>
            </w:tcBorders>
            <w:gridSpan w:val="13"/>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4.7</w:t>
            </w:r>
          </w:p>
        </w:tc>
        <w:tc>
          <w:tcPr>
            <w:tcW w:w="9780" w:type="dxa"/>
            <w:vAlign w:val="bottom"/>
            <w:tcBorders>
              <w:bottom w:val="single" w:sz="8" w:color="0000FF"/>
            </w:tcBorders>
            <w:gridSpan w:val="28"/>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Sixth Supplemental Indenture, dated as of July 17, 2012, among Westlake Chemical Corporation, the Subsidiary Guarantors (as defined</w:t>
              </w:r>
            </w:hyperlink>
          </w:p>
        </w:tc>
        <w:tc>
          <w:tcPr>
            <w:tcW w:w="8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2"/>
          </w:tcPr>
          <w:p>
            <w:pPr>
              <w:spacing w:after="0" w:line="19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therein) and The Bank of New York Mellon Trust Company, N.A., as trustee (incorporated by reference to Exhibit 4.2 to Westlake</w:t>
              </w:r>
            </w:hyperlink>
          </w:p>
        </w:tc>
      </w:tr>
      <w:tr>
        <w:trPr>
          <w:trHeight w:val="196"/>
        </w:trPr>
        <w:tc>
          <w:tcPr>
            <w:tcW w:w="1480" w:type="dxa"/>
            <w:vAlign w:val="bottom"/>
          </w:tcPr>
          <w:p>
            <w:pPr>
              <w:spacing w:after="0"/>
              <w:rPr>
                <w:sz w:val="17"/>
                <w:szCs w:val="17"/>
                <w:color w:val="auto"/>
              </w:rPr>
            </w:pPr>
          </w:p>
        </w:tc>
        <w:tc>
          <w:tcPr>
            <w:tcW w:w="69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Chemical Corporation's Current Report on Form 8-K, filed on July 16, 2012, File No. 1-32260).</w:t>
              </w:r>
            </w:hyperlink>
          </w:p>
        </w:tc>
        <w:tc>
          <w:tcPr>
            <w:tcW w:w="2460" w:type="dxa"/>
            <w:vAlign w:val="bottom"/>
            <w:tcBorders>
              <w:top w:val="single" w:sz="8" w:color="0000FF"/>
            </w:tcBorders>
            <w:gridSpan w:val="8"/>
          </w:tcPr>
          <w:p>
            <w:pPr>
              <w:spacing w:after="0"/>
              <w:rPr>
                <w:sz w:val="17"/>
                <w:szCs w:val="17"/>
                <w:color w:val="auto"/>
              </w:rPr>
            </w:pPr>
          </w:p>
        </w:tc>
        <w:tc>
          <w:tcPr>
            <w:tcW w:w="480" w:type="dxa"/>
            <w:vAlign w:val="bottom"/>
            <w:gridSpan w:val="1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80"/>
          </w:cols>
          <w:pgMar w:left="240" w:top="121" w:right="27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48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860" w:type="dxa"/>
            <w:vAlign w:val="bottom"/>
            <w:gridSpan w:val="35"/>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249"/>
        </w:trPr>
        <w:tc>
          <w:tcPr>
            <w:tcW w:w="1480" w:type="dxa"/>
            <w:vAlign w:val="bottom"/>
          </w:tcPr>
          <w:p>
            <w:pPr>
              <w:spacing w:after="0"/>
              <w:rPr>
                <w:sz w:val="20"/>
                <w:szCs w:val="20"/>
                <w:color w:val="auto"/>
              </w:rPr>
            </w:pPr>
            <w:r>
              <w:rPr>
                <w:rFonts w:ascii="Arial" w:cs="Arial" w:eastAsia="Arial" w:hAnsi="Arial"/>
                <w:sz w:val="18"/>
                <w:szCs w:val="18"/>
                <w:color w:val="auto"/>
              </w:rPr>
              <w:t>4.8</w:t>
            </w:r>
          </w:p>
        </w:tc>
        <w:tc>
          <w:tcPr>
            <w:tcW w:w="9780" w:type="dxa"/>
            <w:vAlign w:val="bottom"/>
            <w:tcBorders>
              <w:bottom w:val="single" w:sz="8" w:color="0000FF"/>
            </w:tcBorders>
            <w:gridSpan w:val="32"/>
          </w:tcPr>
          <w:p>
            <w:pPr>
              <w:spacing w:after="0"/>
              <w:rPr>
                <w:rFonts w:ascii="Arial" w:cs="Arial" w:eastAsia="Arial" w:hAnsi="Arial"/>
                <w:sz w:val="18"/>
                <w:szCs w:val="18"/>
                <w:color w:val="0000FF"/>
                <w:w w:val="89"/>
              </w:rPr>
            </w:pPr>
            <w:hyperlink r:id="rId49">
              <w:r>
                <w:rPr>
                  <w:rFonts w:ascii="Arial" w:cs="Arial" w:eastAsia="Arial" w:hAnsi="Arial"/>
                  <w:sz w:val="18"/>
                  <w:szCs w:val="18"/>
                  <w:color w:val="0000FF"/>
                  <w:w w:val="89"/>
                </w:rPr>
                <w:t>Seventh Supplemental Indenture, dated as of February 12, 2013, among Westlake Chemical Corporation, the Subsidiary Guarantors (as</w:t>
              </w:r>
            </w:hyperlink>
          </w:p>
        </w:tc>
        <w:tc>
          <w:tcPr>
            <w:tcW w:w="80" w:type="dxa"/>
            <w:vAlign w:val="bottom"/>
            <w:gridSpan w:val="3"/>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93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defined therein) and The Bank of New York Mellon Trust Company, N.A., as trustee (incorporated by reference to Exhibit 4.16 to</w:t>
              </w:r>
            </w:hyperlink>
          </w:p>
        </w:tc>
        <w:tc>
          <w:tcPr>
            <w:tcW w:w="500" w:type="dxa"/>
            <w:vAlign w:val="bottom"/>
            <w:gridSpan w:val="1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00" w:type="dxa"/>
            <w:vAlign w:val="bottom"/>
            <w:tcBorders>
              <w:bottom w:val="single" w:sz="8" w:color="0000FF"/>
            </w:tcBorders>
            <w:gridSpan w:val="33"/>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Westlake Chemical Corporation's Annual Report on Form 10-K for the year ended December 31, 2012, filed on February 22, 2013, File</w:t>
              </w:r>
            </w:hyperlink>
          </w:p>
        </w:tc>
        <w:tc>
          <w:tcPr>
            <w:tcW w:w="6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No. 1-32260).</w:t>
              </w:r>
            </w:hyperlink>
          </w:p>
        </w:tc>
        <w:tc>
          <w:tcPr>
            <w:tcW w:w="8840" w:type="dxa"/>
            <w:vAlign w:val="bottom"/>
            <w:gridSpan w:val="33"/>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4.9</w:t>
            </w:r>
          </w:p>
        </w:tc>
        <w:tc>
          <w:tcPr>
            <w:tcW w:w="9780" w:type="dxa"/>
            <w:vAlign w:val="bottom"/>
            <w:tcBorders>
              <w:bottom w:val="single" w:sz="8" w:color="0000FF"/>
            </w:tcBorders>
            <w:gridSpan w:val="32"/>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Eighth Supplemental Indenture (including the form of the Notes), dated as of August 10, 2016, among Westlake Chemical Corporation,</w:t>
              </w:r>
            </w:hyperlink>
          </w:p>
        </w:tc>
        <w:tc>
          <w:tcPr>
            <w:tcW w:w="8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the Guarantors (as defined therein) and The Bank of New York Mellon Trust Company, N.A., as trustee (incorporated by reference to</w:t>
              </w:r>
            </w:hyperlink>
          </w:p>
        </w:tc>
      </w:tr>
      <w:tr>
        <w:trPr>
          <w:trHeight w:val="196"/>
        </w:trPr>
        <w:tc>
          <w:tcPr>
            <w:tcW w:w="1480" w:type="dxa"/>
            <w:vAlign w:val="bottom"/>
          </w:tcPr>
          <w:p>
            <w:pPr>
              <w:spacing w:after="0"/>
              <w:rPr>
                <w:sz w:val="17"/>
                <w:szCs w:val="17"/>
                <w:color w:val="auto"/>
              </w:rPr>
            </w:pPr>
          </w:p>
        </w:tc>
        <w:tc>
          <w:tcPr>
            <w:tcW w:w="9600" w:type="dxa"/>
            <w:vAlign w:val="bottom"/>
            <w:tcBorders>
              <w:top w:val="single" w:sz="8" w:color="0000FF"/>
            </w:tcBorders>
            <w:gridSpan w:val="25"/>
          </w:tcPr>
          <w:p>
            <w:pPr>
              <w:spacing w:after="0" w:line="196" w:lineRule="exact"/>
              <w:rPr>
                <w:rFonts w:ascii="Arial" w:cs="Arial" w:eastAsia="Arial" w:hAnsi="Arial"/>
                <w:sz w:val="18"/>
                <w:szCs w:val="18"/>
                <w:color w:val="0000FF"/>
                <w:w w:val="97"/>
              </w:rPr>
            </w:pPr>
            <w:hyperlink r:id="rId50">
              <w:r>
                <w:rPr>
                  <w:rFonts w:ascii="Arial" w:cs="Arial" w:eastAsia="Arial" w:hAnsi="Arial"/>
                  <w:sz w:val="18"/>
                  <w:szCs w:val="18"/>
                  <w:color w:val="0000FF"/>
                  <w:w w:val="97"/>
                </w:rPr>
                <w:t>Exhibit 4.2 to Westlake Chemical Corporation's Current Report on Form 8-K, filed on August 10, 2016, File No. 001-32260).</w:t>
              </w:r>
            </w:hyperlink>
          </w:p>
        </w:tc>
        <w:tc>
          <w:tcPr>
            <w:tcW w:w="260" w:type="dxa"/>
            <w:vAlign w:val="bottom"/>
            <w:gridSpan w:val="10"/>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4.10</w:t>
            </w:r>
          </w:p>
        </w:tc>
        <w:tc>
          <w:tcPr>
            <w:tcW w:w="9860" w:type="dxa"/>
            <w:vAlign w:val="bottom"/>
            <w:tcBorders>
              <w:bottom w:val="single" w:sz="8" w:color="0000FF"/>
            </w:tcBorders>
            <w:gridSpan w:val="35"/>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Ninth Supplemental Indenture (including the form of the Notes), dated as of September 7, 2016, among Westlake Chemical Corporation,</w:t>
              </w:r>
            </w:hyperlink>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the Guarantors (as defined therein) and The Bank of New York Mellon Trust Company, N.A., as trustee (incorporated by reference to</w:t>
              </w:r>
            </w:hyperlink>
          </w:p>
        </w:tc>
      </w:tr>
      <w:tr>
        <w:trPr>
          <w:trHeight w:val="196"/>
        </w:trPr>
        <w:tc>
          <w:tcPr>
            <w:tcW w:w="148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Exhibit 4.2 to Westlake Chemical Corporation's Current Report on Form 8-K, filed on September 7, 2016, File No. 001-32260).</w:t>
              </w:r>
            </w:hyperlink>
          </w:p>
        </w:tc>
        <w:tc>
          <w:tcPr>
            <w:tcW w:w="380" w:type="dxa"/>
            <w:vAlign w:val="bottom"/>
            <w:tcBorders>
              <w:top w:val="single" w:sz="8" w:color="0000FF"/>
            </w:tcBorders>
            <w:gridSpan w:val="11"/>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399"/>
        </w:trPr>
        <w:tc>
          <w:tcPr>
            <w:tcW w:w="1480" w:type="dxa"/>
            <w:vAlign w:val="bottom"/>
          </w:tcPr>
          <w:p>
            <w:pPr>
              <w:spacing w:after="0"/>
              <w:rPr>
                <w:sz w:val="20"/>
                <w:szCs w:val="20"/>
                <w:color w:val="auto"/>
              </w:rPr>
            </w:pPr>
            <w:r>
              <w:rPr>
                <w:rFonts w:ascii="Arial" w:cs="Arial" w:eastAsia="Arial" w:hAnsi="Arial"/>
                <w:sz w:val="18"/>
                <w:szCs w:val="18"/>
                <w:color w:val="auto"/>
              </w:rPr>
              <w:t>4.11</w:t>
            </w:r>
          </w:p>
        </w:tc>
        <w:tc>
          <w:tcPr>
            <w:tcW w:w="9040" w:type="dxa"/>
            <w:vAlign w:val="bottom"/>
            <w:tcBorders>
              <w:bottom w:val="single" w:sz="8" w:color="0000FF"/>
            </w:tcBorders>
            <w:gridSpan w:val="11"/>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Tenth Supplemental Indenture (including the form of the Notes), dated as of November 29, 2017, among Westlake Chemical</w:t>
              </w:r>
            </w:hyperlink>
          </w:p>
        </w:tc>
        <w:tc>
          <w:tcPr>
            <w:tcW w:w="820" w:type="dxa"/>
            <w:vAlign w:val="bottom"/>
            <w:gridSpan w:val="2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2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Corporation, the Subsidiary Guarantors (as defined therein) and The Bank of New York Mellon Trust Company, N.A., as trustee</w:t>
              </w:r>
            </w:hyperlink>
          </w:p>
        </w:tc>
        <w:tc>
          <w:tcPr>
            <w:tcW w:w="620" w:type="dxa"/>
            <w:vAlign w:val="bottom"/>
            <w:gridSpan w:val="2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(incorporated by reference to Exhibit 4.2 to Westlake Chemical Corporation's Current Report on Form 8-K, filed on November 28, 2017,</w:t>
              </w:r>
            </w:hyperlink>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File No. 001-32260).</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4.12</w:t>
            </w:r>
          </w:p>
        </w:tc>
        <w:tc>
          <w:tcPr>
            <w:tcW w:w="9860" w:type="dxa"/>
            <w:vAlign w:val="bottom"/>
            <w:gridSpan w:val="35"/>
          </w:tcPr>
          <w:p>
            <w:pPr>
              <w:spacing w:after="0"/>
              <w:rPr>
                <w:rFonts w:ascii="Arial" w:cs="Arial" w:eastAsia="Arial" w:hAnsi="Arial"/>
                <w:sz w:val="18"/>
                <w:szCs w:val="18"/>
                <w:color w:val="0000FF"/>
                <w:w w:val="97"/>
              </w:rPr>
            </w:pPr>
            <w:hyperlink r:id="rId53">
              <w:r>
                <w:rPr>
                  <w:rFonts w:ascii="Arial" w:cs="Arial" w:eastAsia="Arial" w:hAnsi="Arial"/>
                  <w:sz w:val="18"/>
                  <w:szCs w:val="18"/>
                  <w:color w:val="0000FF"/>
                  <w:w w:val="97"/>
                </w:rPr>
                <w:t>Eleventh Supplemental Indenture (including the form of the Notes), dated as of November 28, 2017, among Westlake Chemical</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2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Corporation, the Subsidiary Guarantors (as defined therein) and The Bank of New York Mellon Trust Company, N.A., as trustee</w:t>
              </w:r>
            </w:hyperlink>
          </w:p>
        </w:tc>
        <w:tc>
          <w:tcPr>
            <w:tcW w:w="620" w:type="dxa"/>
            <w:vAlign w:val="bottom"/>
            <w:gridSpan w:val="2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(incorporated by reference to Exhibit 4.3 to Westlake Chemical Corporation's Current Report on Form 8-K, filed on November 28, 2017,</w:t>
              </w:r>
            </w:hyperlink>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File No. 001-32260).</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4.13</w:t>
            </w:r>
          </w:p>
        </w:tc>
        <w:tc>
          <w:tcPr>
            <w:tcW w:w="9860" w:type="dxa"/>
            <w:vAlign w:val="bottom"/>
            <w:gridSpan w:val="35"/>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Supplemental Indenture (including the form of the Notes), dated as of February 1, 2018, among Westlake Chemical Corporation, the</w:t>
              </w:r>
            </w:hyperlink>
          </w:p>
        </w:tc>
      </w:tr>
      <w:tr>
        <w:trPr>
          <w:trHeight w:val="196"/>
        </w:trPr>
        <w:tc>
          <w:tcPr>
            <w:tcW w:w="1480" w:type="dxa"/>
            <w:vAlign w:val="bottom"/>
          </w:tcPr>
          <w:p>
            <w:pPr>
              <w:spacing w:after="0"/>
              <w:rPr>
                <w:sz w:val="17"/>
                <w:szCs w:val="17"/>
                <w:color w:val="auto"/>
              </w:rPr>
            </w:pPr>
          </w:p>
        </w:tc>
        <w:tc>
          <w:tcPr>
            <w:tcW w:w="926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Subsidiary Guarantors (as defined therein) and The Bank of New York Mellon Trust Company, N.A., as trustee (incorporated by</w:t>
              </w:r>
            </w:hyperlink>
          </w:p>
        </w:tc>
        <w:tc>
          <w:tcPr>
            <w:tcW w:w="280" w:type="dxa"/>
            <w:vAlign w:val="bottom"/>
            <w:tcBorders>
              <w:top w:val="single" w:sz="8" w:color="0000FF"/>
            </w:tcBorders>
            <w:gridSpan w:val="6"/>
          </w:tcPr>
          <w:p>
            <w:pPr>
              <w:spacing w:after="0"/>
              <w:rPr>
                <w:sz w:val="17"/>
                <w:szCs w:val="17"/>
                <w:color w:val="auto"/>
              </w:rPr>
            </w:pPr>
          </w:p>
        </w:tc>
        <w:tc>
          <w:tcPr>
            <w:tcW w:w="320" w:type="dxa"/>
            <w:vAlign w:val="bottom"/>
            <w:gridSpan w:val="1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reference to Exhibit 4.19 to Westlake Chemical Corporation's Annual Report on Form 10-K for the year ended December 31, 2017, filed</w:t>
              </w:r>
            </w:hyperlink>
          </w:p>
        </w:tc>
      </w:tr>
      <w:tr>
        <w:trPr>
          <w:trHeight w:val="196"/>
        </w:trPr>
        <w:tc>
          <w:tcPr>
            <w:tcW w:w="1480" w:type="dxa"/>
            <w:vAlign w:val="bottom"/>
          </w:tcPr>
          <w:p>
            <w:pPr>
              <w:spacing w:after="0"/>
              <w:rPr>
                <w:sz w:val="17"/>
                <w:szCs w:val="17"/>
                <w:color w:val="auto"/>
              </w:rPr>
            </w:pPr>
          </w:p>
        </w:tc>
        <w:tc>
          <w:tcPr>
            <w:tcW w:w="9840" w:type="dxa"/>
            <w:vAlign w:val="bottom"/>
            <w:tcBorders>
              <w:top w:val="single" w:sz="8" w:color="0000FF"/>
            </w:tcBorders>
            <w:gridSpan w:val="34"/>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on February 21, 2018, File No. 001-32260).</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4.14</w:t>
            </w:r>
          </w:p>
        </w:tc>
        <w:tc>
          <w:tcPr>
            <w:tcW w:w="9520" w:type="dxa"/>
            <w:vAlign w:val="bottom"/>
            <w:tcBorders>
              <w:bottom w:val="single" w:sz="8" w:color="0000FF"/>
            </w:tcBorders>
            <w:gridSpan w:val="21"/>
          </w:tcPr>
          <w:p>
            <w:pPr>
              <w:spacing w:after="0"/>
              <w:rPr>
                <w:rFonts w:ascii="Arial" w:cs="Arial" w:eastAsia="Arial" w:hAnsi="Arial"/>
                <w:sz w:val="18"/>
                <w:szCs w:val="18"/>
                <w:color w:val="0000FF"/>
                <w:w w:val="89"/>
              </w:rPr>
            </w:pPr>
            <w:hyperlink r:id="rId55">
              <w:r>
                <w:rPr>
                  <w:rFonts w:ascii="Arial" w:cs="Arial" w:eastAsia="Arial" w:hAnsi="Arial"/>
                  <w:sz w:val="18"/>
                  <w:szCs w:val="18"/>
                  <w:color w:val="0000FF"/>
                  <w:w w:val="89"/>
                </w:rPr>
                <w:t>Registration Rights Agreement by and among Westlake Chemical Partners LP and the persons named therein, dated as of March 29,</w:t>
              </w:r>
            </w:hyperlink>
          </w:p>
        </w:tc>
        <w:tc>
          <w:tcPr>
            <w:tcW w:w="340" w:type="dxa"/>
            <w:vAlign w:val="bottom"/>
            <w:gridSpan w:val="1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2019 (incorporated by reference to Exhibit 4.1 to Westlake Chemical Partners LP's Current Report on Form 8-K, filed on March 29,</w:t>
              </w:r>
            </w:hyperlink>
          </w:p>
        </w:tc>
      </w:tr>
      <w:tr>
        <w:trPr>
          <w:trHeight w:val="196"/>
        </w:trPr>
        <w:tc>
          <w:tcPr>
            <w:tcW w:w="148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2019, File No. 001-36567).</w:t>
              </w:r>
            </w:hyperlink>
          </w:p>
        </w:tc>
        <w:tc>
          <w:tcPr>
            <w:tcW w:w="7520" w:type="dxa"/>
            <w:vAlign w:val="bottom"/>
            <w:tcBorders>
              <w:top w:val="single" w:sz="8" w:color="0000FF"/>
            </w:tcBorders>
            <w:gridSpan w:val="14"/>
          </w:tcPr>
          <w:p>
            <w:pPr>
              <w:spacing w:after="0"/>
              <w:rPr>
                <w:sz w:val="17"/>
                <w:szCs w:val="17"/>
                <w:color w:val="auto"/>
              </w:rPr>
            </w:pPr>
          </w:p>
        </w:tc>
        <w:tc>
          <w:tcPr>
            <w:tcW w:w="360" w:type="dxa"/>
            <w:vAlign w:val="bottom"/>
            <w:gridSpan w:val="15"/>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4.15</w:t>
            </w:r>
          </w:p>
        </w:tc>
        <w:tc>
          <w:tcPr>
            <w:tcW w:w="9700" w:type="dxa"/>
            <w:vAlign w:val="bottom"/>
            <w:tcBorders>
              <w:bottom w:val="single" w:sz="8" w:color="0000FF"/>
            </w:tcBorders>
            <w:gridSpan w:val="28"/>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Twelfth Supplemental Indenture (including the form of the Notes), dated as of July 17, 2019, between Westlake Chemical Corporation</w:t>
              </w:r>
            </w:hyperlink>
          </w:p>
        </w:tc>
        <w:tc>
          <w:tcPr>
            <w:tcW w:w="16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5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and The Bank of New York Mellon Trust Company, N.A., as trustee (incorporated by reference to Exhibit 4.2 to Westlake's Current</w:t>
              </w:r>
            </w:hyperlink>
          </w:p>
        </w:tc>
        <w:tc>
          <w:tcPr>
            <w:tcW w:w="360" w:type="dxa"/>
            <w:vAlign w:val="bottom"/>
            <w:gridSpan w:val="1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Report on Form 8-K filed on July 17, 2019, File No. 1-32260)</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4.16</w:t>
            </w:r>
          </w:p>
        </w:tc>
        <w:tc>
          <w:tcPr>
            <w:tcW w:w="9500" w:type="dxa"/>
            <w:vAlign w:val="bottom"/>
            <w:tcBorders>
              <w:bottom w:val="single" w:sz="8" w:color="0000FF"/>
            </w:tcBorders>
            <w:gridSpan w:val="20"/>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Paying Agency Agreement dated as of July 17, 2019, between Westlake Chemical Corporation and The Bank of New York Mellon,</w:t>
              </w:r>
            </w:hyperlink>
          </w:p>
        </w:tc>
        <w:tc>
          <w:tcPr>
            <w:tcW w:w="360" w:type="dxa"/>
            <w:vAlign w:val="bottom"/>
            <w:gridSpan w:val="1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London Branch, as paying agent (incorporated by reference to Exhibit 4.4 to Westlake's Current Report on Form 8-K, filed on July 17,</w:t>
              </w:r>
            </w:hyperlink>
          </w:p>
        </w:tc>
      </w:tr>
      <w:tr>
        <w:trPr>
          <w:trHeight w:val="196"/>
        </w:trPr>
        <w:tc>
          <w:tcPr>
            <w:tcW w:w="1480" w:type="dxa"/>
            <w:vAlign w:val="bottom"/>
          </w:tcPr>
          <w:p>
            <w:pPr>
              <w:spacing w:after="0"/>
              <w:rPr>
                <w:sz w:val="17"/>
                <w:szCs w:val="17"/>
                <w:color w:val="auto"/>
              </w:rPr>
            </w:pPr>
          </w:p>
        </w:tc>
        <w:tc>
          <w:tcPr>
            <w:tcW w:w="18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2019, File No. 1-32260).</w:t>
              </w:r>
            </w:hyperlink>
          </w:p>
        </w:tc>
        <w:tc>
          <w:tcPr>
            <w:tcW w:w="7880" w:type="dxa"/>
            <w:vAlign w:val="bottom"/>
            <w:tcBorders>
              <w:top w:val="single" w:sz="8" w:color="0000FF"/>
            </w:tcBorders>
            <w:gridSpan w:val="22"/>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tcBorders>
              <w:bottom w:val="single" w:sz="8" w:color="0000FF"/>
            </w:tcBorders>
            <w:gridSpan w:val="31"/>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Omnibus Agreement among Westlake Management Services, Inc., Westlake Vinyls Corporation, Westlake Chemical Partners GP LLC,</w:t>
              </w:r>
            </w:hyperlink>
          </w:p>
        </w:tc>
        <w:tc>
          <w:tcPr>
            <w:tcW w:w="10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5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Westlake Chemical Partners LP, WPT LLC, Westlake Petrochemicals LLC, Westlake Vinyls, Inc., Westlake Longview Corporation,</w:t>
              </w:r>
            </w:hyperlink>
          </w:p>
        </w:tc>
        <w:tc>
          <w:tcPr>
            <w:tcW w:w="360" w:type="dxa"/>
            <w:vAlign w:val="bottom"/>
            <w:gridSpan w:val="1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Westlake Chemical OpCo GP LLC, Westlake Chemical OpCo LP, Westlake PVC Corporation, Westlake Styrene LLC and Westlake</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58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Polymers LLC (incorporated by reference to Exhibit 10.1 to Westlake Chemical Partners LP's Current Report on Form 8-K (File No.</w:t>
              </w:r>
            </w:hyperlink>
          </w:p>
        </w:tc>
        <w:tc>
          <w:tcPr>
            <w:tcW w:w="280" w:type="dxa"/>
            <w:vAlign w:val="bottom"/>
            <w:gridSpan w:val="11"/>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7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001-36567) filed on August 8, 2014).</w:t>
              </w:r>
            </w:hyperlink>
          </w:p>
        </w:tc>
        <w:tc>
          <w:tcPr>
            <w:tcW w:w="7160" w:type="dxa"/>
            <w:vAlign w:val="bottom"/>
            <w:gridSpan w:val="28"/>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w:t>
            </w:r>
          </w:p>
        </w:tc>
        <w:tc>
          <w:tcPr>
            <w:tcW w:w="9400" w:type="dxa"/>
            <w:vAlign w:val="bottom"/>
            <w:tcBorders>
              <w:bottom w:val="single" w:sz="8" w:color="0000FF"/>
            </w:tcBorders>
            <w:gridSpan w:val="18"/>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Services and Secondment Agreement by and among Westlake Chemical OpCo LP, Westlake Management Services, Inc., Westlake</w:t>
              </w:r>
            </w:hyperlink>
          </w:p>
        </w:tc>
        <w:tc>
          <w:tcPr>
            <w:tcW w:w="460" w:type="dxa"/>
            <w:vAlign w:val="bottom"/>
            <w:gridSpan w:val="1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56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Vinyls, Inc., WPT LLC and Westlake Petrochemicals LLC (incorporated by reference to Exhibit 10.2 to Westlake Chemical Partners</w:t>
              </w:r>
            </w:hyperlink>
          </w:p>
        </w:tc>
        <w:tc>
          <w:tcPr>
            <w:tcW w:w="300" w:type="dxa"/>
            <w:vAlign w:val="bottom"/>
            <w:gridSpan w:val="1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LP's Current Report on Form 8-K (File No. 001-36567) filed on August 8, 2014).</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20" w:type="dxa"/>
            <w:vAlign w:val="bottom"/>
            <w:gridSpan w:val="7"/>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10.3</w:t>
            </w:r>
          </w:p>
        </w:tc>
        <w:tc>
          <w:tcPr>
            <w:tcW w:w="9620" w:type="dxa"/>
            <w:vAlign w:val="bottom"/>
            <w:tcBorders>
              <w:bottom w:val="single" w:sz="8" w:color="0000FF"/>
            </w:tcBorders>
            <w:gridSpan w:val="26"/>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Feedstock Supply Agreement between Westlake Petrochemicals LLC and Westlake Chemical OpCo LP (incorporated by reference to</w:t>
              </w:r>
            </w:hyperlink>
          </w:p>
        </w:tc>
        <w:tc>
          <w:tcPr>
            <w:tcW w:w="24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0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Exhibit 10.3 to Westlake Chemical Partners LP's Current Report on Form 8-K (File No. 001-36567) filed on August 8, 2014).</w:t>
              </w:r>
            </w:hyperlink>
          </w:p>
        </w:tc>
        <w:tc>
          <w:tcPr>
            <w:tcW w:w="800" w:type="dxa"/>
            <w:vAlign w:val="bottom"/>
            <w:gridSpan w:val="23"/>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10.4††</w:t>
            </w:r>
          </w:p>
        </w:tc>
        <w:tc>
          <w:tcPr>
            <w:tcW w:w="9740" w:type="dxa"/>
            <w:vAlign w:val="bottom"/>
            <w:tcBorders>
              <w:bottom w:val="single" w:sz="8" w:color="0000FF"/>
            </w:tcBorders>
            <w:gridSpan w:val="30"/>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Ethylene Sales Agreement between Westlake Chemical OpCo LP, WPT LLC, Westlake Vinyls, Inc. and Westlake Petrochemicals LLC</w:t>
              </w:r>
            </w:hyperlink>
          </w:p>
        </w:tc>
        <w:tc>
          <w:tcPr>
            <w:tcW w:w="12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2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(incorporated by reference to Exhibit 10.4 to Westlake Chemical Partners LP's Current Report on Form 8-K (File No. 001-36567) filed</w:t>
              </w:r>
            </w:hyperlink>
          </w:p>
        </w:tc>
        <w:tc>
          <w:tcPr>
            <w:tcW w:w="14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on August 8, 2014).</w:t>
              </w:r>
            </w:hyperlink>
          </w:p>
        </w:tc>
        <w:tc>
          <w:tcPr>
            <w:tcW w:w="8420" w:type="dxa"/>
            <w:vAlign w:val="bottom"/>
            <w:gridSpan w:val="32"/>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10.5</w:t>
            </w:r>
          </w:p>
        </w:tc>
        <w:tc>
          <w:tcPr>
            <w:tcW w:w="9500" w:type="dxa"/>
            <w:vAlign w:val="bottom"/>
            <w:tcBorders>
              <w:bottom w:val="single" w:sz="8" w:color="0000FF"/>
            </w:tcBorders>
            <w:gridSpan w:val="20"/>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Site Lease Agreement (Calvert City) between Westlake Vinyls, Inc. and Westlake Chemical OpCo LP (incorporated by reference to</w:t>
              </w:r>
            </w:hyperlink>
          </w:p>
        </w:tc>
        <w:tc>
          <w:tcPr>
            <w:tcW w:w="360" w:type="dxa"/>
            <w:vAlign w:val="bottom"/>
            <w:gridSpan w:val="1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0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Exhibit 10.5 to Westlake Chemical Partners LP's Current Report on Form 8-K (File No. 001-36567) filed on August 8, 2014).</w:t>
              </w:r>
            </w:hyperlink>
          </w:p>
        </w:tc>
        <w:tc>
          <w:tcPr>
            <w:tcW w:w="800" w:type="dxa"/>
            <w:vAlign w:val="bottom"/>
            <w:gridSpan w:val="23"/>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10.6</w:t>
            </w:r>
          </w:p>
        </w:tc>
        <w:tc>
          <w:tcPr>
            <w:tcW w:w="9860" w:type="dxa"/>
            <w:vAlign w:val="bottom"/>
            <w:gridSpan w:val="35"/>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Site Lease Agreement (Lake Charles) between Westlake Petrochemical LLC and Westlake Chemical OpCo LP (incorporated by</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760" w:type="dxa"/>
            <w:vAlign w:val="bottom"/>
            <w:gridSpan w:val="13"/>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20" w:type="dxa"/>
            <w:vAlign w:val="bottom"/>
            <w:gridSpan w:val="16"/>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5"/>
          </w:tcPr>
          <w:p>
            <w:pPr>
              <w:spacing w:after="0" w:line="196" w:lineRule="exact"/>
              <w:rPr>
                <w:rFonts w:ascii="Arial" w:cs="Arial" w:eastAsia="Arial" w:hAnsi="Arial"/>
                <w:sz w:val="18"/>
                <w:szCs w:val="18"/>
                <w:color w:val="0000FF"/>
                <w:w w:val="95"/>
              </w:rPr>
            </w:pPr>
            <w:hyperlink r:id="rId63">
              <w:r>
                <w:rPr>
                  <w:rFonts w:ascii="Arial" w:cs="Arial" w:eastAsia="Arial" w:hAnsi="Arial"/>
                  <w:sz w:val="18"/>
                  <w:szCs w:val="18"/>
                  <w:color w:val="0000FF"/>
                  <w:w w:val="95"/>
                </w:rPr>
                <w:t>reference to Exhibit 10.6 to Westlake Chemical Partners LP's Current Report on Form 8-K (File No. 001-36567) filed on August 8,</w:t>
              </w:r>
            </w:hyperlink>
          </w:p>
        </w:tc>
      </w:tr>
      <w:tr>
        <w:trPr>
          <w:trHeight w:val="196"/>
        </w:trPr>
        <w:tc>
          <w:tcPr>
            <w:tcW w:w="14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3">
              <w:r>
                <w:rPr>
                  <w:rFonts w:ascii="Arial" w:cs="Arial" w:eastAsia="Arial" w:hAnsi="Arial"/>
                  <w:sz w:val="18"/>
                  <w:szCs w:val="18"/>
                  <w:color w:val="0000FF"/>
                  <w:w w:val="86"/>
                </w:rPr>
                <w:t>2014).</w:t>
              </w:r>
            </w:hyperlink>
          </w:p>
        </w:tc>
        <w:tc>
          <w:tcPr>
            <w:tcW w:w="5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3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40" w:top="122"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80"/>
          </w:cols>
          <w:pgMar w:left="240" w:top="122" w:right="27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48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880" w:type="dxa"/>
            <w:vAlign w:val="bottom"/>
            <w:gridSpan w:val="35"/>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249"/>
        </w:trPr>
        <w:tc>
          <w:tcPr>
            <w:tcW w:w="1480" w:type="dxa"/>
            <w:vAlign w:val="bottom"/>
          </w:tcPr>
          <w:p>
            <w:pPr>
              <w:spacing w:after="0"/>
              <w:rPr>
                <w:sz w:val="20"/>
                <w:szCs w:val="20"/>
                <w:color w:val="auto"/>
              </w:rPr>
            </w:pPr>
            <w:r>
              <w:rPr>
                <w:rFonts w:ascii="Arial" w:cs="Arial" w:eastAsia="Arial" w:hAnsi="Arial"/>
                <w:sz w:val="18"/>
                <w:szCs w:val="18"/>
                <w:color w:val="auto"/>
              </w:rPr>
              <w:t>10.7</w:t>
            </w:r>
          </w:p>
        </w:tc>
        <w:tc>
          <w:tcPr>
            <w:tcW w:w="9620" w:type="dxa"/>
            <w:vAlign w:val="bottom"/>
            <w:tcBorders>
              <w:bottom w:val="single" w:sz="8" w:color="0000FF"/>
            </w:tcBorders>
            <w:gridSpan w:val="25"/>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Amended and Restated Limited Partnership Agreement of Westlake Chemical OpCo LP (incorporated by reference to Exhibit 10.7 to</w:t>
              </w:r>
            </w:hyperlink>
          </w:p>
        </w:tc>
        <w:tc>
          <w:tcPr>
            <w:tcW w:w="260" w:type="dxa"/>
            <w:vAlign w:val="bottom"/>
            <w:gridSpan w:val="10"/>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79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Westlake Chemical Partners LP's Current Report on Form 8-K (File No. 001-36567) filed on August 8, 2014).</w:t>
              </w:r>
            </w:hyperlink>
          </w:p>
        </w:tc>
        <w:tc>
          <w:tcPr>
            <w:tcW w:w="1940" w:type="dxa"/>
            <w:vAlign w:val="bottom"/>
            <w:gridSpan w:val="20"/>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10.8</w:t>
            </w:r>
          </w:p>
        </w:tc>
        <w:tc>
          <w:tcPr>
            <w:tcW w:w="9640" w:type="dxa"/>
            <w:vAlign w:val="bottom"/>
            <w:tcBorders>
              <w:bottom w:val="single" w:sz="8" w:color="0000FF"/>
            </w:tcBorders>
            <w:gridSpan w:val="26"/>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Senior Unsecured Revolving Credit Agreement by and among Westlake Chemical OpCo LP and Westlake Development Corporation,</w:t>
              </w:r>
            </w:hyperlink>
          </w:p>
        </w:tc>
        <w:tc>
          <w:tcPr>
            <w:tcW w:w="24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4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dated as of August 4, 2014 (incorporated by reference to Exhibit 10.9 to Westlake Chemical Partners LP's Current Report on Form 8-K</w:t>
              </w:r>
            </w:hyperlink>
          </w:p>
        </w:tc>
        <w:tc>
          <w:tcPr>
            <w:tcW w:w="140" w:type="dxa"/>
            <w:vAlign w:val="bottom"/>
            <w:gridSpan w:val="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340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(File No. 001-36567) filed on August 8, 2014).</w:t>
              </w:r>
            </w:hyperlink>
          </w:p>
        </w:tc>
        <w:tc>
          <w:tcPr>
            <w:tcW w:w="6480" w:type="dxa"/>
            <w:vAlign w:val="bottom"/>
            <w:gridSpan w:val="30"/>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10.9*</w:t>
            </w:r>
          </w:p>
        </w:tc>
        <w:tc>
          <w:tcPr>
            <w:tcW w:w="9820" w:type="dxa"/>
            <w:vAlign w:val="bottom"/>
            <w:tcBorders>
              <w:bottom w:val="single" w:sz="8" w:color="0000FF"/>
            </w:tcBorders>
            <w:gridSpan w:val="34"/>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Amended and Restated Senior Unsecured Revolving Credit Agreement by and among Westlake Chemical OpCo LP, Westlake Polymers</w:t>
              </w:r>
            </w:hyperlink>
          </w:p>
        </w:tc>
        <w:tc>
          <w:tcPr>
            <w:tcW w:w="6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436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w:anchor="page112">
              <w:r>
                <w:rPr>
                  <w:rFonts w:ascii="Arial" w:cs="Arial" w:eastAsia="Arial" w:hAnsi="Arial"/>
                  <w:sz w:val="18"/>
                  <w:szCs w:val="18"/>
                  <w:color w:val="0000FF"/>
                  <w:w w:val="89"/>
                </w:rPr>
                <w:t>LLC, and the lenders party thereto, dated as of June 1, 2017.</w:t>
              </w:r>
            </w:hyperlink>
          </w:p>
        </w:tc>
        <w:tc>
          <w:tcPr>
            <w:tcW w:w="5520" w:type="dxa"/>
            <w:vAlign w:val="bottom"/>
            <w:gridSpan w:val="27"/>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10.10†</w:t>
            </w:r>
          </w:p>
        </w:tc>
        <w:tc>
          <w:tcPr>
            <w:tcW w:w="9580" w:type="dxa"/>
            <w:vAlign w:val="bottom"/>
            <w:tcBorders>
              <w:bottom w:val="single" w:sz="8" w:color="0000FF"/>
            </w:tcBorders>
            <w:gridSpan w:val="23"/>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Westlake Chemical Partners LP Long-Term Incentive Plan (incorporated by reference to Exhibit 10.8 to Westlake Chemical Partners</w:t>
              </w:r>
            </w:hyperlink>
          </w:p>
        </w:tc>
        <w:tc>
          <w:tcPr>
            <w:tcW w:w="30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80" w:type="dxa"/>
            <w:vAlign w:val="bottom"/>
            <w:gridSpan w:val="35"/>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LP's Current Report on Form 8-K (File No. 001-36567) filed on August 8, 2014).</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10.11</w:t>
            </w:r>
          </w:p>
        </w:tc>
        <w:tc>
          <w:tcPr>
            <w:tcW w:w="9880" w:type="dxa"/>
            <w:vAlign w:val="bottom"/>
            <w:gridSpan w:val="35"/>
          </w:tcPr>
          <w:p>
            <w:pPr>
              <w:spacing w:after="0"/>
              <w:rPr>
                <w:rFonts w:ascii="Arial" w:cs="Arial" w:eastAsia="Arial" w:hAnsi="Arial"/>
                <w:sz w:val="18"/>
                <w:szCs w:val="18"/>
                <w:color w:val="0000FF"/>
                <w:w w:val="97"/>
              </w:rPr>
            </w:pPr>
            <w:hyperlink r:id="rId67">
              <w:r>
                <w:rPr>
                  <w:rFonts w:ascii="Arial" w:cs="Arial" w:eastAsia="Arial" w:hAnsi="Arial"/>
                  <w:sz w:val="18"/>
                  <w:szCs w:val="18"/>
                  <w:color w:val="0000FF"/>
                  <w:w w:val="97"/>
                </w:rPr>
                <w:t>Senior Unsecured Revolving Credit Agreement by and among Westlake Chemical Partners LP and Westlake Chemical Finance</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6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Corporation, dated as of April 29, 2015 (incorporated by reference to Exhibit 10.1 to Westlake Chemical Partners LP's Current Report</w:t>
              </w:r>
            </w:hyperlink>
          </w:p>
        </w:tc>
        <w:tc>
          <w:tcPr>
            <w:tcW w:w="20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30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on Form 8-K, filed on April 30, 2015, File No. 001-36567).</w:t>
              </w:r>
            </w:hyperlink>
          </w:p>
        </w:tc>
        <w:tc>
          <w:tcPr>
            <w:tcW w:w="5580" w:type="dxa"/>
            <w:vAlign w:val="bottom"/>
            <w:gridSpan w:val="28"/>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10.12</w:t>
            </w:r>
          </w:p>
        </w:tc>
        <w:tc>
          <w:tcPr>
            <w:tcW w:w="9580" w:type="dxa"/>
            <w:vAlign w:val="bottom"/>
            <w:tcBorders>
              <w:bottom w:val="single" w:sz="8" w:color="0000FF"/>
            </w:tcBorders>
            <w:gridSpan w:val="23"/>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Credit Agreement, dated as of August 10, 2016, by and between Bank of America, N.A. and Westlake International Holdings II C.V.</w:t>
              </w:r>
            </w:hyperlink>
          </w:p>
        </w:tc>
        <w:tc>
          <w:tcPr>
            <w:tcW w:w="30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5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(incorporated by reference to Exhibit 10.3 to Westlake Chemical Corporation's Quarterly Report on Form 10-Q for the quarter ended</w:t>
              </w:r>
            </w:hyperlink>
          </w:p>
        </w:tc>
        <w:tc>
          <w:tcPr>
            <w:tcW w:w="300" w:type="dxa"/>
            <w:vAlign w:val="bottom"/>
            <w:gridSpan w:val="1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54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September 30, 2016, and filed on November 9, 2016, File No. 001-32260).</w:t>
              </w:r>
            </w:hyperlink>
          </w:p>
        </w:tc>
        <w:tc>
          <w:tcPr>
            <w:tcW w:w="4480" w:type="dxa"/>
            <w:vAlign w:val="bottom"/>
            <w:gridSpan w:val="26"/>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10.13</w:t>
            </w:r>
          </w:p>
        </w:tc>
        <w:tc>
          <w:tcPr>
            <w:tcW w:w="9600" w:type="dxa"/>
            <w:vAlign w:val="bottom"/>
            <w:tcBorders>
              <w:bottom w:val="single" w:sz="8" w:color="0000FF"/>
            </w:tcBorders>
            <w:gridSpan w:val="24"/>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First Amendment to Ethylene Sales Agreement (incorporated herein by reference to Exhibit 10.1 to Westlake Chemical Partners LP's</w:t>
              </w:r>
            </w:hyperlink>
          </w:p>
        </w:tc>
        <w:tc>
          <w:tcPr>
            <w:tcW w:w="28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80" w:type="dxa"/>
            <w:vAlign w:val="bottom"/>
            <w:gridSpan w:val="35"/>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Quarterly Report on Form 10-Q for the quarter ended June 30, 2016, filed on August 9, 2016, File No. 1-32260).</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70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10.14</w:t>
            </w:r>
          </w:p>
        </w:tc>
        <w:tc>
          <w:tcPr>
            <w:tcW w:w="9560" w:type="dxa"/>
            <w:vAlign w:val="bottom"/>
            <w:tcBorders>
              <w:bottom w:val="single" w:sz="8" w:color="0000FF"/>
            </w:tcBorders>
            <w:gridSpan w:val="22"/>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Exchange Agreement, effective as of August 1, 2014, by and between WPT LLC and Westlake Chemical OpCo LP (incorporated by</w:t>
              </w:r>
            </w:hyperlink>
          </w:p>
        </w:tc>
        <w:tc>
          <w:tcPr>
            <w:tcW w:w="32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80" w:type="dxa"/>
            <w:vAlign w:val="bottom"/>
            <w:tcBorders>
              <w:bottom w:val="single" w:sz="8" w:color="0000FF"/>
            </w:tcBorders>
            <w:gridSpan w:val="35"/>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reference to Exhibit 10.20 to Westlake Chemical Partners LP's Annual Report on Form 10-K for the year ended December 30, 2016 (File</w:t>
              </w:r>
            </w:hyperlink>
          </w:p>
        </w:tc>
      </w:tr>
      <w:tr>
        <w:trPr>
          <w:trHeight w:val="196"/>
        </w:trPr>
        <w:tc>
          <w:tcPr>
            <w:tcW w:w="1480" w:type="dxa"/>
            <w:vAlign w:val="bottom"/>
          </w:tcPr>
          <w:p>
            <w:pPr>
              <w:spacing w:after="0"/>
              <w:rPr>
                <w:sz w:val="17"/>
                <w:szCs w:val="17"/>
                <w:color w:val="auto"/>
              </w:rPr>
            </w:pPr>
          </w:p>
        </w:tc>
        <w:tc>
          <w:tcPr>
            <w:tcW w:w="9880" w:type="dxa"/>
            <w:vAlign w:val="bottom"/>
            <w:gridSpan w:val="35"/>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No. 01-36567) filed on March 7, 2017).</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10.15</w:t>
            </w:r>
          </w:p>
        </w:tc>
        <w:tc>
          <w:tcPr>
            <w:tcW w:w="9880" w:type="dxa"/>
            <w:vAlign w:val="bottom"/>
            <w:gridSpan w:val="35"/>
          </w:tcPr>
          <w:p>
            <w:pPr>
              <w:spacing w:after="0"/>
              <w:rPr>
                <w:rFonts w:ascii="Arial" w:cs="Arial" w:eastAsia="Arial" w:hAnsi="Arial"/>
                <w:sz w:val="18"/>
                <w:szCs w:val="18"/>
                <w:color w:val="0000FF"/>
                <w:w w:val="93"/>
              </w:rPr>
            </w:pPr>
            <w:hyperlink r:id="rId71">
              <w:r>
                <w:rPr>
                  <w:rFonts w:ascii="Arial" w:cs="Arial" w:eastAsia="Arial" w:hAnsi="Arial"/>
                  <w:sz w:val="18"/>
                  <w:szCs w:val="18"/>
                  <w:color w:val="0000FF"/>
                  <w:w w:val="93"/>
                </w:rPr>
                <w:t>Investment Management Agreement among Westlake Chemical Corporation, Westlake Chemical OpCo LP, and Westlake Chemical</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70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80" w:type="dxa"/>
            <w:vAlign w:val="bottom"/>
            <w:gridSpan w:val="35"/>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Partners LP, dated as of August 1, 2017 (incorporated by reference to Exhibit 10.1 to Westlake Chemical Partners LP's Quarterly Report</w:t>
              </w:r>
            </w:hyperlink>
          </w:p>
        </w:tc>
      </w:tr>
      <w:tr>
        <w:trPr>
          <w:trHeight w:val="196"/>
        </w:trPr>
        <w:tc>
          <w:tcPr>
            <w:tcW w:w="148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on Form 10-Q for the quarter ended September 30, 2017, (File No. 01-36567) filed on November 7, 2017).</w:t>
              </w:r>
            </w:hyperlink>
          </w:p>
        </w:tc>
        <w:tc>
          <w:tcPr>
            <w:tcW w:w="2100" w:type="dxa"/>
            <w:vAlign w:val="bottom"/>
            <w:tcBorders>
              <w:top w:val="single" w:sz="8" w:color="0000FF"/>
            </w:tcBorders>
            <w:gridSpan w:val="20"/>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10.16</w:t>
            </w:r>
          </w:p>
        </w:tc>
        <w:tc>
          <w:tcPr>
            <w:tcW w:w="9880" w:type="dxa"/>
            <w:vAlign w:val="bottom"/>
            <w:gridSpan w:val="35"/>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First Amendment to Senior Unsecured Revolving Credit Agreement by and between Westlake Chemical Partners LP, as borrower, and</w:t>
              </w:r>
            </w:hyperlink>
          </w:p>
        </w:tc>
      </w:tr>
      <w:tr>
        <w:trPr>
          <w:trHeight w:val="196"/>
        </w:trPr>
        <w:tc>
          <w:tcPr>
            <w:tcW w:w="1480" w:type="dxa"/>
            <w:vAlign w:val="bottom"/>
          </w:tcPr>
          <w:p>
            <w:pPr>
              <w:spacing w:after="0"/>
              <w:rPr>
                <w:sz w:val="17"/>
                <w:szCs w:val="17"/>
                <w:color w:val="auto"/>
              </w:rPr>
            </w:pPr>
          </w:p>
        </w:tc>
        <w:tc>
          <w:tcPr>
            <w:tcW w:w="9680" w:type="dxa"/>
            <w:vAlign w:val="bottom"/>
            <w:tcBorders>
              <w:top w:val="single" w:sz="8" w:color="0000FF"/>
            </w:tcBorders>
            <w:gridSpan w:val="28"/>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Westlake Chemical Finance Corporation, as lender, dated as of August 1, 2017 (incorporated by reference to Exhibit 10.1 to Westlake</w:t>
              </w:r>
            </w:hyperlink>
          </w:p>
        </w:tc>
        <w:tc>
          <w:tcPr>
            <w:tcW w:w="20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620" w:type="dxa"/>
            <w:vAlign w:val="bottom"/>
            <w:tcBorders>
              <w:top w:val="single" w:sz="8" w:color="0000FF"/>
            </w:tcBorders>
            <w:gridSpan w:val="25"/>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Chemical Partners LP's Quarterly Report on Form 10-Q for the quarter ended June 30, 2017 (File No. 01-36567) filed on August 3,</w:t>
              </w:r>
            </w:hyperlink>
          </w:p>
        </w:tc>
        <w:tc>
          <w:tcPr>
            <w:tcW w:w="260" w:type="dxa"/>
            <w:vAlign w:val="bottom"/>
            <w:gridSpan w:val="1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72">
              <w:r>
                <w:rPr>
                  <w:rFonts w:ascii="Arial" w:cs="Arial" w:eastAsia="Arial" w:hAnsi="Arial"/>
                  <w:sz w:val="18"/>
                  <w:szCs w:val="18"/>
                  <w:color w:val="0000FF"/>
                  <w:w w:val="86"/>
                </w:rPr>
                <w:t>2017).</w:t>
              </w:r>
            </w:hyperlink>
          </w:p>
        </w:tc>
        <w:tc>
          <w:tcPr>
            <w:tcW w:w="7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10.17</w:t>
            </w:r>
          </w:p>
        </w:tc>
        <w:tc>
          <w:tcPr>
            <w:tcW w:w="9580" w:type="dxa"/>
            <w:vAlign w:val="bottom"/>
            <w:tcBorders>
              <w:bottom w:val="single" w:sz="8" w:color="0000FF"/>
            </w:tcBorders>
            <w:gridSpan w:val="23"/>
          </w:tcPr>
          <w:p>
            <w:pPr>
              <w:spacing w:after="0"/>
              <w:rPr>
                <w:rFonts w:ascii="Arial" w:cs="Arial" w:eastAsia="Arial" w:hAnsi="Arial"/>
                <w:sz w:val="18"/>
                <w:szCs w:val="18"/>
                <w:color w:val="0000FF"/>
                <w:w w:val="89"/>
              </w:rPr>
            </w:pPr>
            <w:hyperlink r:id="rId73">
              <w:r>
                <w:rPr>
                  <w:rFonts w:ascii="Arial" w:cs="Arial" w:eastAsia="Arial" w:hAnsi="Arial"/>
                  <w:sz w:val="18"/>
                  <w:szCs w:val="18"/>
                  <w:color w:val="0000FF"/>
                  <w:w w:val="89"/>
                </w:rPr>
                <w:t>Second Amendment to Senior Unsecured Revolving Credit Agreement by and between Westlake Chemical Partners LP, as borrower,</w:t>
              </w:r>
            </w:hyperlink>
          </w:p>
        </w:tc>
        <w:tc>
          <w:tcPr>
            <w:tcW w:w="30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and Westlake Chemical Finance Corporation, as lender, dated as of November 28, 2017 (incorporated by reference to Exhibit 10.24 to</w:t>
              </w:r>
            </w:hyperlink>
          </w:p>
        </w:tc>
        <w:tc>
          <w:tcPr>
            <w:tcW w:w="22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80" w:type="dxa"/>
            <w:vAlign w:val="bottom"/>
            <w:gridSpan w:val="35"/>
          </w:tcPr>
          <w:p>
            <w:pPr>
              <w:spacing w:after="0" w:line="196" w:lineRule="exact"/>
              <w:rPr>
                <w:rFonts w:ascii="Arial" w:cs="Arial" w:eastAsia="Arial" w:hAnsi="Arial"/>
                <w:sz w:val="18"/>
                <w:szCs w:val="18"/>
                <w:color w:val="0000FF"/>
                <w:w w:val="94"/>
              </w:rPr>
            </w:pPr>
            <w:hyperlink r:id="rId73">
              <w:r>
                <w:rPr>
                  <w:rFonts w:ascii="Arial" w:cs="Arial" w:eastAsia="Arial" w:hAnsi="Arial"/>
                  <w:sz w:val="18"/>
                  <w:szCs w:val="18"/>
                  <w:color w:val="0000FF"/>
                  <w:w w:val="94"/>
                </w:rPr>
                <w:t>Westlake Chemical Partners LP's Annual Report on Form 10-K for the year ended December 31, 2017 (File No. 01-36567) filed on</w:t>
              </w:r>
            </w:hyperlink>
          </w:p>
        </w:tc>
      </w:tr>
      <w:tr>
        <w:trPr>
          <w:trHeight w:val="196"/>
        </w:trPr>
        <w:tc>
          <w:tcPr>
            <w:tcW w:w="1480" w:type="dxa"/>
            <w:vAlign w:val="bottom"/>
          </w:tcPr>
          <w:p>
            <w:pPr>
              <w:spacing w:after="0"/>
              <w:rPr>
                <w:sz w:val="17"/>
                <w:szCs w:val="17"/>
                <w:color w:val="auto"/>
              </w:rPr>
            </w:pPr>
          </w:p>
        </w:tc>
        <w:tc>
          <w:tcPr>
            <w:tcW w:w="94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March 1, 2018).</w:t>
              </w:r>
            </w:hyperlink>
          </w:p>
        </w:tc>
        <w:tc>
          <w:tcPr>
            <w:tcW w:w="400" w:type="dxa"/>
            <w:vAlign w:val="bottom"/>
            <w:gridSpan w:val="15"/>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10.18</w:t>
            </w:r>
          </w:p>
        </w:tc>
        <w:tc>
          <w:tcPr>
            <w:tcW w:w="9600" w:type="dxa"/>
            <w:vAlign w:val="bottom"/>
            <w:tcBorders>
              <w:bottom w:val="single" w:sz="8" w:color="0000FF"/>
            </w:tcBorders>
            <w:gridSpan w:val="24"/>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Form of Phantom Unit Agreement (incorporated by reference to Exhibit 10.12 to Westlake Chemical Partners LP's Annual Report on</w:t>
              </w:r>
            </w:hyperlink>
          </w:p>
        </w:tc>
        <w:tc>
          <w:tcPr>
            <w:tcW w:w="28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80" w:type="dxa"/>
            <w:vAlign w:val="bottom"/>
            <w:gridSpan w:val="35"/>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Form 10-K for the year ended December 31, 2017 (File No. 01-36567) filed on March 1, 2018)</w:t>
              </w:r>
              <w:r>
                <w:rPr>
                  <w:rFonts w:ascii="Arial" w:cs="Arial" w:eastAsia="Arial" w:hAnsi="Arial"/>
                  <w:sz w:val="18"/>
                  <w:szCs w:val="18"/>
                  <w:color w:val="000000"/>
                </w:rPr>
                <w:t>.</w:t>
              </w:r>
            </w:hyperlink>
          </w:p>
        </w:tc>
      </w:tr>
      <w:tr>
        <w:trPr>
          <w:trHeight w:val="20"/>
        </w:trPr>
        <w:tc>
          <w:tcPr>
            <w:tcW w:w="148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70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10.19</w:t>
            </w:r>
          </w:p>
        </w:tc>
        <w:tc>
          <w:tcPr>
            <w:tcW w:w="9760" w:type="dxa"/>
            <w:vAlign w:val="bottom"/>
            <w:tcBorders>
              <w:bottom w:val="single" w:sz="8" w:color="0000FF"/>
            </w:tcBorders>
            <w:gridSpan w:val="31"/>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Equity Distribution Agreement, dated October 4, 2018, by and among Westlake Chemical Partners LP, Westlake Chemical Partners GP</w:t>
              </w:r>
            </w:hyperlink>
          </w:p>
        </w:tc>
        <w:tc>
          <w:tcPr>
            <w:tcW w:w="12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40" w:type="dxa"/>
            <w:vAlign w:val="bottom"/>
            <w:tcBorders>
              <w:bottom w:val="single" w:sz="8" w:color="0000FF"/>
            </w:tcBorders>
            <w:gridSpan w:val="30"/>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LLC, UBS Securities LLC, Barclays Capital Inc., Citigroup Global Markets Inc., Deutsche Bank Securities Inc., Merrill Lynch, Pierce,</w:t>
              </w:r>
            </w:hyperlink>
          </w:p>
        </w:tc>
        <w:tc>
          <w:tcPr>
            <w:tcW w:w="140" w:type="dxa"/>
            <w:vAlign w:val="bottom"/>
            <w:gridSpan w:val="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80" w:type="dxa"/>
            <w:vAlign w:val="bottom"/>
            <w:tcBorders>
              <w:bottom w:val="single" w:sz="8" w:color="0000FF"/>
            </w:tcBorders>
            <w:gridSpan w:val="32"/>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Fenner &amp; Smith Incorporated, RBC Capital Markets, LLC and Wells Fargo Securities, LLC (incorporated by reference to Exhibit 1.1 to</w:t>
              </w:r>
            </w:hyperlink>
          </w:p>
        </w:tc>
        <w:tc>
          <w:tcPr>
            <w:tcW w:w="10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79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Westlake Chemical Partners LP's Current Report on Form 8-K filed on October 5, 2018, File No. 001-36567).</w:t>
              </w:r>
            </w:hyperlink>
          </w:p>
        </w:tc>
        <w:tc>
          <w:tcPr>
            <w:tcW w:w="1960" w:type="dxa"/>
            <w:vAlign w:val="bottom"/>
            <w:gridSpan w:val="21"/>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10.20</w:t>
            </w:r>
          </w:p>
        </w:tc>
        <w:tc>
          <w:tcPr>
            <w:tcW w:w="9880" w:type="dxa"/>
            <w:vAlign w:val="bottom"/>
            <w:gridSpan w:val="35"/>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First Amendment to Amended and Restated Senior Unsecured Revolving Credit Agreement (incorporated by reference to Exhibit 10.1</w:t>
              </w:r>
            </w:hyperlink>
          </w:p>
        </w:tc>
      </w:tr>
      <w:tr>
        <w:trPr>
          <w:trHeight w:val="20"/>
        </w:trPr>
        <w:tc>
          <w:tcPr>
            <w:tcW w:w="148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700" w:type="dxa"/>
            <w:vAlign w:val="bottom"/>
            <w:gridSpan w:val="5"/>
            <w:shd w:val="clear" w:color="auto" w:fill="0000FF"/>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8"/>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20" w:type="dxa"/>
            <w:vAlign w:val="bottom"/>
            <w:tcBorders>
              <w:bottom w:val="single" w:sz="8" w:color="0000FF"/>
            </w:tcBorders>
            <w:gridSpan w:val="34"/>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to Westlake Chemical Partners LP's Quarterly Report on Form 10-Q for the quarter ended September 30, 2018 (File No. 01-36567) filed</w:t>
              </w:r>
            </w:hyperlink>
          </w:p>
        </w:tc>
        <w:tc>
          <w:tcPr>
            <w:tcW w:w="6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80" w:type="dxa"/>
            <w:vAlign w:val="bottom"/>
            <w:gridSpan w:val="35"/>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on November 6, 2018)</w:t>
              </w:r>
              <w:r>
                <w:rPr>
                  <w:rFonts w:ascii="Arial" w:cs="Arial" w:eastAsia="Arial" w:hAnsi="Arial"/>
                  <w:sz w:val="18"/>
                  <w:szCs w:val="18"/>
                  <w:color w:val="000000"/>
                </w:rPr>
                <w:t>.</w:t>
              </w:r>
            </w:hyperlink>
          </w:p>
        </w:tc>
      </w:tr>
      <w:tr>
        <w:trPr>
          <w:trHeight w:val="20"/>
        </w:trPr>
        <w:tc>
          <w:tcPr>
            <w:tcW w:w="148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10.21</w:t>
            </w:r>
          </w:p>
        </w:tc>
        <w:tc>
          <w:tcPr>
            <w:tcW w:w="9300" w:type="dxa"/>
            <w:vAlign w:val="bottom"/>
            <w:tcBorders>
              <w:bottom w:val="single" w:sz="8" w:color="0000FF"/>
            </w:tcBorders>
            <w:gridSpan w:val="19"/>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Second Amendment to Ethylene Sales Agreement (incorporated by reference to Exhibit 10.2 to Westlake Chemical Partners LP's</w:t>
              </w:r>
            </w:hyperlink>
          </w:p>
        </w:tc>
        <w:tc>
          <w:tcPr>
            <w:tcW w:w="580" w:type="dxa"/>
            <w:vAlign w:val="bottom"/>
            <w:gridSpan w:val="1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80" w:type="dxa"/>
            <w:vAlign w:val="bottom"/>
            <w:gridSpan w:val="35"/>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Quarterly Report on Form 10-Q for the quarter ended September 30, 2018 (File No. 01-36567) filed on November 6, 2018).</w:t>
              </w:r>
            </w:hyperlink>
          </w:p>
        </w:tc>
      </w:tr>
      <w:tr>
        <w:trPr>
          <w:trHeight w:val="20"/>
        </w:trPr>
        <w:tc>
          <w:tcPr>
            <w:tcW w:w="1480" w:type="dxa"/>
            <w:vAlign w:val="bottom"/>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2700" w:type="dxa"/>
            <w:vAlign w:val="bottom"/>
            <w:gridSpan w:val="5"/>
            <w:shd w:val="clear" w:color="auto" w:fill="0000FF"/>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10.22*</w:t>
            </w:r>
          </w:p>
        </w:tc>
        <w:tc>
          <w:tcPr>
            <w:tcW w:w="950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138">
              <w:r>
                <w:rPr>
                  <w:rFonts w:ascii="Arial" w:cs="Arial" w:eastAsia="Arial" w:hAnsi="Arial"/>
                  <w:sz w:val="18"/>
                  <w:szCs w:val="18"/>
                  <w:color w:val="0000FF"/>
                  <w:w w:val="90"/>
                </w:rPr>
                <w:t>First Amendment to Equity Distribution Agreement by and among Westlake Chemical Partners LP, Westlake Chemical Partners GP</w:t>
              </w:r>
            </w:hyperlink>
          </w:p>
        </w:tc>
        <w:tc>
          <w:tcPr>
            <w:tcW w:w="380" w:type="dxa"/>
            <w:vAlign w:val="bottom"/>
            <w:gridSpan w:val="1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80" w:type="dxa"/>
            <w:vAlign w:val="bottom"/>
            <w:gridSpan w:val="35"/>
          </w:tcPr>
          <w:p>
            <w:pPr>
              <w:spacing w:after="0" w:line="196" w:lineRule="exact"/>
              <w:rPr>
                <w:rFonts w:ascii="Arial" w:cs="Arial" w:eastAsia="Arial" w:hAnsi="Arial"/>
                <w:sz w:val="18"/>
                <w:szCs w:val="18"/>
                <w:color w:val="0000FF"/>
                <w:w w:val="94"/>
              </w:rPr>
            </w:pPr>
            <w:hyperlink w:anchor="page138">
              <w:r>
                <w:rPr>
                  <w:rFonts w:ascii="Arial" w:cs="Arial" w:eastAsia="Arial" w:hAnsi="Arial"/>
                  <w:sz w:val="18"/>
                  <w:szCs w:val="18"/>
                  <w:color w:val="0000FF"/>
                  <w:w w:val="94"/>
                </w:rPr>
                <w:t>LLC, UBS Securities LLC, Barclays Capital Inc., BofA Securities, Inc., Citigroup Global Markets Inc., Deutsche Bank Securities Inc.,</w:t>
              </w:r>
            </w:hyperlink>
          </w:p>
        </w:tc>
      </w:tr>
      <w:tr>
        <w:trPr>
          <w:trHeight w:val="196"/>
        </w:trPr>
        <w:tc>
          <w:tcPr>
            <w:tcW w:w="1480" w:type="dxa"/>
            <w:vAlign w:val="bottom"/>
          </w:tcPr>
          <w:p>
            <w:pPr>
              <w:spacing w:after="0"/>
              <w:rPr>
                <w:sz w:val="17"/>
                <w:szCs w:val="17"/>
                <w:color w:val="auto"/>
              </w:rPr>
            </w:pPr>
          </w:p>
        </w:tc>
        <w:tc>
          <w:tcPr>
            <w:tcW w:w="66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w:anchor="page138">
              <w:r>
                <w:rPr>
                  <w:rFonts w:ascii="Arial" w:cs="Arial" w:eastAsia="Arial" w:hAnsi="Arial"/>
                  <w:sz w:val="18"/>
                  <w:szCs w:val="18"/>
                  <w:color w:val="0000FF"/>
                  <w:w w:val="91"/>
                </w:rPr>
                <w:t>RBC Capital Markets, LLC and Wells Fargo Securities, LLC dated as of February 28, 2020.</w:t>
              </w:r>
            </w:hyperlink>
          </w:p>
        </w:tc>
        <w:tc>
          <w:tcPr>
            <w:tcW w:w="3060" w:type="dxa"/>
            <w:vAlign w:val="bottom"/>
            <w:tcBorders>
              <w:top w:val="single" w:sz="8" w:color="0000FF"/>
            </w:tcBorders>
            <w:gridSpan w:val="18"/>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21.1*</w:t>
            </w:r>
          </w:p>
        </w:tc>
        <w:tc>
          <w:tcPr>
            <w:tcW w:w="9880" w:type="dxa"/>
            <w:vAlign w:val="bottom"/>
            <w:gridSpan w:val="35"/>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List of Subsidiaries of Westlake Chemical Partners LP.</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121" w:right="25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48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440" w:type="dxa"/>
            <w:vAlign w:val="bottom"/>
            <w:gridSpan w:val="5"/>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371"/>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3020" w:type="dxa"/>
            <w:vAlign w:val="bottom"/>
            <w:tcBorders>
              <w:bottom w:val="single" w:sz="8" w:color="0000FF"/>
            </w:tcBorders>
          </w:tcPr>
          <w:p>
            <w:pPr>
              <w:spacing w:after="0"/>
              <w:rPr>
                <w:rFonts w:ascii="Arial" w:cs="Arial" w:eastAsia="Arial" w:hAnsi="Arial"/>
                <w:sz w:val="18"/>
                <w:szCs w:val="18"/>
                <w:color w:val="0000FF"/>
                <w:w w:val="89"/>
              </w:rPr>
            </w:pPr>
            <w:hyperlink w:anchor="page151">
              <w:r>
                <w:rPr>
                  <w:rFonts w:ascii="Arial" w:cs="Arial" w:eastAsia="Arial" w:hAnsi="Arial"/>
                  <w:sz w:val="18"/>
                  <w:szCs w:val="18"/>
                  <w:color w:val="0000FF"/>
                  <w:w w:val="89"/>
                </w:rPr>
                <w:t>Consent of PricewaterhouseCoopers LLP.</w:t>
              </w:r>
            </w:hyperlink>
          </w:p>
        </w:tc>
        <w:tc>
          <w:tcPr>
            <w:tcW w:w="6420" w:type="dxa"/>
            <w:vAlign w:val="bottom"/>
            <w:gridSpan w:val="4"/>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52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152">
              <w:r>
                <w:rPr>
                  <w:rFonts w:ascii="Arial" w:cs="Arial" w:eastAsia="Arial" w:hAnsi="Arial"/>
                  <w:sz w:val="18"/>
                  <w:szCs w:val="18"/>
                  <w:color w:val="0000FF"/>
                  <w:w w:val="92"/>
                </w:rPr>
                <w:t>Rule 13a - 14(a) / 15d - 14(a) Certification (Principal Executive Officer).</w:t>
              </w:r>
            </w:hyperlink>
          </w:p>
        </w:tc>
        <w:tc>
          <w:tcPr>
            <w:tcW w:w="4180" w:type="dxa"/>
            <w:vAlign w:val="bottom"/>
            <w:gridSpan w:val="2"/>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9440" w:type="dxa"/>
            <w:vAlign w:val="bottom"/>
            <w:gridSpan w:val="5"/>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Rule 13a - 14(a) / 15d - 14(a) Certification (Principal Financial Officer).</w:t>
              </w:r>
            </w:hyperlink>
          </w:p>
        </w:tc>
      </w:tr>
      <w:tr>
        <w:trPr>
          <w:trHeight w:val="20"/>
        </w:trPr>
        <w:tc>
          <w:tcPr>
            <w:tcW w:w="1480" w:type="dxa"/>
            <w:vAlign w:val="bottom"/>
          </w:tcPr>
          <w:p>
            <w:pPr>
              <w:spacing w:after="0" w:line="20" w:lineRule="exact"/>
              <w:rPr>
                <w:sz w:val="1"/>
                <w:szCs w:val="1"/>
                <w:color w:val="auto"/>
              </w:rPr>
            </w:pPr>
          </w:p>
        </w:tc>
        <w:tc>
          <w:tcPr>
            <w:tcW w:w="520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9440" w:type="dxa"/>
            <w:vAlign w:val="bottom"/>
            <w:gridSpan w:val="5"/>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Section 1350 Certification (Principal Executive Officer and Principal Financial Officer).</w:t>
              </w:r>
            </w:hyperlink>
          </w:p>
        </w:tc>
      </w:tr>
      <w:tr>
        <w:trPr>
          <w:trHeight w:val="20"/>
        </w:trPr>
        <w:tc>
          <w:tcPr>
            <w:tcW w:w="1480" w:type="dxa"/>
            <w:vAlign w:val="bottom"/>
          </w:tcPr>
          <w:p>
            <w:pPr>
              <w:spacing w:after="0" w:line="20" w:lineRule="exact"/>
              <w:rPr>
                <w:sz w:val="1"/>
                <w:szCs w:val="1"/>
                <w:color w:val="auto"/>
              </w:rPr>
            </w:pPr>
          </w:p>
        </w:tc>
        <w:tc>
          <w:tcPr>
            <w:tcW w:w="6360" w:type="dxa"/>
            <w:vAlign w:val="bottom"/>
            <w:gridSpan w:val="4"/>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9440" w:type="dxa"/>
            <w:vAlign w:val="bottom"/>
            <w:gridSpan w:val="5"/>
          </w:tcPr>
          <w:p>
            <w:pPr>
              <w:spacing w:after="0"/>
              <w:rPr>
                <w:sz w:val="20"/>
                <w:szCs w:val="20"/>
                <w:color w:val="auto"/>
              </w:rPr>
            </w:pPr>
            <w:r>
              <w:rPr>
                <w:rFonts w:ascii="Arial" w:cs="Arial" w:eastAsia="Arial" w:hAnsi="Arial"/>
                <w:sz w:val="18"/>
                <w:szCs w:val="18"/>
                <w:color w:val="auto"/>
                <w:w w:val="89"/>
              </w:rPr>
              <w:t>XBRL Instance Document-The instance document does not appear in the interactive data file because its XBRL tags are embedded</w:t>
            </w:r>
          </w:p>
        </w:tc>
      </w:tr>
      <w:tr>
        <w:trPr>
          <w:trHeight w:val="230"/>
        </w:trPr>
        <w:tc>
          <w:tcPr>
            <w:tcW w:w="1480" w:type="dxa"/>
            <w:vAlign w:val="bottom"/>
          </w:tcPr>
          <w:p>
            <w:pPr>
              <w:spacing w:after="0"/>
              <w:rPr>
                <w:sz w:val="20"/>
                <w:szCs w:val="20"/>
                <w:color w:val="auto"/>
              </w:rPr>
            </w:pPr>
          </w:p>
        </w:tc>
        <w:tc>
          <w:tcPr>
            <w:tcW w:w="944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94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94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94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94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94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61" w:lineRule="exact"/>
        <w:rPr>
          <w:sz w:val="20"/>
          <w:szCs w:val="20"/>
          <w:color w:val="auto"/>
        </w:rPr>
      </w:pPr>
    </w:p>
    <w:p>
      <w:pPr>
        <w:ind w:left="1520" w:right="320" w:hanging="1485"/>
        <w:spacing w:after="0" w:line="277" w:lineRule="auto"/>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420" w:hanging="412"/>
        <w:spacing w:after="0" w:line="277"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1" w:right="25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WESTLAKE CHEMICAL PARTNERS LP</w:t>
      </w:r>
    </w:p>
    <w:p>
      <w:pPr>
        <w:spacing w:after="0" w:line="360"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2020</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39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20" w:type="dxa"/>
            <w:vAlign w:val="bottom"/>
          </w:tcPr>
          <w:p>
            <w:pPr>
              <w:spacing w:after="0"/>
              <w:rPr>
                <w:sz w:val="14"/>
                <w:szCs w:val="14"/>
                <w:color w:val="auto"/>
              </w:rPr>
            </w:pPr>
          </w:p>
        </w:tc>
        <w:tc>
          <w:tcPr>
            <w:tcW w:w="4480" w:type="dxa"/>
            <w:vAlign w:val="bottom"/>
            <w:gridSpan w:val="3"/>
          </w:tcPr>
          <w:p>
            <w:pPr>
              <w:ind w:left="2380"/>
              <w:spacing w:after="0"/>
              <w:rPr>
                <w:sz w:val="20"/>
                <w:szCs w:val="20"/>
                <w:color w:val="auto"/>
              </w:rPr>
            </w:pPr>
            <w:r>
              <w:rPr>
                <w:rFonts w:ascii="Arial" w:cs="Arial" w:eastAsia="Arial" w:hAnsi="Arial"/>
                <w:sz w:val="14"/>
                <w:szCs w:val="14"/>
                <w:b w:val="1"/>
                <w:bCs w:val="1"/>
                <w:color w:val="auto"/>
              </w:rPr>
              <w:t>Title</w:t>
            </w:r>
          </w:p>
        </w:tc>
        <w:tc>
          <w:tcPr>
            <w:tcW w:w="212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tc>
        <w:tc>
          <w:tcPr>
            <w:tcW w:w="448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212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00" w:type="dxa"/>
            <w:vAlign w:val="bottom"/>
            <w:gridSpan w:val="3"/>
            <w:vMerge w:val="restart"/>
          </w:tcPr>
          <w:p>
            <w:pPr>
              <w:jc w:val="center"/>
              <w:ind w:right="1740"/>
              <w:spacing w:after="0"/>
              <w:rPr>
                <w:sz w:val="20"/>
                <w:szCs w:val="20"/>
                <w:color w:val="auto"/>
              </w:rPr>
            </w:pPr>
            <w:r>
              <w:rPr>
                <w:rFonts w:ascii="Arial" w:cs="Arial" w:eastAsia="Arial" w:hAnsi="Arial"/>
                <w:sz w:val="14"/>
                <w:szCs w:val="14"/>
                <w:b w:val="1"/>
                <w:bCs w:val="1"/>
                <w:color w:val="auto"/>
                <w:w w:val="95"/>
              </w:rPr>
              <w:t>Albert Chao</w:t>
            </w:r>
          </w:p>
        </w:tc>
        <w:tc>
          <w:tcPr>
            <w:tcW w:w="4480" w:type="dxa"/>
            <w:vAlign w:val="bottom"/>
            <w:gridSpan w:val="3"/>
            <w:vMerge w:val="restart"/>
          </w:tcPr>
          <w:p>
            <w:pPr>
              <w:ind w:left="400"/>
              <w:spacing w:after="0"/>
              <w:rPr>
                <w:sz w:val="20"/>
                <w:szCs w:val="20"/>
                <w:color w:val="auto"/>
              </w:rPr>
            </w:pPr>
            <w:r>
              <w:rPr>
                <w:rFonts w:ascii="Arial" w:cs="Arial" w:eastAsia="Arial" w:hAnsi="Arial"/>
                <w:sz w:val="18"/>
                <w:szCs w:val="18"/>
                <w:color w:val="auto"/>
              </w:rPr>
              <w:t>(Principal Executive Officer)</w:t>
            </w: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448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40" w:type="dxa"/>
            <w:vAlign w:val="bottom"/>
            <w:tcBorders>
              <w:bottom w:val="single" w:sz="8" w:color="auto"/>
            </w:tcBorders>
            <w:gridSpan w:val="4"/>
          </w:tcPr>
          <w:p>
            <w:pPr>
              <w:jc w:val="center"/>
              <w:ind w:right="1160"/>
              <w:spacing w:after="0"/>
              <w:rPr>
                <w:sz w:val="20"/>
                <w:szCs w:val="20"/>
                <w:color w:val="auto"/>
              </w:rPr>
            </w:pPr>
            <w:r>
              <w:rPr>
                <w:rFonts w:ascii="Arial" w:cs="Arial" w:eastAsia="Arial" w:hAnsi="Arial"/>
                <w:sz w:val="18"/>
                <w:szCs w:val="18"/>
                <w:color w:val="auto"/>
                <w:w w:val="97"/>
              </w:rPr>
              <w:t>M. S</w:t>
            </w:r>
            <w:r>
              <w:rPr>
                <w:rFonts w:ascii="Arial" w:cs="Arial" w:eastAsia="Arial" w:hAnsi="Arial"/>
                <w:sz w:val="14"/>
                <w:szCs w:val="14"/>
                <w:color w:val="auto"/>
                <w:w w:val="97"/>
              </w:rPr>
              <w:t>TEVEN</w:t>
            </w:r>
            <w:r>
              <w:rPr>
                <w:rFonts w:ascii="Arial" w:cs="Arial" w:eastAsia="Arial" w:hAnsi="Arial"/>
                <w:sz w:val="18"/>
                <w:szCs w:val="18"/>
                <w:color w:val="auto"/>
                <w:w w:val="97"/>
              </w:rPr>
              <w:t xml:space="preserve"> B</w:t>
            </w:r>
            <w:r>
              <w:rPr>
                <w:rFonts w:ascii="Arial" w:cs="Arial" w:eastAsia="Arial" w:hAnsi="Arial"/>
                <w:sz w:val="14"/>
                <w:szCs w:val="14"/>
                <w:color w:val="auto"/>
                <w:w w:val="97"/>
              </w:rPr>
              <w:t>ENDER</w:t>
            </w:r>
          </w:p>
        </w:tc>
        <w:tc>
          <w:tcPr>
            <w:tcW w:w="4480" w:type="dxa"/>
            <w:vAlign w:val="bottom"/>
            <w:gridSpan w:val="3"/>
          </w:tcPr>
          <w:p>
            <w:pPr>
              <w:ind w:left="260"/>
              <w:spacing w:after="0"/>
              <w:rPr>
                <w:sz w:val="20"/>
                <w:szCs w:val="20"/>
                <w:color w:val="auto"/>
              </w:rPr>
            </w:pPr>
            <w:r>
              <w:rPr>
                <w:rFonts w:ascii="Arial" w:cs="Arial" w:eastAsia="Arial" w:hAnsi="Arial"/>
                <w:sz w:val="18"/>
                <w:szCs w:val="18"/>
                <w:color w:val="auto"/>
              </w:rPr>
              <w:t>Senior Vice President, Chief Financial Officer</w:t>
            </w:r>
          </w:p>
        </w:tc>
        <w:tc>
          <w:tcPr>
            <w:tcW w:w="212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940" w:type="dxa"/>
            <w:vAlign w:val="bottom"/>
            <w:gridSpan w:val="4"/>
            <w:vMerge w:val="restart"/>
          </w:tcPr>
          <w:p>
            <w:pPr>
              <w:jc w:val="center"/>
              <w:ind w:right="1520"/>
              <w:spacing w:after="0"/>
              <w:rPr>
                <w:sz w:val="20"/>
                <w:szCs w:val="20"/>
                <w:color w:val="auto"/>
              </w:rPr>
            </w:pPr>
            <w:r>
              <w:rPr>
                <w:rFonts w:ascii="Arial" w:cs="Arial" w:eastAsia="Arial" w:hAnsi="Arial"/>
                <w:sz w:val="14"/>
                <w:szCs w:val="14"/>
                <w:b w:val="1"/>
                <w:bCs w:val="1"/>
                <w:color w:val="auto"/>
                <w:w w:val="93"/>
              </w:rPr>
              <w:t>M. Steven Bender</w:t>
            </w:r>
          </w:p>
        </w:tc>
        <w:tc>
          <w:tcPr>
            <w:tcW w:w="4480" w:type="dxa"/>
            <w:vAlign w:val="bottom"/>
            <w:gridSpan w:val="3"/>
            <w:vMerge w:val="restart"/>
          </w:tcPr>
          <w:p>
            <w:pPr>
              <w:ind w:left="400"/>
              <w:spacing w:after="0"/>
              <w:rPr>
                <w:sz w:val="20"/>
                <w:szCs w:val="20"/>
                <w:color w:val="auto"/>
              </w:rPr>
            </w:pPr>
            <w:r>
              <w:rPr>
                <w:rFonts w:ascii="Arial" w:cs="Arial" w:eastAsia="Arial" w:hAnsi="Arial"/>
                <w:sz w:val="18"/>
                <w:szCs w:val="18"/>
                <w:color w:val="auto"/>
              </w:rPr>
              <w:t>and Director (Principal Financial Officer)</w:t>
            </w: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448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6"/>
              </w:rPr>
              <w:t>G</w:t>
            </w:r>
            <w:r>
              <w:rPr>
                <w:rFonts w:ascii="Arial" w:cs="Arial" w:eastAsia="Arial" w:hAnsi="Arial"/>
                <w:sz w:val="14"/>
                <w:szCs w:val="14"/>
                <w:color w:val="auto"/>
                <w:w w:val="96"/>
              </w:rPr>
              <w:t>EORGE</w:t>
            </w:r>
            <w:r>
              <w:rPr>
                <w:rFonts w:ascii="Arial" w:cs="Arial" w:eastAsia="Arial" w:hAnsi="Arial"/>
                <w:sz w:val="18"/>
                <w:szCs w:val="18"/>
                <w:color w:val="auto"/>
                <w:w w:val="96"/>
              </w:rPr>
              <w:t xml:space="preserve"> J. M</w:t>
            </w:r>
            <w:r>
              <w:rPr>
                <w:rFonts w:ascii="Arial" w:cs="Arial" w:eastAsia="Arial" w:hAnsi="Arial"/>
                <w:sz w:val="14"/>
                <w:szCs w:val="14"/>
                <w:color w:val="auto"/>
                <w:w w:val="96"/>
              </w:rPr>
              <w:t>ANGIERI</w:t>
            </w:r>
          </w:p>
        </w:tc>
        <w:tc>
          <w:tcPr>
            <w:tcW w:w="4480" w:type="dxa"/>
            <w:vAlign w:val="bottom"/>
            <w:gridSpan w:val="3"/>
          </w:tcPr>
          <w:p>
            <w:pPr>
              <w:ind w:left="260"/>
              <w:spacing w:after="0"/>
              <w:rPr>
                <w:sz w:val="20"/>
                <w:szCs w:val="20"/>
                <w:color w:val="auto"/>
              </w:rPr>
            </w:pPr>
            <w:r>
              <w:rPr>
                <w:rFonts w:ascii="Arial" w:cs="Arial" w:eastAsia="Arial" w:hAnsi="Arial"/>
                <w:sz w:val="18"/>
                <w:szCs w:val="18"/>
                <w:color w:val="auto"/>
              </w:rPr>
              <w:t>Vice President and Chief Accounting Officer</w:t>
            </w:r>
          </w:p>
        </w:tc>
        <w:tc>
          <w:tcPr>
            <w:tcW w:w="212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940" w:type="dxa"/>
            <w:vAlign w:val="bottom"/>
            <w:gridSpan w:val="4"/>
            <w:vMerge w:val="restart"/>
          </w:tcPr>
          <w:p>
            <w:pPr>
              <w:jc w:val="center"/>
              <w:ind w:right="1500"/>
              <w:spacing w:after="0"/>
              <w:rPr>
                <w:sz w:val="20"/>
                <w:szCs w:val="20"/>
                <w:color w:val="auto"/>
              </w:rPr>
            </w:pPr>
            <w:r>
              <w:rPr>
                <w:rFonts w:ascii="Arial" w:cs="Arial" w:eastAsia="Arial" w:hAnsi="Arial"/>
                <w:sz w:val="14"/>
                <w:szCs w:val="14"/>
                <w:b w:val="1"/>
                <w:bCs w:val="1"/>
                <w:color w:val="auto"/>
                <w:w w:val="95"/>
              </w:rPr>
              <w:t>George J. Mangieri</w:t>
            </w:r>
          </w:p>
        </w:tc>
        <w:tc>
          <w:tcPr>
            <w:tcW w:w="4480" w:type="dxa"/>
            <w:vAlign w:val="bottom"/>
            <w:gridSpan w:val="3"/>
            <w:vMerge w:val="restart"/>
          </w:tcPr>
          <w:p>
            <w:pPr>
              <w:ind w:left="400"/>
              <w:spacing w:after="0"/>
              <w:rPr>
                <w:sz w:val="20"/>
                <w:szCs w:val="20"/>
                <w:color w:val="auto"/>
              </w:rPr>
            </w:pPr>
            <w:r>
              <w:rPr>
                <w:rFonts w:ascii="Arial" w:cs="Arial" w:eastAsia="Arial" w:hAnsi="Arial"/>
                <w:sz w:val="18"/>
                <w:szCs w:val="18"/>
                <w:color w:val="auto"/>
              </w:rPr>
              <w:t>(Principal Accounting Officer)</w:t>
            </w: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448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L. B</w:t>
            </w:r>
            <w:r>
              <w:rPr>
                <w:rFonts w:ascii="Arial" w:cs="Arial" w:eastAsia="Arial" w:hAnsi="Arial"/>
                <w:sz w:val="14"/>
                <w:szCs w:val="14"/>
                <w:color w:val="auto"/>
                <w:w w:val="98"/>
              </w:rPr>
              <w:t>ENJAMIN</w:t>
            </w:r>
            <w:r>
              <w:rPr>
                <w:rFonts w:ascii="Arial" w:cs="Arial" w:eastAsia="Arial" w:hAnsi="Arial"/>
                <w:sz w:val="18"/>
                <w:szCs w:val="18"/>
                <w:color w:val="auto"/>
                <w:w w:val="98"/>
              </w:rPr>
              <w:t xml:space="preserve"> E</w:t>
            </w:r>
            <w:r>
              <w:rPr>
                <w:rFonts w:ascii="Arial" w:cs="Arial" w:eastAsia="Arial" w:hAnsi="Arial"/>
                <w:sz w:val="14"/>
                <w:szCs w:val="14"/>
                <w:color w:val="auto"/>
                <w:w w:val="98"/>
              </w:rPr>
              <w:t>DERINGTON</w:t>
            </w:r>
          </w:p>
        </w:tc>
        <w:tc>
          <w:tcPr>
            <w:tcW w:w="4480" w:type="dxa"/>
            <w:vAlign w:val="bottom"/>
            <w:gridSpan w:val="3"/>
          </w:tcPr>
          <w:p>
            <w:pPr>
              <w:ind w:left="260"/>
              <w:spacing w:after="0"/>
              <w:rPr>
                <w:sz w:val="20"/>
                <w:szCs w:val="20"/>
                <w:color w:val="auto"/>
              </w:rPr>
            </w:pPr>
            <w:r>
              <w:rPr>
                <w:rFonts w:ascii="Arial" w:cs="Arial" w:eastAsia="Arial" w:hAnsi="Arial"/>
                <w:sz w:val="18"/>
                <w:szCs w:val="18"/>
                <w:color w:val="auto"/>
              </w:rPr>
              <w:t>Vice President, General Counsel, Secretary</w:t>
            </w:r>
          </w:p>
        </w:tc>
        <w:tc>
          <w:tcPr>
            <w:tcW w:w="212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88"/>
        </w:trPr>
        <w:tc>
          <w:tcPr>
            <w:tcW w:w="44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5"/>
              </w:rPr>
              <w:t>L. Benjamin Ederington</w:t>
            </w:r>
          </w:p>
        </w:tc>
        <w:tc>
          <w:tcPr>
            <w:tcW w:w="4480" w:type="dxa"/>
            <w:vAlign w:val="bottom"/>
            <w:gridSpan w:val="3"/>
            <w:vMerge w:val="restart"/>
          </w:tcPr>
          <w:p>
            <w:pPr>
              <w:ind w:left="400"/>
              <w:spacing w:after="0"/>
              <w:rPr>
                <w:sz w:val="20"/>
                <w:szCs w:val="20"/>
                <w:color w:val="auto"/>
              </w:rPr>
            </w:pPr>
            <w:r>
              <w:rPr>
                <w:rFonts w:ascii="Arial" w:cs="Arial" w:eastAsia="Arial" w:hAnsi="Arial"/>
                <w:sz w:val="18"/>
                <w:szCs w:val="18"/>
                <w:color w:val="auto"/>
              </w:rPr>
              <w:t>and Director</w:t>
            </w: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460" w:type="dxa"/>
            <w:vAlign w:val="bottom"/>
            <w:gridSpan w:val="5"/>
            <w:vMerge w:val="continue"/>
          </w:tcPr>
          <w:p>
            <w:pPr>
              <w:spacing w:after="0"/>
              <w:rPr>
                <w:sz w:val="10"/>
                <w:szCs w:val="10"/>
                <w:color w:val="auto"/>
              </w:rPr>
            </w:pPr>
          </w:p>
        </w:tc>
        <w:tc>
          <w:tcPr>
            <w:tcW w:w="448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52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80" w:type="dxa"/>
            <w:vAlign w:val="bottom"/>
          </w:tcPr>
          <w:p>
            <w:pPr>
              <w:spacing w:after="0"/>
              <w:rPr>
                <w:sz w:val="24"/>
                <w:szCs w:val="24"/>
                <w:color w:val="auto"/>
              </w:rPr>
            </w:pPr>
          </w:p>
        </w:tc>
        <w:tc>
          <w:tcPr>
            <w:tcW w:w="2520" w:type="dxa"/>
            <w:vAlign w:val="bottom"/>
            <w:gridSpan w:val="2"/>
          </w:tcPr>
          <w:p>
            <w:pPr>
              <w:jc w:val="center"/>
              <w:ind w:right="158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C</w:t>
            </w:r>
            <w:r>
              <w:rPr>
                <w:rFonts w:ascii="Arial" w:cs="Arial" w:eastAsia="Arial" w:hAnsi="Arial"/>
                <w:sz w:val="14"/>
                <w:szCs w:val="14"/>
                <w:color w:val="auto"/>
                <w:w w:val="96"/>
              </w:rPr>
              <w:t>HAO</w:t>
            </w:r>
          </w:p>
        </w:tc>
        <w:tc>
          <w:tcPr>
            <w:tcW w:w="4480" w:type="dxa"/>
            <w:vAlign w:val="bottom"/>
            <w:gridSpan w:val="3"/>
            <w:vMerge w:val="restart"/>
          </w:tcPr>
          <w:p>
            <w:pPr>
              <w:ind w:left="260"/>
              <w:spacing w:after="0"/>
              <w:rPr>
                <w:sz w:val="20"/>
                <w:szCs w:val="20"/>
                <w:color w:val="auto"/>
              </w:rPr>
            </w:pPr>
            <w:r>
              <w:rPr>
                <w:rFonts w:ascii="Arial" w:cs="Arial" w:eastAsia="Arial" w:hAnsi="Arial"/>
                <w:sz w:val="18"/>
                <w:szCs w:val="18"/>
                <w:color w:val="auto"/>
              </w:rPr>
              <w:t>Chairman of the Board of Directors</w:t>
            </w:r>
          </w:p>
        </w:tc>
        <w:tc>
          <w:tcPr>
            <w:tcW w:w="212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480" w:type="dxa"/>
            <w:vAlign w:val="bottom"/>
            <w:gridSpan w:val="3"/>
            <w:vMerge w:val="continue"/>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00" w:type="dxa"/>
            <w:vAlign w:val="bottom"/>
            <w:gridSpan w:val="3"/>
            <w:vMerge w:val="restart"/>
          </w:tcPr>
          <w:p>
            <w:pPr>
              <w:jc w:val="center"/>
              <w:ind w:right="1740"/>
              <w:spacing w:after="0"/>
              <w:rPr>
                <w:sz w:val="20"/>
                <w:szCs w:val="20"/>
                <w:color w:val="auto"/>
              </w:rPr>
            </w:pPr>
            <w:r>
              <w:rPr>
                <w:rFonts w:ascii="Arial" w:cs="Arial" w:eastAsia="Arial" w:hAnsi="Arial"/>
                <w:sz w:val="14"/>
                <w:szCs w:val="14"/>
                <w:b w:val="1"/>
                <w:bCs w:val="1"/>
                <w:color w:val="auto"/>
                <w:w w:val="92"/>
              </w:rPr>
              <w:t>James Chao</w:t>
            </w:r>
          </w:p>
        </w:tc>
        <w:tc>
          <w:tcPr>
            <w:tcW w:w="4480" w:type="dxa"/>
            <w:vAlign w:val="bottom"/>
            <w:gridSpan w:val="3"/>
            <w:vMerge w:val="continue"/>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2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760" w:type="dxa"/>
            <w:vAlign w:val="bottom"/>
            <w:gridSpan w:val="2"/>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AX</w:t>
            </w:r>
            <w:r>
              <w:rPr>
                <w:rFonts w:ascii="Arial" w:cs="Arial" w:eastAsia="Arial" w:hAnsi="Arial"/>
                <w:sz w:val="18"/>
                <w:szCs w:val="18"/>
                <w:color w:val="auto"/>
              </w:rPr>
              <w:t xml:space="preserve"> L. L</w:t>
            </w:r>
            <w:r>
              <w:rPr>
                <w:rFonts w:ascii="Arial" w:cs="Arial" w:eastAsia="Arial" w:hAnsi="Arial"/>
                <w:sz w:val="14"/>
                <w:szCs w:val="14"/>
                <w:color w:val="auto"/>
              </w:rPr>
              <w:t>UKENS</w:t>
            </w:r>
          </w:p>
        </w:tc>
        <w:tc>
          <w:tcPr>
            <w:tcW w:w="448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212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480" w:type="dxa"/>
            <w:vAlign w:val="bottom"/>
            <w:gridSpan w:val="3"/>
            <w:vMerge w:val="continue"/>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00" w:type="dxa"/>
            <w:vAlign w:val="bottom"/>
            <w:gridSpan w:val="3"/>
            <w:vMerge w:val="restart"/>
          </w:tcPr>
          <w:p>
            <w:pPr>
              <w:jc w:val="center"/>
              <w:ind w:right="1760"/>
              <w:spacing w:after="0"/>
              <w:rPr>
                <w:sz w:val="20"/>
                <w:szCs w:val="20"/>
                <w:color w:val="auto"/>
              </w:rPr>
            </w:pPr>
            <w:r>
              <w:rPr>
                <w:rFonts w:ascii="Arial" w:cs="Arial" w:eastAsia="Arial" w:hAnsi="Arial"/>
                <w:sz w:val="14"/>
                <w:szCs w:val="14"/>
                <w:b w:val="1"/>
                <w:bCs w:val="1"/>
                <w:color w:val="auto"/>
                <w:w w:val="97"/>
              </w:rPr>
              <w:t>Max L. Lukens</w:t>
            </w:r>
          </w:p>
        </w:tc>
        <w:tc>
          <w:tcPr>
            <w:tcW w:w="4480" w:type="dxa"/>
            <w:vAlign w:val="bottom"/>
            <w:gridSpan w:val="3"/>
            <w:vMerge w:val="continue"/>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2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760" w:type="dxa"/>
            <w:vAlign w:val="bottom"/>
            <w:gridSpan w:val="2"/>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NGELA</w:t>
            </w:r>
            <w:r>
              <w:rPr>
                <w:rFonts w:ascii="Arial" w:cs="Arial" w:eastAsia="Arial" w:hAnsi="Arial"/>
                <w:sz w:val="18"/>
                <w:szCs w:val="18"/>
                <w:color w:val="auto"/>
              </w:rPr>
              <w:t xml:space="preserve"> M</w:t>
            </w:r>
            <w:r>
              <w:rPr>
                <w:rFonts w:ascii="Arial" w:cs="Arial" w:eastAsia="Arial" w:hAnsi="Arial"/>
                <w:sz w:val="14"/>
                <w:szCs w:val="14"/>
                <w:color w:val="auto"/>
              </w:rPr>
              <w:t>INAS</w:t>
            </w:r>
          </w:p>
        </w:tc>
        <w:tc>
          <w:tcPr>
            <w:tcW w:w="448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212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480" w:type="dxa"/>
            <w:vAlign w:val="bottom"/>
            <w:gridSpan w:val="3"/>
            <w:vMerge w:val="continue"/>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00" w:type="dxa"/>
            <w:vAlign w:val="bottom"/>
            <w:gridSpan w:val="3"/>
            <w:vMerge w:val="restart"/>
          </w:tcPr>
          <w:p>
            <w:pPr>
              <w:jc w:val="center"/>
              <w:ind w:right="1740"/>
              <w:spacing w:after="0"/>
              <w:rPr>
                <w:sz w:val="20"/>
                <w:szCs w:val="20"/>
                <w:color w:val="auto"/>
              </w:rPr>
            </w:pPr>
            <w:r>
              <w:rPr>
                <w:rFonts w:ascii="Arial" w:cs="Arial" w:eastAsia="Arial" w:hAnsi="Arial"/>
                <w:sz w:val="14"/>
                <w:szCs w:val="14"/>
                <w:b w:val="1"/>
                <w:bCs w:val="1"/>
                <w:color w:val="auto"/>
                <w:w w:val="93"/>
              </w:rPr>
              <w:t>Angela Minas</w:t>
            </w:r>
          </w:p>
        </w:tc>
        <w:tc>
          <w:tcPr>
            <w:tcW w:w="4480" w:type="dxa"/>
            <w:vAlign w:val="bottom"/>
            <w:gridSpan w:val="3"/>
            <w:vMerge w:val="continue"/>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2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ANDY</w:t>
            </w:r>
            <w:r>
              <w:rPr>
                <w:rFonts w:ascii="Arial" w:cs="Arial" w:eastAsia="Arial" w:hAnsi="Arial"/>
                <w:sz w:val="18"/>
                <w:szCs w:val="18"/>
                <w:color w:val="auto"/>
              </w:rPr>
              <w:t xml:space="preserve"> W</w:t>
            </w:r>
            <w:r>
              <w:rPr>
                <w:rFonts w:ascii="Arial" w:cs="Arial" w:eastAsia="Arial" w:hAnsi="Arial"/>
                <w:sz w:val="14"/>
                <w:szCs w:val="14"/>
                <w:color w:val="auto"/>
              </w:rPr>
              <w:t>OELFEL</w:t>
            </w:r>
          </w:p>
        </w:tc>
        <w:tc>
          <w:tcPr>
            <w:tcW w:w="448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212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480" w:type="dxa"/>
            <w:vAlign w:val="bottom"/>
            <w:gridSpan w:val="3"/>
            <w:vMerge w:val="continue"/>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00" w:type="dxa"/>
            <w:vAlign w:val="bottom"/>
            <w:gridSpan w:val="3"/>
            <w:vMerge w:val="restart"/>
          </w:tcPr>
          <w:p>
            <w:pPr>
              <w:jc w:val="center"/>
              <w:ind w:right="1740"/>
              <w:spacing w:after="0"/>
              <w:rPr>
                <w:sz w:val="20"/>
                <w:szCs w:val="20"/>
                <w:color w:val="auto"/>
              </w:rPr>
            </w:pPr>
            <w:r>
              <w:rPr>
                <w:rFonts w:ascii="Arial" w:cs="Arial" w:eastAsia="Arial" w:hAnsi="Arial"/>
                <w:sz w:val="14"/>
                <w:szCs w:val="14"/>
                <w:b w:val="1"/>
                <w:bCs w:val="1"/>
                <w:color w:val="auto"/>
                <w:w w:val="95"/>
              </w:rPr>
              <w:t>Randy Woelfel</w:t>
            </w:r>
          </w:p>
        </w:tc>
        <w:tc>
          <w:tcPr>
            <w:tcW w:w="4480" w:type="dxa"/>
            <w:vAlign w:val="bottom"/>
            <w:gridSpan w:val="3"/>
            <w:vMerge w:val="continue"/>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700" w:type="dxa"/>
            <w:vAlign w:val="bottom"/>
            <w:gridSpan w:val="3"/>
            <w:vMerge w:val="continue"/>
          </w:tcPr>
          <w:p>
            <w:pPr>
              <w:spacing w:after="0"/>
              <w:rPr>
                <w:sz w:val="4"/>
                <w:szCs w:val="4"/>
                <w:color w:val="auto"/>
              </w:rPr>
            </w:pPr>
          </w:p>
        </w:tc>
        <w:tc>
          <w:tcPr>
            <w:tcW w:w="2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9"/>
        </w:trPr>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80" w:type="dxa"/>
            <w:vAlign w:val="bottom"/>
          </w:tcPr>
          <w:p>
            <w:pPr>
              <w:ind w:left="116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2" w:right="3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is a summary of Westlake Chemical Partners LP’s (“we,” “us” and “our”) common units, but this summary does not purport to be complete and is subject to and qualified by reference to our prospectus filed in connection with our initial public offering (our “IPO”) and to provisions of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Common Units</w:t>
      </w:r>
    </w:p>
    <w:p>
      <w:pPr>
        <w:spacing w:after="0" w:line="36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common units are a class of limited partner interests in us. The holders of common units are entitled to participate in partnership distributions and exercise the rights or privileges available to limited partners under our partnership agreement. For a description of the rights of holders of common units in and to distributions, please read this section and “How We Make Distributions to Our Partners.” For a description of voting rights, rights of distribution upon liquidation and other rights and privileges of limited partners, including our common units under our partnership agreement, please read “The Partnership Agreement.”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w:t>
      </w:r>
    </w:p>
    <w:p>
      <w:pPr>
        <w:spacing w:after="0" w:line="364"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Upon the transfer of a common unit in accordance with our partnership agreement, the transferee of the common unit shall be admitted as a limited partner with respect to the common units transferred when such transfer and admission are reflected in our books and records. Each transferee:</w:t>
      </w:r>
    </w:p>
    <w:p>
      <w:pPr>
        <w:spacing w:after="0" w:line="83"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automatically becomes bound by the terms and conditions of our partnership agreement;</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enter into our partnership agreement;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makes the consents, acknowledgements and waivers contained in our partnership agreement.</w:t>
      </w:r>
    </w:p>
    <w:p>
      <w:pPr>
        <w:spacing w:after="0" w:line="36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general partner will cause any transfers to be recorded on our books and records from time to time (or shall cause the transfer agent to do so, as applicable).</w:t>
      </w:r>
    </w:p>
    <w:p>
      <w:pPr>
        <w:spacing w:after="0" w:line="30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282"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Common units are securities and any transfers are subject to the laws governing the transfer of securities. In addition to other rights acquired upon transfer, the transferor gives the transferee the right to become a substituted limited partner in our partnership for the transferred common units.</w:t>
      </w:r>
    </w:p>
    <w:p>
      <w:pPr>
        <w:spacing w:after="0" w:line="25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Until a common unit has been transferred on our books, we and the transfer agent may treat the record holder of the common unit as the absolute owner for all purposes, except as otherwise required by law or stock exchange regulations.</w:t>
      </w:r>
    </w:p>
    <w:p>
      <w:pPr>
        <w:sectPr>
          <w:pgSz w:w="11900" w:h="16838" w:orient="portrait"/>
          <w:cols w:equalWidth="0" w:num="1">
            <w:col w:w="11420"/>
          </w:cols>
          <w:pgMar w:left="240" w:top="810"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How We Make Distributions To Our Partners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36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common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common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Westlake Chemical OpCo LP.</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Surplus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define operating surplus as:</w:t>
      </w:r>
    </w:p>
    <w:p>
      <w:pPr>
        <w:spacing w:after="0" w:line="18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$28.0 million (as described below); plus</w:t>
      </w:r>
    </w:p>
    <w:p>
      <w:pPr>
        <w:spacing w:after="0" w:line="184" w:lineRule="exact"/>
        <w:rPr>
          <w:rFonts w:ascii="Arial" w:cs="Arial" w:eastAsia="Arial" w:hAnsi="Arial"/>
          <w:sz w:val="18"/>
          <w:szCs w:val="18"/>
          <w:color w:val="auto"/>
        </w:rPr>
      </w:pPr>
    </w:p>
    <w:p>
      <w:pPr>
        <w:jc w:val="both"/>
        <w:ind w:left="660" w:right="260" w:hanging="652"/>
        <w:spacing w:after="0" w:line="286"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of our cash receipts after August 4, 2014 (i.e., the closing date of our IPO), excluding cash from interim capital transactions (as defined below) and provided that cash receipts from the termination of any hedge contract prior to its stipulated settlement or termination date will be included in equal quarterly installments over the remaining scheduled life of such hedge contract had it not been terminated; plus</w:t>
      </w:r>
    </w:p>
    <w:p>
      <w:pPr>
        <w:spacing w:after="0" w:line="125" w:lineRule="exact"/>
        <w:rPr>
          <w:rFonts w:ascii="Arial" w:cs="Arial" w:eastAsia="Arial" w:hAnsi="Arial"/>
          <w:sz w:val="17"/>
          <w:szCs w:val="17"/>
          <w:color w:val="auto"/>
        </w:rPr>
      </w:pPr>
    </w:p>
    <w:p>
      <w:pPr>
        <w:ind w:left="660" w:hanging="652"/>
        <w:spacing w:after="0" w:line="279"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cash distributions paid in respect of equity issued (including incremental distributions on incentive distribution rights, other than equity issued in our IPO) to finance all or a portion of expansion capital expenditures in respect of the period that commences when we enter into a binding obligation for the acquisition, construction, development or expansion and ending on the earlier to occur of the date any acquisition, construction, development or expansion commences commercial service and the date that it is disposed of or abandoned; plus</w:t>
      </w:r>
    </w:p>
    <w:p>
      <w:pPr>
        <w:spacing w:after="0" w:line="130" w:lineRule="exact"/>
        <w:rPr>
          <w:rFonts w:ascii="Arial" w:cs="Arial" w:eastAsia="Arial" w:hAnsi="Arial"/>
          <w:sz w:val="17"/>
          <w:szCs w:val="17"/>
          <w:color w:val="auto"/>
        </w:rPr>
      </w:pPr>
    </w:p>
    <w:p>
      <w:pPr>
        <w:ind w:left="660" w:hanging="652"/>
        <w:spacing w:after="0" w:line="25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distributions paid in respect of equity issued (including incremental distributions on incentive distribution rights) to pay the construction period interest on debt incurred, or to pay construction period distributions on equity issued, to finance the expansion capital expenditures referred to above, in each case, in respect of the period that commences when we enter into a binding obligation for the acquisition, construction, development or expansion and ending on the earlier to occur of the date any acquisition, construction, development or expansion commences commercial service and the date that it is disposed of or abandoned; less</w:t>
      </w:r>
    </w:p>
    <w:p>
      <w:pPr>
        <w:spacing w:after="0" w:line="147"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operating expenditures (as defined below) after the closing of our IPO; less</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 to provide funds for future operating expenditures; less</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working capital borrowings not repaid within twelve months after having been incurred; less</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cash loss realized on disposition of an investment capital expenditure.</w:t>
      </w:r>
    </w:p>
    <w:p>
      <w:pPr>
        <w:spacing w:after="0" w:line="36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Disbursements made, cash received (including working capital borrowings) or cash reserves established, increased or reduced after the end of a period but on or before the date on which cash or cash equivalents will be distributed, with respect to such period, shall be deemed to have been made, received, established, increased or reduced, for purposes of determining operating surplus, within such period if our general partner so determines. Operating surplus is not limited to cash generated by our operations. For example, it includes a basket of $28.0 million that enables us, if we choose, to distribute as operating surplus cash we receive in the future from non-operating sources such as asset sales, issuances of securities and long-term borrowings that would otherwise be distributed as capital surplus. In addition, the effect of including, as described above, certain cash distributions on equity interests in operating surplus will be to increase operating surplus by the amount of any</w:t>
      </w:r>
    </w:p>
    <w:p>
      <w:pPr>
        <w:sectPr>
          <w:pgSz w:w="11900" w:h="16838" w:orient="portrait"/>
          <w:cols w:equalWidth="0" w:num="1">
            <w:col w:w="11420"/>
          </w:cols>
          <w:pgMar w:left="240" w:top="1242" w:right="239" w:bottom="1440" w:gutter="0" w:footer="0" w:header="0"/>
        </w:sectPr>
      </w:pPr>
    </w:p>
    <w:bookmarkStart w:id="97" w:name="page98"/>
    <w:bookmarkEnd w:id="97"/>
    <w:p>
      <w:pPr>
        <w:ind w:right="620"/>
        <w:spacing w:after="0" w:line="277" w:lineRule="auto"/>
        <w:rPr>
          <w:sz w:val="20"/>
          <w:szCs w:val="20"/>
          <w:color w:val="auto"/>
        </w:rPr>
      </w:pPr>
      <w:r>
        <w:rPr>
          <w:rFonts w:ascii="Arial" w:cs="Arial" w:eastAsia="Arial" w:hAnsi="Arial"/>
          <w:sz w:val="18"/>
          <w:szCs w:val="18"/>
          <w:color w:val="auto"/>
        </w:rPr>
        <w:t>such cash distributions. As a result, we may also distribute as operating surplus up to the amount of any such cash that we receive from non-operating sources.</w:t>
      </w:r>
    </w:p>
    <w:p>
      <w:pPr>
        <w:spacing w:after="0" w:line="30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proceeds of working capital borrowings increase operating surplus and repayments of working capital borrowings are generally operating expenditures, as described below, and thus reduce operating surplus when made. However, if a working capital borrowing is not repaid during the 12-month period following the borrowing, it will be deducted from operating surplus at the end of such period, thus decreasing operating surplus at such time. When such working capital borrowing is in fact repaid, it will be excluded from operating expenditures because operating surplus will have been previously reduced by the deduction.</w:t>
      </w:r>
    </w:p>
    <w:p>
      <w:pPr>
        <w:spacing w:after="0" w:line="32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define operating expenditures in our partnership agreement, and it generally means all of our cash expenditures, including, but not limited to, taxes, reimbursement of expenses to our general partner or its affiliates, payments made under hedge contracts (provided that (i) with respect to amounts paid in connection with the initial purchase of a hedge contract, such amounts will be amortized over the life of the applicable hedge contract, and (ii) payments made in connection with the termination of any hedge contract prior to the expiration of its stipulated settlement or termination date will be included in operating expenditures in equal quarterly installments over the remaining scheduled life of such hedge contract), officer and director compensation, repayment of working capital borrowings, interest on indebtedness and maintenance capital expenditures (as discussed in further detail below), provided that operating expenditures will not include:</w:t>
      </w:r>
    </w:p>
    <w:p>
      <w:pPr>
        <w:spacing w:after="0" w:line="149" w:lineRule="exact"/>
        <w:rPr>
          <w:sz w:val="20"/>
          <w:szCs w:val="20"/>
          <w:color w:val="auto"/>
        </w:rPr>
      </w:pPr>
    </w:p>
    <w:p>
      <w:pPr>
        <w:ind w:left="660" w:right="40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repayment of working capital borrowings deducted from operating surplus pursuant to the penultimate bullet point of the definition of operating surplus above when such repayment actually occurs;</w:t>
      </w:r>
    </w:p>
    <w:p>
      <w:pPr>
        <w:spacing w:after="0" w:line="129"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payments (including prepayments and prepayment penalties and the purchase price of indebtedness that is repurchased and cancelled) of principal of and premium on indebtedness, other than working capital borrowings;</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expansion capital expenditures;</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 capital expenditures;</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 of transaction expenses relating to interim capital transactions;</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distributions to our partners (including distributions in respect of our incentive distribution rights);</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repurchases of equity interests except to fund obligations under employee benefit plans; or</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expenditures or payments using proceeds from offerings of capital stock or debt in the partnership.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Surplus</w:t>
      </w:r>
    </w:p>
    <w:p>
      <w:pPr>
        <w:spacing w:after="0" w:line="36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Capital surplus is defined in our partnership agreement as any cash distributed in excess of our operating surplus. Accordingly, capital surplus would generally be generated only by the following (which we refer to as “interim capital transactions”):</w:t>
      </w:r>
    </w:p>
    <w:p>
      <w:pPr>
        <w:spacing w:after="0" w:line="130"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equity interests;</w:t>
      </w:r>
    </w:p>
    <w:p>
      <w:pPr>
        <w:spacing w:after="0" w:line="184"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assets sold in the ordinary course of business or as part of normal retirement or replacement of assets; and</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capital contributions received.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36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partnership agreement provides that we treat all cash distributed as coming from operating surplus until the sum of all cash distributed since the closing date of our IPO (other than any distributions of proceeds of our IPO), equals the operating surplus from the closing of our IPO. Our partnership agreement provides that we treat any amount distributed in excess of operating surplus, regardless of its source, as distributions of capital surplus. We do not anticipate that we will make any distributions from capital surplus.</w:t>
      </w:r>
    </w:p>
    <w:p>
      <w:pPr>
        <w:sectPr>
          <w:pgSz w:w="11900" w:h="16838" w:orient="portrait"/>
          <w:cols w:equalWidth="0" w:num="1">
            <w:col w:w="11420"/>
          </w:cols>
          <w:pgMar w:left="240" w:top="989" w:right="239" w:bottom="144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ectPr>
          <w:pgSz w:w="11900" w:h="16838" w:orient="portrait"/>
          <w:cols w:equalWidth="0" w:num="1">
            <w:col w:w="11420"/>
          </w:cols>
          <w:pgMar w:left="240" w:top="989" w:right="239" w:bottom="1440" w:gutter="0" w:footer="0" w:header="0"/>
          <w:type w:val="continuous"/>
        </w:sectPr>
      </w:pPr>
    </w:p>
    <w:bookmarkStart w:id="98" w:name="page99"/>
    <w:bookmarkEnd w:id="98"/>
    <w:p>
      <w:pPr>
        <w:ind w:right="120" w:firstLine="324"/>
        <w:spacing w:after="0" w:line="302" w:lineRule="auto"/>
        <w:rPr>
          <w:sz w:val="20"/>
          <w:szCs w:val="20"/>
          <w:color w:val="auto"/>
        </w:rPr>
      </w:pPr>
      <w:r>
        <w:rPr>
          <w:rFonts w:ascii="Arial" w:cs="Arial" w:eastAsia="Arial" w:hAnsi="Arial"/>
          <w:sz w:val="16"/>
          <w:szCs w:val="16"/>
          <w:color w:val="auto"/>
        </w:rPr>
        <w:t>Maintenance capital expenditures reduce operating surplus, but expansion capital expenditures and investment capital expenditures do not. Maintenance capital expenditures are those cash expenditures made to maintain our long-term operating capacity or net income. Examples of maintenance capital expenditures include expenditures associated with the replacement of equipment, to the extent such expenditures are made to maintain our long-term operating capacity or net income. Cash expenditures made solely for investment purposes are not considered maintenance capital expenditures.</w:t>
      </w:r>
    </w:p>
    <w:p>
      <w:pPr>
        <w:spacing w:after="0" w:line="28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Expansion capital expenditures are those cash expenditures, including transaction expenses, made to increase our operating capacity or net income over the long term. Examples of expansion capital expenditures include the acquisition of equipment, development of a new facility or the expansion of an existing facility, to the extent such expenditures are expected to expand our long-term operating capacity or net income. Expansion capital expenditures also include interest (and related fees) on debt incurred and distributions on equity issued (including incremental distributions on incentive distribution rights) to finance all or any portion of such acquisition, construction, development or expansion in respect of the period that commences when we enter into a binding obligation for the acquisition, construction, development or expansion and ending on the earlier to occur of the date any acquisition, construction, development or expansion commences commercial service and the date that it is disposed of or abandoned. Expenditures made solely for investment purposes are not considered expansion capital expenditures.</w:t>
      </w:r>
    </w:p>
    <w:p>
      <w:pPr>
        <w:spacing w:after="0" w:line="31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Investment capital expenditures are those capital expenditures, including transaction expenses, that are neither maintenance capital expenditures nor expansion capital expenditures. Investment capital expenditures largely consist of capital expenditures made for investment purposes. Examples of investment capital expenditures include traditional capital expenditures for investment purposes, such as purchases of securities, as well as other cash expenditures that might be made in lieu of such traditional investment capital expenditures, such as the acquisition of an asset for investment purposes or development of assets that are in excess of the maintenance of our existing operating capacity or net income, but which are not expected to expand, for more than the short term, our operating capacity or net income.</w:t>
      </w:r>
    </w:p>
    <w:p>
      <w:pPr>
        <w:spacing w:after="0" w:line="32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described above, neither investment capital expenditures nor expansion capital expenditures are operating expenditures, and thus do not reduce operating surplus. Because expansion capital expenditures include interest payments (and related fees) on debt incurred to finance all or a portion of an acquisition, development or expansion in respect of a period that begins when we enter into a binding obligation for an acquisition, construction, development or expansion and ends on the earlier to occur of the date on which such acquisition, construction, development or expansion commences commercial service and the date that it is abandoned or disposed of, such interest payments also do not reduce operating surplus. Losses on disposition of an investment capital expenditure reduce operating surplus when realized and cash receipts from an investment capital expenditure are treated as a cash receipt for purposes of calculating operating surplus only to the extent the cash receipt is a return on principal.</w:t>
      </w:r>
    </w:p>
    <w:p>
      <w:pPr>
        <w:spacing w:after="0" w:line="313"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Cash expenditures that are made in part for maintenance capital purposes, investment capital purposes or expansion capital purposes are allocated as maintenance capital expenditures, investment capital expenditures or expansion capital expenditures by our general partner.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we make distributions of cash from operating surplus, our partnership agreement requires that we make the distribution in the following manner:</w:t>
      </w:r>
    </w:p>
    <w:p>
      <w:pPr>
        <w:spacing w:after="0" w:line="196" w:lineRule="exact"/>
        <w:rPr>
          <w:sz w:val="20"/>
          <w:szCs w:val="20"/>
          <w:color w:val="auto"/>
        </w:rPr>
      </w:pPr>
    </w:p>
    <w:p>
      <w:pPr>
        <w:ind w:left="660" w:right="24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all common unitholders, pro rata, until we distribute for each common unit an amount equal to the minimum quarterly distribution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and</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“—Incentive Distribution Rights” below.</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364"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364"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Incentive distribution rights represent the right to receive increasing percentages (15.0%, 25.0% and 50.0%) of quarterly distributions from operating surplus after the minimum quarterly distribution and the target distribution levels have been achieved. Our general partner currently holds the incentive distribution rights, but may transfer these rights separately from its general partner interest.</w:t>
      </w:r>
    </w:p>
    <w:p>
      <w:pPr>
        <w:sectPr>
          <w:pgSz w:w="11900" w:h="16838" w:orient="portrait"/>
          <w:cols w:equalWidth="0" w:num="1">
            <w:col w:w="11420"/>
          </w:cols>
          <w:pgMar w:left="240" w:top="989" w:right="239" w:bottom="1440" w:gutter="0" w:footer="0" w:header="0"/>
        </w:sectPr>
      </w:pPr>
    </w:p>
    <w:bookmarkStart w:id="99" w:name="page100"/>
    <w:bookmarkEnd w:id="99"/>
    <w:p>
      <w:pPr>
        <w:ind w:left="340"/>
        <w:spacing w:after="0"/>
        <w:rPr>
          <w:sz w:val="20"/>
          <w:szCs w:val="20"/>
          <w:color w:val="auto"/>
        </w:rPr>
      </w:pPr>
      <w:r>
        <w:rPr>
          <w:rFonts w:ascii="Arial" w:cs="Arial" w:eastAsia="Arial" w:hAnsi="Arial"/>
          <w:sz w:val="18"/>
          <w:szCs w:val="18"/>
          <w:color w:val="auto"/>
        </w:rPr>
        <w:t>If for any quarter:</w:t>
      </w:r>
    </w:p>
    <w:p>
      <w:pPr>
        <w:spacing w:after="0" w:line="360"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have distributed cash from operating surplus to the common unitholders in an amount equal to the minimum quarterly distribution; and</w:t>
      </w:r>
    </w:p>
    <w:p>
      <w:pPr>
        <w:spacing w:after="0" w:line="371" w:lineRule="exact"/>
        <w:rPr>
          <w:rFonts w:ascii="Arial" w:cs="Arial" w:eastAsia="Arial" w:hAnsi="Arial"/>
          <w:sz w:val="17"/>
          <w:szCs w:val="17"/>
          <w:color w:val="auto"/>
        </w:rPr>
      </w:pPr>
    </w:p>
    <w:p>
      <w:pPr>
        <w:ind w:left="980" w:right="26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have distributed cash from operating surplus to the common unitholders in an amount necessary to eliminate any cumulative arrearages in payment of the minimum quarterly distribution;</w:t>
      </w:r>
    </w:p>
    <w:p>
      <w:pPr>
        <w:spacing w:after="0" w:line="30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then we will make additional distributions from operating surplus for that quarter among the common unitholders and the holders of the incentive distribution rights in the following manner:</w:t>
      </w:r>
    </w:p>
    <w:p>
      <w:pPr>
        <w:spacing w:after="0" w:line="130" w:lineRule="exact"/>
        <w:rPr>
          <w:sz w:val="20"/>
          <w:szCs w:val="20"/>
          <w:color w:val="auto"/>
        </w:rPr>
      </w:pPr>
    </w:p>
    <w:p>
      <w:pPr>
        <w:ind w:left="660" w:right="72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all common unitholders, pro rata, until each common unitholder receives a total of $1.2938 per unit for that quarter (the “first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w:t>
      </w:r>
    </w:p>
    <w:p>
      <w:pPr>
        <w:spacing w:after="0" w:line="129"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85.0% to all common unitholders, pro rata, and 15.0% to the holders of our incentive distribution rights, until each common unitholder</w:t>
      </w:r>
      <w:r>
        <w:rPr>
          <w:rFonts w:ascii="Arial" w:cs="Arial" w:eastAsia="Arial" w:hAnsi="Arial"/>
          <w:sz w:val="18"/>
          <w:szCs w:val="18"/>
          <w:i w:val="1"/>
          <w:iCs w:val="1"/>
          <w:color w:val="auto"/>
        </w:rPr>
        <w:t xml:space="preserve"> </w:t>
      </w:r>
      <w:r>
        <w:rPr>
          <w:rFonts w:ascii="Arial" w:cs="Arial" w:eastAsia="Arial" w:hAnsi="Arial"/>
          <w:sz w:val="18"/>
          <w:szCs w:val="18"/>
          <w:color w:val="auto"/>
        </w:rPr>
        <w:t>receives a total of $1.4063 per unit for that quarter (the “second target distribution”);</w:t>
      </w:r>
    </w:p>
    <w:p>
      <w:pPr>
        <w:spacing w:after="0" w:line="129" w:lineRule="exact"/>
        <w:rPr>
          <w:rFonts w:ascii="Arial" w:cs="Arial" w:eastAsia="Arial" w:hAnsi="Arial"/>
          <w:sz w:val="18"/>
          <w:szCs w:val="18"/>
          <w:color w:val="auto"/>
        </w:rPr>
      </w:pPr>
    </w:p>
    <w:p>
      <w:pPr>
        <w:ind w:left="660" w:right="62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75.0% to all common unitholders, pro rata, and 25.0% to the holders of our incentive distribution rights, until each common unitholder</w:t>
      </w:r>
      <w:r>
        <w:rPr>
          <w:rFonts w:ascii="Arial" w:cs="Arial" w:eastAsia="Arial" w:hAnsi="Arial"/>
          <w:sz w:val="18"/>
          <w:szCs w:val="18"/>
          <w:i w:val="1"/>
          <w:iCs w:val="1"/>
          <w:color w:val="auto"/>
        </w:rPr>
        <w:t xml:space="preserve"> </w:t>
      </w:r>
      <w:r>
        <w:rPr>
          <w:rFonts w:ascii="Arial" w:cs="Arial" w:eastAsia="Arial" w:hAnsi="Arial"/>
          <w:sz w:val="18"/>
          <w:szCs w:val="18"/>
          <w:color w:val="auto"/>
        </w:rPr>
        <w:t>receives a total of $1.6875 per unit for that quarter (the “third target distribution”); and</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all common unitholders, pro rata, and 50.0% to the holders of our incentive distribution rights.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Allocations of Distributions From Operating Surplus</w:t>
      </w:r>
    </w:p>
    <w:p>
      <w:pPr>
        <w:spacing w:after="0" w:line="36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following table illustrates the percentage allocations of distributions from operating surplus between the common unitholders and the holders of our incentive distribution rights based on the specified target distribution levels. The amounts set forth under the column heading “Marginal Percentage Interest in Distributions” are the percentage interests of the holders of our incentive distribution rights and the common unitholders in any distributions from operating surplus we distribute up to and including the corresponding amount in the column “Total Quarterly Distribution Per Unit.” The percentage interests shown for our common unitholders and the holders of our incentive distribution rights for the minimum quarterly distribution are also applicable to quarterly distribution amounts that are less than the minimum quarterly distribution. The percentage interests set forth below assume there are no arrearages on common units.</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1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Marginal Percentage Interest in</w:t>
            </w:r>
          </w:p>
        </w:tc>
      </w:tr>
      <w:tr>
        <w:trPr>
          <w:trHeight w:val="234"/>
        </w:trPr>
        <w:tc>
          <w:tcPr>
            <w:tcW w:w="30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14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Distributions</w:t>
            </w:r>
          </w:p>
        </w:tc>
      </w:tr>
      <w:tr>
        <w:trPr>
          <w:trHeight w:val="252"/>
        </w:trPr>
        <w:tc>
          <w:tcPr>
            <w:tcW w:w="3060" w:type="dxa"/>
            <w:vAlign w:val="bottom"/>
          </w:tcPr>
          <w:p>
            <w:pPr>
              <w:spacing w:after="0"/>
              <w:rPr>
                <w:sz w:val="21"/>
                <w:szCs w:val="21"/>
                <w:color w:val="auto"/>
              </w:rPr>
            </w:pPr>
          </w:p>
        </w:tc>
        <w:tc>
          <w:tcPr>
            <w:tcW w:w="4360" w:type="dxa"/>
            <w:vAlign w:val="bottom"/>
          </w:tcPr>
          <w:p>
            <w:pPr>
              <w:ind w:left="1200"/>
              <w:spacing w:after="0"/>
              <w:rPr>
                <w:sz w:val="20"/>
                <w:szCs w:val="20"/>
                <w:color w:val="auto"/>
              </w:rPr>
            </w:pPr>
            <w:r>
              <w:rPr>
                <w:rFonts w:ascii="Arial" w:cs="Arial" w:eastAsia="Arial" w:hAnsi="Arial"/>
                <w:sz w:val="18"/>
                <w:szCs w:val="18"/>
                <w:b w:val="1"/>
                <w:bCs w:val="1"/>
                <w:color w:val="auto"/>
              </w:rPr>
              <w:t>Total Quarterly Distribution Per Unit</w:t>
            </w:r>
          </w:p>
        </w:tc>
        <w:tc>
          <w:tcPr>
            <w:tcW w:w="1660" w:type="dxa"/>
            <w:vAlign w:val="bottom"/>
          </w:tcPr>
          <w:p>
            <w:pPr>
              <w:jc w:val="right"/>
              <w:ind w:right="530"/>
              <w:spacing w:after="0"/>
              <w:rPr>
                <w:sz w:val="20"/>
                <w:szCs w:val="20"/>
                <w:color w:val="auto"/>
              </w:rPr>
            </w:pPr>
            <w:r>
              <w:rPr>
                <w:rFonts w:ascii="Arial" w:cs="Arial" w:eastAsia="Arial" w:hAnsi="Arial"/>
                <w:sz w:val="18"/>
                <w:szCs w:val="18"/>
                <w:b w:val="1"/>
                <w:bCs w:val="1"/>
                <w:color w:val="auto"/>
              </w:rPr>
              <w:t>Common</w:t>
            </w: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rPr>
              <w:t>IDR Holders</w:t>
            </w:r>
          </w:p>
        </w:tc>
      </w:tr>
      <w:tr>
        <w:trPr>
          <w:trHeight w:val="234"/>
        </w:trPr>
        <w:tc>
          <w:tcPr>
            <w:tcW w:w="30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unitholders</w:t>
            </w:r>
          </w:p>
        </w:tc>
        <w:tc>
          <w:tcPr>
            <w:tcW w:w="1480" w:type="dxa"/>
            <w:vAlign w:val="bottom"/>
          </w:tcPr>
          <w:p>
            <w:pPr>
              <w:spacing w:after="0"/>
              <w:rPr>
                <w:sz w:val="20"/>
                <w:szCs w:val="20"/>
                <w:color w:val="auto"/>
              </w:rPr>
            </w:pP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4360" w:type="dxa"/>
            <w:vAlign w:val="bottom"/>
          </w:tcPr>
          <w:p>
            <w:pPr>
              <w:ind w:left="1120"/>
              <w:spacing w:after="0"/>
              <w:rPr>
                <w:sz w:val="20"/>
                <w:szCs w:val="20"/>
                <w:color w:val="auto"/>
              </w:rPr>
            </w:pPr>
            <w:r>
              <w:rPr>
                <w:rFonts w:ascii="Arial" w:cs="Arial" w:eastAsia="Arial" w:hAnsi="Arial"/>
                <w:sz w:val="18"/>
                <w:szCs w:val="18"/>
                <w:color w:val="auto"/>
              </w:rPr>
              <w:t>above $1.1250 up to $1.2938</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Second Target Distribution</w:t>
            </w:r>
          </w:p>
        </w:tc>
        <w:tc>
          <w:tcPr>
            <w:tcW w:w="4360" w:type="dxa"/>
            <w:vAlign w:val="bottom"/>
          </w:tcPr>
          <w:p>
            <w:pPr>
              <w:ind w:left="1120"/>
              <w:spacing w:after="0"/>
              <w:rPr>
                <w:sz w:val="20"/>
                <w:szCs w:val="20"/>
                <w:color w:val="auto"/>
              </w:rPr>
            </w:pPr>
            <w:r>
              <w:rPr>
                <w:rFonts w:ascii="Arial" w:cs="Arial" w:eastAsia="Arial" w:hAnsi="Arial"/>
                <w:sz w:val="18"/>
                <w:szCs w:val="18"/>
                <w:color w:val="auto"/>
              </w:rPr>
              <w:t>above $1.2938 up to $1.4063</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85.0%</w:t>
            </w:r>
          </w:p>
        </w:tc>
        <w:tc>
          <w:tcPr>
            <w:tcW w:w="14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4360" w:type="dxa"/>
            <w:vAlign w:val="bottom"/>
          </w:tcPr>
          <w:p>
            <w:pPr>
              <w:ind w:left="1120"/>
              <w:spacing w:after="0"/>
              <w:rPr>
                <w:sz w:val="20"/>
                <w:szCs w:val="20"/>
                <w:color w:val="auto"/>
              </w:rPr>
            </w:pPr>
            <w:r>
              <w:rPr>
                <w:rFonts w:ascii="Arial" w:cs="Arial" w:eastAsia="Arial" w:hAnsi="Arial"/>
                <w:sz w:val="18"/>
                <w:szCs w:val="18"/>
                <w:color w:val="auto"/>
              </w:rPr>
              <w:t>above $1.4063 up to $1.6875</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4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Thereafter</w:t>
            </w:r>
          </w:p>
        </w:tc>
        <w:tc>
          <w:tcPr>
            <w:tcW w:w="4360" w:type="dxa"/>
            <w:vAlign w:val="bottom"/>
          </w:tcPr>
          <w:p>
            <w:pPr>
              <w:ind w:left="1120"/>
              <w:spacing w:after="0"/>
              <w:rPr>
                <w:sz w:val="20"/>
                <w:szCs w:val="20"/>
                <w:color w:val="auto"/>
              </w:rPr>
            </w:pPr>
            <w:r>
              <w:rPr>
                <w:rFonts w:ascii="Arial" w:cs="Arial" w:eastAsia="Arial" w:hAnsi="Arial"/>
                <w:sz w:val="18"/>
                <w:szCs w:val="18"/>
                <w:color w:val="auto"/>
              </w:rPr>
              <w:t>above $1.6875</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1480" w:type="dxa"/>
            <w:vAlign w:val="bottom"/>
          </w:tcPr>
          <w:p>
            <w:pPr>
              <w:jc w:val="right"/>
              <w:spacing w:after="0"/>
              <w:rPr>
                <w:sz w:val="20"/>
                <w:szCs w:val="20"/>
                <w:color w:val="auto"/>
              </w:rPr>
            </w:pPr>
            <w:r>
              <w:rPr>
                <w:rFonts w:ascii="Arial" w:cs="Arial" w:eastAsia="Arial" w:hAnsi="Arial"/>
                <w:sz w:val="18"/>
                <w:szCs w:val="18"/>
                <w:color w:val="auto"/>
              </w:rPr>
              <w:t>50.0%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 Holders’ Right to Reset Incentive Distribution Levels</w:t>
      </w:r>
    </w:p>
    <w:p>
      <w:pPr>
        <w:spacing w:after="0" w:line="364"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Our general partner, as the initial holder of our incentive distribution rights, has the right after we have made the third target distribution for four consecutive quarters to elect to relinquish the right to receive incentive distribution payments based on the initial target distribution levels and to reset, at higher levels, the target distribution levels upon which the incentive distribution payments would be set. If our general partner transfers all or a portion of the incentive distribution rights in the future, then the holder or holders of a majority of our incentive distribution rights will be entitled to exercise this right. The following discussion assumes that our general partner holds all of the incentive distribution rights at the time that a reset election is made.</w:t>
      </w:r>
    </w:p>
    <w:p>
      <w:pPr>
        <w:spacing w:after="0" w:line="29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right to reset the target distribution levels upon which the incentive distributions are based may be exercised, without approval of our common unitholders or the conflicts committee of our general partner, at any time when we have made cash distributions in excess of the then-applicable third target distribution for the prior four consecutive fiscal quarters. The reset target distribution levels will be higher than the most recent per unit distribution level prior to the reset election and higher than the target distribution levels prior to the reset such that there will be no incentive distributions paid under the reset target distribution levels until cash distributions per unit following the reset event increase as described below. Because the reset target distribution levels will be higher than the most recent per unit distribution level prior to the reset, if we were to issue</w:t>
      </w:r>
    </w:p>
    <w:p>
      <w:pPr>
        <w:sectPr>
          <w:pgSz w:w="11900" w:h="16838" w:orient="portrait"/>
          <w:cols w:equalWidth="0" w:num="1">
            <w:col w:w="11420"/>
          </w:cols>
          <w:pgMar w:left="240" w:top="990" w:right="239" w:bottom="1440" w:gutter="0" w:footer="0" w:header="0"/>
        </w:sectPr>
      </w:pPr>
    </w:p>
    <w:bookmarkStart w:id="100" w:name="page101"/>
    <w:bookmarkEnd w:id="100"/>
    <w:p>
      <w:pPr>
        <w:ind w:right="60"/>
        <w:spacing w:after="0" w:line="273" w:lineRule="auto"/>
        <w:rPr>
          <w:sz w:val="20"/>
          <w:szCs w:val="20"/>
          <w:color w:val="auto"/>
        </w:rPr>
      </w:pPr>
      <w:r>
        <w:rPr>
          <w:rFonts w:ascii="Arial" w:cs="Arial" w:eastAsia="Arial" w:hAnsi="Arial"/>
          <w:sz w:val="17"/>
          <w:szCs w:val="17"/>
          <w:color w:val="auto"/>
        </w:rPr>
        <w:t>additional common units after the reset and maintain the per unit distribution level, no additional incentive distributions would be payable. By contrast, if there were no such reset and we were to issue additional common units and maintain the per unit distribution level, additional incentive distributions would have to be paid based on the additional number of outstanding common units and the percentage interest of the incentive distribution rights above the target distribution levels. Thus, the exercise of the reset right would lower our cost of equity capital. Our general partner could exercise this reset right in order to facilitate acquisitions or internal growth projects that would otherwise not be sufficiently accretive to cash distributions per common unit, taking into account the existing levels of incentive distribution payments being made.</w:t>
      </w:r>
    </w:p>
    <w:p>
      <w:pPr>
        <w:spacing w:after="0" w:line="31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connection with the resetting of the target distribution levels and the corresponding relinquishment by our general partner of incentive distribution payments based on the target cash distributions prior to the reset, our general partner will be entitled to receive a number of newly issued common units based on the formula described below that takes into account the “cash parity” value of the cash distributions related to the incentive distribution rights for the quarter prior to the reset event as compared to the cash distribution per common unit in such quarter.</w:t>
      </w:r>
    </w:p>
    <w:p>
      <w:pPr>
        <w:spacing w:after="0" w:line="322"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 number of common units to be issued in connection with a resetting of the minimum quarterly distribution amount and the target distribution levels would equal the quotient determined by dividing (x) the amount of cash distributions received in respect of the incentive distribution rights for the fiscal quarter ended immediately prior to the date of such reset election by (y) the amount of cash distributed per common unit with respect to such quarter.</w:t>
      </w:r>
    </w:p>
    <w:p>
      <w:pPr>
        <w:spacing w:after="0" w:line="28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Following a reset election, a baseline minimum quarterly distribution amount will be calculated as an amount equal to the cash distribution amount per unit for the fiscal quarter immediately preceding the reset election (which amount we refer to as the “reset minimum quarterly distribution”) and the target distribution levels will be reset to be correspondingly higher such that we would make distributions from operating surplus for each quarter thereafter as follows:</w:t>
      </w:r>
    </w:p>
    <w:p>
      <w:pPr>
        <w:spacing w:after="0" w:line="146" w:lineRule="exact"/>
        <w:rPr>
          <w:sz w:val="20"/>
          <w:szCs w:val="20"/>
          <w:color w:val="auto"/>
        </w:rPr>
      </w:pPr>
    </w:p>
    <w:p>
      <w:pPr>
        <w:ind w:left="660" w:right="36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all common unitholders, pro rata, until each common unitholder receives an amount per unit for that quarter equal to 115.0% of the reset</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quarterly distribution;</w:t>
      </w:r>
    </w:p>
    <w:p>
      <w:pPr>
        <w:spacing w:after="0" w:line="129"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85.0% to all common unitholders, pro rata, and 15.0% to the holders of our incentive distribution rights, until each common unitholder</w:t>
      </w:r>
      <w:r>
        <w:rPr>
          <w:rFonts w:ascii="Arial" w:cs="Arial" w:eastAsia="Arial" w:hAnsi="Arial"/>
          <w:sz w:val="18"/>
          <w:szCs w:val="18"/>
          <w:i w:val="1"/>
          <w:iCs w:val="1"/>
          <w:color w:val="auto"/>
        </w:rPr>
        <w:t xml:space="preserve"> </w:t>
      </w:r>
      <w:r>
        <w:rPr>
          <w:rFonts w:ascii="Arial" w:cs="Arial" w:eastAsia="Arial" w:hAnsi="Arial"/>
          <w:sz w:val="18"/>
          <w:szCs w:val="18"/>
          <w:color w:val="auto"/>
        </w:rPr>
        <w:t>receives an amount per unit for that quarter equal to 125.0% of the reset minimum quarterly distribution;</w:t>
      </w:r>
    </w:p>
    <w:p>
      <w:pPr>
        <w:spacing w:after="0" w:line="129" w:lineRule="exact"/>
        <w:rPr>
          <w:rFonts w:ascii="Arial" w:cs="Arial" w:eastAsia="Arial" w:hAnsi="Arial"/>
          <w:sz w:val="18"/>
          <w:szCs w:val="18"/>
          <w:color w:val="auto"/>
        </w:rPr>
      </w:pPr>
    </w:p>
    <w:p>
      <w:pPr>
        <w:ind w:left="660" w:right="60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75.0% to all common unitholders, pro rata, and 25.0% to the holders of our incentive distribution rights, until each common unitholder</w:t>
      </w:r>
      <w:r>
        <w:rPr>
          <w:rFonts w:ascii="Arial" w:cs="Arial" w:eastAsia="Arial" w:hAnsi="Arial"/>
          <w:sz w:val="17"/>
          <w:szCs w:val="17"/>
          <w:i w:val="1"/>
          <w:iCs w:val="1"/>
          <w:color w:val="auto"/>
        </w:rPr>
        <w:t xml:space="preserve"> </w:t>
      </w:r>
      <w:r>
        <w:rPr>
          <w:rFonts w:ascii="Arial" w:cs="Arial" w:eastAsia="Arial" w:hAnsi="Arial"/>
          <w:sz w:val="17"/>
          <w:szCs w:val="17"/>
          <w:color w:val="auto"/>
        </w:rPr>
        <w:t>receives an amount per unit for that quarter equal to 150.0% of the reset minimum quarterly distribution; and</w:t>
      </w:r>
    </w:p>
    <w:p>
      <w:pPr>
        <w:spacing w:after="0" w:line="106" w:lineRule="exact"/>
        <w:rPr>
          <w:rFonts w:ascii="Arial" w:cs="Arial" w:eastAsia="Arial" w:hAnsi="Arial"/>
          <w:sz w:val="17"/>
          <w:szCs w:val="17"/>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all common unitholders, pro rata, and 50.0% to the holders of our incentive distribution rights.</w:t>
      </w:r>
    </w:p>
    <w:p>
      <w:pPr>
        <w:spacing w:after="0" w:line="36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holders of our incentive distribution rights are entitled to cause the target distribution levels to be reset on more than one occasion. There are no restrictions on the ability to exercise their reset right multiple times, but the requirements for exercise must be met each time. Because one of the requirements is that we make cash distributions in excess of the then-applicable third target distribution for the prior four consecutive fiscal quarters, a minimum of four quarters must elapse between each reset.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partnership agreement requires that we make distributions from capital surplus, if any, in the following manner:</w:t>
      </w:r>
    </w:p>
    <w:p>
      <w:pPr>
        <w:spacing w:after="0" w:line="18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all common unitholders, pro rata, until the minimum quarterly distribution is reduced to zero, as described below;</w:t>
      </w:r>
    </w:p>
    <w:p>
      <w:pPr>
        <w:spacing w:after="0" w:line="18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to the common unitholders, pro rata, until we distribute for each common unit an amount from capital surplus equal to any unpaid arrearages</w:t>
      </w:r>
      <w:r>
        <w:rPr>
          <w:rFonts w:ascii="Arial" w:cs="Arial" w:eastAsia="Arial" w:hAnsi="Arial"/>
          <w:sz w:val="18"/>
          <w:szCs w:val="18"/>
          <w:i w:val="1"/>
          <w:iCs w:val="1"/>
          <w:color w:val="auto"/>
        </w:rPr>
        <w:t xml:space="preserve"> </w:t>
      </w:r>
      <w:r>
        <w:rPr>
          <w:rFonts w:ascii="Arial" w:cs="Arial" w:eastAsia="Arial" w:hAnsi="Arial"/>
          <w:sz w:val="18"/>
          <w:szCs w:val="18"/>
          <w:color w:val="auto"/>
        </w:rPr>
        <w:t>in payment of the minimum quarterly distribution on the common units; and</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from capital surplus as if they were from operating surplus.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36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partnership agreement treats a distribution of capital surplus as the repayment of the initial unit price from our IPO, which is a return of capital. Each time a distribution of capital surplus is made, the minimum quarterly distribution and the</w:t>
      </w:r>
    </w:p>
    <w:p>
      <w:pPr>
        <w:sectPr>
          <w:pgSz w:w="11900" w:h="16838" w:orient="portrait"/>
          <w:cols w:equalWidth="0" w:num="1">
            <w:col w:w="11400"/>
          </w:cols>
          <w:pgMar w:left="240" w:top="989" w:right="259" w:bottom="1440" w:gutter="0" w:footer="0" w:header="0"/>
        </w:sectPr>
      </w:pPr>
    </w:p>
    <w:bookmarkStart w:id="101" w:name="page102"/>
    <w:bookmarkEnd w:id="101"/>
    <w:p>
      <w:pPr>
        <w:ind w:right="100"/>
        <w:spacing w:after="0" w:line="302" w:lineRule="auto"/>
        <w:rPr>
          <w:sz w:val="20"/>
          <w:szCs w:val="20"/>
          <w:color w:val="auto"/>
        </w:rPr>
      </w:pPr>
      <w:r>
        <w:rPr>
          <w:rFonts w:ascii="Arial" w:cs="Arial" w:eastAsia="Arial" w:hAnsi="Arial"/>
          <w:sz w:val="16"/>
          <w:szCs w:val="16"/>
          <w:color w:val="auto"/>
        </w:rPr>
        <w:t>target distribution levels will be reduced in the same proportion as the distribution of capital surplus to the fair market value of the common units prior to the announcement of the distribution. Because distributions of capital surplus will reduce the minimum quarterly distribution and target distribution levels after any of these distributions are made, it may be easier for our general partner to receive incentive distributions. However, any distribution of capital surplus before the minimum quarterly distribution is reduced to zero cannot be applied to the payment of the minimum quarterly distribution or any arrearages.</w:t>
      </w:r>
    </w:p>
    <w:p>
      <w:pPr>
        <w:spacing w:after="0" w:line="28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Once we reduce the minimum quarterly distribution and target distribution levels to zero, all future distributions will be made such that 50.0% is paid to all common unitholders, pro rata, and 50.0% is paid to the holder or holders of incentive distribution rights, pro rata.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36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to adjusting the minimum quarterly distribution and target distribution levels to reflect a distribution of capital surplus, if we combine our common units into fewer common units or subdivide our common units into a greater number of common units, our partnership agreement specifies that the following items will be proportionately adjusted:</w:t>
      </w:r>
    </w:p>
    <w:p>
      <w:pPr>
        <w:spacing w:after="0" w:line="14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initial unit price, as described below under “—Distributions of Cash Upon Liquidation”; and</w:t>
      </w:r>
    </w:p>
    <w:p>
      <w:pPr>
        <w:spacing w:after="0" w:line="184" w:lineRule="exact"/>
        <w:rPr>
          <w:rFonts w:ascii="Arial" w:cs="Arial" w:eastAsia="Arial" w:hAnsi="Arial"/>
          <w:sz w:val="18"/>
          <w:szCs w:val="18"/>
          <w:color w:val="auto"/>
        </w:rPr>
      </w:pPr>
    </w:p>
    <w:p>
      <w:pPr>
        <w:ind w:left="340" w:right="1940" w:hanging="332"/>
        <w:spacing w:after="0" w:line="481" w:lineRule="auto"/>
        <w:tabs>
          <w:tab w:leader="none" w:pos="6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 unit amount of any outstanding arrearages in payment of the minimum quarterly distribution on the common units. We will not make any adjustment by reason of the issuance of additional units for cash or property.</w:t>
      </w:r>
    </w:p>
    <w:p>
      <w:pPr>
        <w:spacing w:after="0" w:line="1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if, as a result of a change in law or interpretation thereof, we or any of our subsidiaries is treated as an association taxable as a corporation or is otherwise subject to additional taxation as an entity for U.S. federal, state, local or non-U.S. income or withholding tax purposes, our general partner may, in its sole discretion, reduce the minimum quarterly distribution and the target distribution levels for each quarter by multiplying each distribution level by a fraction, the numerator of which is cash for that quarter (after deducting our general partner’s estimate of our additional aggregate liability for the quarter for such income and withholdings taxes payable by reason of such change in law or interpretation) and the denominator of which is the sum of (i) cash for that quarter, plus (ii) our general partner’s estimate of our additional aggregate liability for the quarter for such income and withholding taxes payable by reason of such change in law or interpretation thereof. To the extent that the actual tax liability differs from the estimated tax liability for any quarter, the difference will be accounted for in distributions with respect to subsequent quarters.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36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We will distribute any remaining proceeds to the common unitholders and the holders of the incentive distribution rights, in accordance with their capital account balances, as adjusted to reflect any gain or loss upon the sale or other disposition of our assets in liquidation.</w:t>
      </w:r>
    </w:p>
    <w:p>
      <w:pPr>
        <w:spacing w:after="0" w:line="32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allocations of gain and loss upon liquidation are intended, to the extent possible, to entitle the holders of units to a repayment of the initial value contributed by common unitholders for their units in our IPO, which we refer to as the “initial unit price” for each unit. The allocations of gain and loss upon liquidation are also intended, to the extent possible, to permit common unitholders to receive their initial unit price plus the minimum quarterly distribution for the quarter during which liquidation occurs plus any unpaid arrearages in payment of the minimum quarterly distribution on the common units. However, there may not be sufficient gain upon our liquidation to enable the common unitholders to fully recover all of these amounts. Any further net gain recognized upon liquidation will be allocated in a manner that takes into account the incentive distribution rights.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Manner of Adjustments for Gain</w:t>
      </w:r>
    </w:p>
    <w:p>
      <w:pPr>
        <w:spacing w:after="0" w:line="36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manner of the adjustment for gain is set forth in the partnership agreement. We will generally allocate any gain to the partners in the following manner:</w:t>
      </w:r>
    </w:p>
    <w:p>
      <w:pPr>
        <w:sectPr>
          <w:pgSz w:w="11900" w:h="16838" w:orient="portrait"/>
          <w:cols w:equalWidth="0" w:num="1">
            <w:col w:w="11400"/>
          </w:cols>
          <w:pgMar w:left="240" w:top="990" w:right="259" w:bottom="1440" w:gutter="0" w:footer="0" w:header="0"/>
        </w:sectPr>
      </w:pPr>
    </w:p>
    <w:bookmarkStart w:id="102" w:name="page103"/>
    <w:bookmarkEnd w:id="102"/>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our general partner to the extent of certain prior losses specially allocated to our general partner;</w:t>
      </w:r>
    </w:p>
    <w:p>
      <w:pPr>
        <w:spacing w:after="0" w:line="184"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common unitholders, pro rata, until the capital account for each common unit is equal to the sum of: (1) the initial unit price; (2)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minimum quarterly distribution for the quarter during which our liquidation occurs; and (3) any unpaid arrearages in payment of the minimum quarterly distribution;</w:t>
      </w:r>
    </w:p>
    <w:p>
      <w:pPr>
        <w:spacing w:after="0" w:line="200" w:lineRule="exact"/>
        <w:rPr>
          <w:rFonts w:ascii="Arial" w:cs="Arial" w:eastAsia="Arial" w:hAnsi="Arial"/>
          <w:sz w:val="18"/>
          <w:szCs w:val="18"/>
          <w:color w:val="auto"/>
        </w:rPr>
      </w:pPr>
    </w:p>
    <w:p>
      <w:pPr>
        <w:spacing w:after="0" w:line="332" w:lineRule="exact"/>
        <w:rPr>
          <w:rFonts w:ascii="Arial" w:cs="Arial" w:eastAsia="Arial" w:hAnsi="Arial"/>
          <w:sz w:val="18"/>
          <w:szCs w:val="18"/>
          <w:color w:val="auto"/>
        </w:rPr>
      </w:pPr>
    </w:p>
    <w:p>
      <w:pPr>
        <w:ind w:left="660" w:right="80" w:hanging="652"/>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all common unitholders, pro rata, until we allocate under this bullet an amount per unit equal to: (1) the sum of the excess of the first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per unit over the minimum quarterly distribution per unit for each quarter of our existence; less (2) the cumulative amount per unit of any distributions from operating surplus in excess of the minimum quarterly distribution per unit that we distributed to the common unitholders, pro rata, for each quarter of our existence;</w:t>
      </w:r>
    </w:p>
    <w:p>
      <w:pPr>
        <w:spacing w:after="0" w:line="146" w:lineRule="exact"/>
        <w:rPr>
          <w:rFonts w:ascii="Arial" w:cs="Arial" w:eastAsia="Arial" w:hAnsi="Arial"/>
          <w:sz w:val="18"/>
          <w:szCs w:val="18"/>
          <w:color w:val="auto"/>
        </w:rPr>
      </w:pPr>
    </w:p>
    <w:p>
      <w:pPr>
        <w:ind w:left="660" w:right="60" w:hanging="652"/>
        <w:spacing w:after="0" w:line="25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85.0% to all common unitholders, pro rata, and 15.0% to the holders of our incentive distribution rights, until we allocate under this bullet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per unit equal to: (1) the sum of the excess of the second target distribution per unit over the first target distribution per unit for each quarter of our existence; less (2) the cumulative amount per unit of any distributions from operating surplus in excess of the first target distribution per unit that we distributed 85.0% to the common unitholders, pro rata, and 15.0% to the holders of our incentive distribution rights for each quarter of our existence;</w:t>
      </w:r>
    </w:p>
    <w:p>
      <w:pPr>
        <w:spacing w:after="0" w:line="147" w:lineRule="exact"/>
        <w:rPr>
          <w:rFonts w:ascii="Arial" w:cs="Arial" w:eastAsia="Arial" w:hAnsi="Arial"/>
          <w:sz w:val="18"/>
          <w:szCs w:val="18"/>
          <w:color w:val="auto"/>
        </w:rPr>
      </w:pPr>
    </w:p>
    <w:p>
      <w:pPr>
        <w:ind w:left="660" w:right="40" w:hanging="652"/>
        <w:spacing w:after="0" w:line="25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75.0% to all common unitholders, pro rata, and 25.0% to the holders of our incentive distribution rights, until we allocate under this bullet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per unit equal to: (1) the sum of the excess of the third target distribution per unit over the second target distribution per unit for each quarter of our existence; less (2) the cumulative amount per unit of any distributions from operating surplus in excess of the second target distribution per unit that we distributed 75.0% to the common unitholders, pro rata, and 25.0% to the holders of our incentive distribution rights for each quarter of our existence; and</w:t>
      </w:r>
    </w:p>
    <w:p>
      <w:pPr>
        <w:spacing w:after="0" w:line="147"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all common unitholders, pro rata, and 50.0% to holders of our incentive distribution rights.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Manner of Adjustments for Losses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generally allocate any loss to our general partner and the common unitholders in the following manner:</w:t>
      </w:r>
    </w:p>
    <w:p>
      <w:pPr>
        <w:spacing w:after="0" w:line="185" w:lineRule="exact"/>
        <w:rPr>
          <w:sz w:val="20"/>
          <w:szCs w:val="20"/>
          <w:color w:val="auto"/>
        </w:rPr>
      </w:pPr>
    </w:p>
    <w:p>
      <w:pPr>
        <w:ind w:left="660" w:right="620" w:hanging="652"/>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first, to the holders of common units in proportion to the positive balances in their capital accounts, until the capital accounts of the common unitholders have been reduced to zero; and</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thereafter, 100.0% to our general partner.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Capital Accounts</w:t>
      </w:r>
    </w:p>
    <w:p>
      <w:pPr>
        <w:spacing w:after="0" w:line="36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partnership agreement requires that we make adjustments to capital accounts upon the issuance of additional units. In this regard, our partnership agreement specifies that we allocate any unrealized and, for federal income tax purposes, unrecognized gain resulting from the adjustments to the common unitholders and the holders of our incentive distribution rights in the same manner as we allocate gain upon liquidation. In the event that we make positive adjustments to the capital accounts upon the issuance of additional units, our partnership agreement requires that we generally allocate any later negative adjustments to the capital accounts resulting from the issuance of additional units or upon our liquidation in a manner that results, to the extent possible, in the partners’ capital account balances equaling the amount that they would have been if no earlier positive adjustments to the capital accounts had been made. In contrast to the allocations of gain, and except as provided above, we generally will allocate any unrealized and unrecognized loss resulting from the adjustments to capital accounts upon the issuance of additional units to the common unitholders and the holders of our incentive distribution rights based on their respective percentage ownership of us.</w:t>
      </w:r>
    </w:p>
    <w:p>
      <w:pPr>
        <w:sectPr>
          <w:pgSz w:w="11900" w:h="16838" w:orient="portrait"/>
          <w:cols w:equalWidth="0" w:num="1">
            <w:col w:w="11400"/>
          </w:cols>
          <w:pgMar w:left="240" w:top="814" w:right="2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The Partnership Agreement</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material provisions of our partnership agreement.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unitholders are not obligated to make additional capital contributions, except as described below under “—Limited Liability.”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36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is a summary of the common unitholder vote required for approval of the matters specified below. Matters that call for the approval of a “unit majority” require the approval of a majority of the common units.</w:t>
      </w:r>
    </w:p>
    <w:p>
      <w:pPr>
        <w:spacing w:after="0" w:line="30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voting their common units, our general partner and its affiliates have no duty or obligation whatsoever to us or the limited partners, including any duty to act in the best interests of us or the limited partners.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distribution rights may be entitled to vote in certain circumstances.</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40" w:type="dxa"/>
            <w:vAlign w:val="bottom"/>
            <w:gridSpan w:val="2"/>
          </w:tcPr>
          <w:p>
            <w:pPr>
              <w:spacing w:after="0"/>
              <w:rPr>
                <w:sz w:val="20"/>
                <w:szCs w:val="20"/>
                <w:color w:val="auto"/>
              </w:rPr>
            </w:pPr>
            <w:r>
              <w:rPr>
                <w:rFonts w:ascii="Arial" w:cs="Arial" w:eastAsia="Arial" w:hAnsi="Arial"/>
                <w:sz w:val="18"/>
                <w:szCs w:val="18"/>
                <w:color w:val="auto"/>
              </w:rPr>
              <w:t>Action</w:t>
            </w:r>
          </w:p>
        </w:tc>
        <w:tc>
          <w:tcPr>
            <w:tcW w:w="6520" w:type="dxa"/>
            <w:vAlign w:val="bottom"/>
            <w:gridSpan w:val="3"/>
          </w:tcPr>
          <w:p>
            <w:pPr>
              <w:ind w:left="860"/>
              <w:spacing w:after="0"/>
              <w:rPr>
                <w:sz w:val="20"/>
                <w:szCs w:val="20"/>
                <w:color w:val="auto"/>
              </w:rPr>
            </w:pPr>
            <w:r>
              <w:rPr>
                <w:rFonts w:ascii="Arial" w:cs="Arial" w:eastAsia="Arial" w:hAnsi="Arial"/>
                <w:sz w:val="18"/>
                <w:szCs w:val="18"/>
                <w:color w:val="auto"/>
              </w:rPr>
              <w:t>Common Unitholder Approval Required.</w:t>
            </w:r>
          </w:p>
        </w:tc>
      </w:tr>
      <w:tr>
        <w:trPr>
          <w:trHeight w:val="20"/>
        </w:trPr>
        <w:tc>
          <w:tcPr>
            <w:tcW w:w="4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91"/>
        </w:trPr>
        <w:tc>
          <w:tcPr>
            <w:tcW w:w="3840" w:type="dxa"/>
            <w:vAlign w:val="bottom"/>
            <w:gridSpan w:val="2"/>
          </w:tcPr>
          <w:p>
            <w:pPr>
              <w:spacing w:after="0"/>
              <w:rPr>
                <w:sz w:val="20"/>
                <w:szCs w:val="20"/>
                <w:color w:val="auto"/>
              </w:rPr>
            </w:pPr>
            <w:r>
              <w:rPr>
                <w:rFonts w:ascii="Arial" w:cs="Arial" w:eastAsia="Arial" w:hAnsi="Arial"/>
                <w:sz w:val="18"/>
                <w:szCs w:val="18"/>
                <w:color w:val="auto"/>
              </w:rPr>
              <w:t>Issuance of additional units</w:t>
            </w:r>
          </w:p>
        </w:tc>
        <w:tc>
          <w:tcPr>
            <w:tcW w:w="6520" w:type="dxa"/>
            <w:vAlign w:val="bottom"/>
            <w:gridSpan w:val="3"/>
          </w:tcPr>
          <w:p>
            <w:pPr>
              <w:ind w:left="860"/>
              <w:spacing w:after="0"/>
              <w:rPr>
                <w:sz w:val="20"/>
                <w:szCs w:val="20"/>
                <w:color w:val="auto"/>
              </w:rPr>
            </w:pPr>
            <w:r>
              <w:rPr>
                <w:rFonts w:ascii="Arial" w:cs="Arial" w:eastAsia="Arial" w:hAnsi="Arial"/>
                <w:sz w:val="18"/>
                <w:szCs w:val="18"/>
                <w:color w:val="auto"/>
              </w:rPr>
              <w:t>No approval right.</w:t>
            </w:r>
          </w:p>
        </w:tc>
      </w:tr>
      <w:tr>
        <w:trPr>
          <w:trHeight w:val="256"/>
        </w:trPr>
        <w:tc>
          <w:tcPr>
            <w:tcW w:w="3840" w:type="dxa"/>
            <w:vAlign w:val="bottom"/>
            <w:gridSpan w:val="2"/>
          </w:tcPr>
          <w:p>
            <w:pPr>
              <w:spacing w:after="0"/>
              <w:rPr>
                <w:sz w:val="20"/>
                <w:szCs w:val="20"/>
                <w:color w:val="auto"/>
              </w:rPr>
            </w:pPr>
            <w:r>
              <w:rPr>
                <w:rFonts w:ascii="Arial" w:cs="Arial" w:eastAsia="Arial" w:hAnsi="Arial"/>
                <w:sz w:val="18"/>
                <w:szCs w:val="18"/>
                <w:color w:val="auto"/>
              </w:rPr>
              <w:t>Amendment of the partnership agreement</w:t>
            </w:r>
          </w:p>
        </w:tc>
        <w:tc>
          <w:tcPr>
            <w:tcW w:w="6520" w:type="dxa"/>
            <w:vAlign w:val="bottom"/>
            <w:gridSpan w:val="3"/>
          </w:tcPr>
          <w:p>
            <w:pPr>
              <w:ind w:left="860"/>
              <w:spacing w:after="0"/>
              <w:rPr>
                <w:sz w:val="20"/>
                <w:szCs w:val="20"/>
                <w:color w:val="auto"/>
              </w:rPr>
            </w:pPr>
            <w:r>
              <w:rPr>
                <w:rFonts w:ascii="Arial" w:cs="Arial" w:eastAsia="Arial" w:hAnsi="Arial"/>
                <w:sz w:val="18"/>
                <w:szCs w:val="18"/>
                <w:color w:val="auto"/>
                <w:w w:val="89"/>
              </w:rPr>
              <w:t>Certain amendments may be made by our general partner without the approval</w:t>
            </w:r>
          </w:p>
        </w:tc>
      </w:tr>
      <w:tr>
        <w:trPr>
          <w:trHeight w:val="216"/>
        </w:trPr>
        <w:tc>
          <w:tcPr>
            <w:tcW w:w="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520" w:type="dxa"/>
            <w:vAlign w:val="bottom"/>
            <w:gridSpan w:val="3"/>
          </w:tcPr>
          <w:p>
            <w:pPr>
              <w:ind w:left="860"/>
              <w:spacing w:after="0"/>
              <w:rPr>
                <w:sz w:val="20"/>
                <w:szCs w:val="20"/>
                <w:color w:val="auto"/>
              </w:rPr>
            </w:pPr>
            <w:r>
              <w:rPr>
                <w:rFonts w:ascii="Arial" w:cs="Arial" w:eastAsia="Arial" w:hAnsi="Arial"/>
                <w:sz w:val="18"/>
                <w:szCs w:val="18"/>
                <w:color w:val="auto"/>
                <w:w w:val="91"/>
              </w:rPr>
              <w:t>of the common unitholders. Other amendments generally require the approval</w:t>
            </w:r>
          </w:p>
        </w:tc>
      </w:tr>
      <w:tr>
        <w:trPr>
          <w:trHeight w:val="230"/>
        </w:trPr>
        <w:tc>
          <w:tcPr>
            <w:tcW w:w="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520" w:type="dxa"/>
            <w:vAlign w:val="bottom"/>
            <w:gridSpan w:val="3"/>
          </w:tcPr>
          <w:p>
            <w:pPr>
              <w:ind w:left="860"/>
              <w:spacing w:after="0"/>
              <w:rPr>
                <w:sz w:val="20"/>
                <w:szCs w:val="20"/>
                <w:color w:val="auto"/>
              </w:rPr>
            </w:pPr>
            <w:r>
              <w:rPr>
                <w:rFonts w:ascii="Arial" w:cs="Arial" w:eastAsia="Arial" w:hAnsi="Arial"/>
                <w:sz w:val="18"/>
                <w:szCs w:val="18"/>
                <w:color w:val="auto"/>
                <w:w w:val="91"/>
              </w:rPr>
              <w:t>of a unit majority. Please read “—Amendment of the Partnership Agreement.”</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Merger of our partnership or the sale of all or substantially all of Unit majority in certain circumstances. Please read “—Merger, Consolidation,</w:t>
      </w:r>
    </w:p>
    <w:p>
      <w:pPr>
        <w:spacing w:after="0" w:line="23"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18"/>
          <w:szCs w:val="18"/>
          <w:color w:val="auto"/>
        </w:rPr>
        <w:t>our assets</w:t>
      </w:r>
      <w:r>
        <w:rPr>
          <w:sz w:val="20"/>
          <w:szCs w:val="20"/>
          <w:color w:val="auto"/>
        </w:rPr>
        <w:tab/>
      </w:r>
      <w:r>
        <w:rPr>
          <w:rFonts w:ascii="Arial" w:cs="Arial" w:eastAsia="Arial" w:hAnsi="Arial"/>
          <w:sz w:val="16"/>
          <w:szCs w:val="16"/>
          <w:color w:val="auto"/>
        </w:rPr>
        <w:t>Conversion, Sale or Other Disposition of Assets.”</w:t>
      </w:r>
    </w:p>
    <w:p>
      <w:pPr>
        <w:spacing w:after="0" w:line="49"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18"/>
          <w:szCs w:val="18"/>
          <w:color w:val="auto"/>
        </w:rPr>
        <w:t>Dissolution of our partnership</w:t>
      </w:r>
      <w:r>
        <w:rPr>
          <w:sz w:val="20"/>
          <w:szCs w:val="20"/>
          <w:color w:val="auto"/>
        </w:rPr>
        <w:tab/>
      </w:r>
      <w:r>
        <w:rPr>
          <w:rFonts w:ascii="Arial" w:cs="Arial" w:eastAsia="Arial" w:hAnsi="Arial"/>
          <w:sz w:val="16"/>
          <w:szCs w:val="16"/>
          <w:color w:val="auto"/>
        </w:rPr>
        <w:t>Unit majority. Please read “—Dissolution.”</w:t>
      </w:r>
    </w:p>
    <w:p>
      <w:pPr>
        <w:spacing w:after="0" w:line="63"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18"/>
          <w:szCs w:val="18"/>
          <w:color w:val="auto"/>
        </w:rPr>
        <w:t>Continuation of our business upon dissolution</w:t>
      </w:r>
      <w:r>
        <w:rPr>
          <w:sz w:val="20"/>
          <w:szCs w:val="20"/>
          <w:color w:val="auto"/>
        </w:rPr>
        <w:tab/>
      </w:r>
      <w:r>
        <w:rPr>
          <w:rFonts w:ascii="Arial" w:cs="Arial" w:eastAsia="Arial" w:hAnsi="Arial"/>
          <w:sz w:val="16"/>
          <w:szCs w:val="16"/>
          <w:color w:val="auto"/>
        </w:rPr>
        <w:t>Unit majority. Please read “—Dissolution.”</w:t>
      </w:r>
    </w:p>
    <w:p>
      <w:pPr>
        <w:spacing w:after="0" w:line="63"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18"/>
          <w:szCs w:val="18"/>
          <w:color w:val="auto"/>
        </w:rPr>
        <w:t>Withdrawal of our general partner</w:t>
      </w:r>
      <w:r>
        <w:rPr>
          <w:sz w:val="20"/>
          <w:szCs w:val="20"/>
          <w:color w:val="auto"/>
        </w:rPr>
        <w:tab/>
      </w:r>
      <w:r>
        <w:rPr>
          <w:rFonts w:ascii="Arial" w:cs="Arial" w:eastAsia="Arial" w:hAnsi="Arial"/>
          <w:sz w:val="17"/>
          <w:szCs w:val="17"/>
          <w:color w:val="auto"/>
        </w:rPr>
        <w:t>Under most circumstances, the approval of a majority of the common units,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excluding common units held by our general partner and its affiliates, is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required for the withdrawal of our general partner prior to June 30, 2024 in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manner that would cause a dissolution of our partnership. Please read “—</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Withdrawal or Removal of Our General Partner.”</w:t>
      </w:r>
    </w:p>
    <w:p>
      <w:pPr>
        <w:spacing w:after="0" w:line="49"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18"/>
          <w:szCs w:val="18"/>
          <w:color w:val="auto"/>
        </w:rPr>
        <w:t>Removal of our general partner</w:t>
      </w:r>
      <w:r>
        <w:rPr>
          <w:sz w:val="20"/>
          <w:szCs w:val="20"/>
          <w:color w:val="auto"/>
        </w:rPr>
        <w:tab/>
      </w:r>
      <w:r>
        <w:rPr>
          <w:rFonts w:ascii="Arial" w:cs="Arial" w:eastAsia="Arial" w:hAnsi="Arial"/>
          <w:sz w:val="17"/>
          <w:szCs w:val="17"/>
          <w:color w:val="auto"/>
        </w:rPr>
        <w:t>Not less than 66 2/3% of the outstanding units, voting as a single class,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including units held by our general partner and its affiliates. Please read “—</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Withdrawal or Removal of Our General Partner.”</w:t>
      </w:r>
    </w:p>
    <w:p>
      <w:pPr>
        <w:spacing w:after="0" w:line="49"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18"/>
          <w:szCs w:val="18"/>
          <w:color w:val="auto"/>
        </w:rPr>
        <w:t>Transfer of our general partner interest</w:t>
      </w:r>
      <w:r>
        <w:rPr>
          <w:sz w:val="20"/>
          <w:szCs w:val="20"/>
          <w:color w:val="auto"/>
        </w:rPr>
        <w:tab/>
      </w:r>
      <w:r>
        <w:rPr>
          <w:rFonts w:ascii="Arial" w:cs="Arial" w:eastAsia="Arial" w:hAnsi="Arial"/>
          <w:sz w:val="16"/>
          <w:szCs w:val="16"/>
          <w:color w:val="auto"/>
        </w:rPr>
        <w:t>No approval right.</w:t>
      </w:r>
    </w:p>
    <w:p>
      <w:pPr>
        <w:spacing w:after="0" w:line="63"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18"/>
          <w:szCs w:val="18"/>
          <w:color w:val="auto"/>
        </w:rPr>
        <w:t>Transfer of incentive distribution rights</w:t>
      </w:r>
      <w:r>
        <w:rPr>
          <w:sz w:val="20"/>
          <w:szCs w:val="20"/>
          <w:color w:val="auto"/>
        </w:rPr>
        <w:tab/>
      </w:r>
      <w:r>
        <w:rPr>
          <w:rFonts w:ascii="Arial" w:cs="Arial" w:eastAsia="Arial" w:hAnsi="Arial"/>
          <w:sz w:val="16"/>
          <w:szCs w:val="16"/>
          <w:color w:val="auto"/>
        </w:rPr>
        <w:t>No approval right.</w:t>
      </w:r>
    </w:p>
    <w:p>
      <w:pPr>
        <w:spacing w:after="0" w:line="63"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18"/>
          <w:szCs w:val="18"/>
          <w:color w:val="auto"/>
        </w:rPr>
        <w:t>Transfer of ownership interests in our general partner</w:t>
      </w:r>
      <w:r>
        <w:rPr>
          <w:sz w:val="20"/>
          <w:szCs w:val="20"/>
          <w:color w:val="auto"/>
        </w:rPr>
        <w:tab/>
      </w:r>
      <w:r>
        <w:rPr>
          <w:rFonts w:ascii="Arial" w:cs="Arial" w:eastAsia="Arial" w:hAnsi="Arial"/>
          <w:sz w:val="16"/>
          <w:szCs w:val="16"/>
          <w:color w:val="auto"/>
        </w:rPr>
        <w:t>No approval right.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person or group other than our general partner and its affiliates acquires beneficial ownership of 20% or more of any class of units, that person or group loses voting rights on all of its units. This loss of voting rights does not apply to any person or group that acquires the units from our general partner or its affiliates and any transferees of that person or group approved by our general partner or to any person or group who acquires the units with the specific prior approval of our general partner.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Laws; Forum; Venue and Jurisdiction</w:t>
      </w:r>
    </w:p>
    <w:p>
      <w:pPr>
        <w:sectPr>
          <w:pgSz w:w="11900" w:h="16838" w:orient="portrait"/>
          <w:cols w:equalWidth="0" w:num="1">
            <w:col w:w="11420"/>
          </w:cols>
          <w:pgMar w:left="240" w:top="1242" w:right="239" w:bottom="1440" w:gutter="0" w:footer="0" w:header="0"/>
        </w:sect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ectPr>
          <w:pgSz w:w="11900" w:h="16838" w:orient="portrait"/>
          <w:cols w:equalWidth="0" w:num="1">
            <w:col w:w="11420"/>
          </w:cols>
          <w:pgMar w:left="240" w:top="1242" w:right="239" w:bottom="1440" w:gutter="0" w:footer="0" w:header="0"/>
          <w:type w:val="continuous"/>
        </w:sectPr>
      </w:pPr>
    </w:p>
    <w:bookmarkStart w:id="104" w:name="page105"/>
    <w:bookmarkEnd w:id="104"/>
    <w:p>
      <w:pPr>
        <w:jc w:val="both"/>
        <w:ind w:left="660" w:hanging="652"/>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brought in a derivative manner on our behalf;</w:t>
      </w:r>
    </w:p>
    <w:p>
      <w:pPr>
        <w:spacing w:after="0" w:line="242" w:lineRule="exact"/>
        <w:rPr>
          <w:rFonts w:ascii="Arial" w:cs="Arial" w:eastAsia="Arial" w:hAnsi="Arial"/>
          <w:sz w:val="22"/>
          <w:szCs w:val="22"/>
          <w:color w:val="auto"/>
        </w:rPr>
      </w:pPr>
    </w:p>
    <w:p>
      <w:pPr>
        <w:ind w:left="660" w:hanging="652"/>
        <w:spacing w:after="0" w:line="271" w:lineRule="auto"/>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asserting a claim of breach of a duty owed by any director, officer or other employee of us or our general partner, or owed by our general partner, to us or the limited partners;</w:t>
      </w:r>
    </w:p>
    <w:p>
      <w:pPr>
        <w:spacing w:after="0" w:line="187" w:lineRule="exact"/>
        <w:rPr>
          <w:rFonts w:ascii="Arial" w:cs="Arial" w:eastAsia="Arial" w:hAnsi="Arial"/>
          <w:sz w:val="22"/>
          <w:szCs w:val="22"/>
          <w:color w:val="auto"/>
        </w:rPr>
      </w:pPr>
    </w:p>
    <w:p>
      <w:pPr>
        <w:ind w:left="660" w:hanging="652"/>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asserting a claim arising pursuant to any provision of the Delaware Revised Uniform Limited Partnership Act (the “Delaware Act”); or</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asserting a claim governed by the internal affairs doctrine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provided, however, that this provision would not apply to claims brought to enforce a duty or liability created by the Securities Act of 1933, the Exchange Act of 1934 or any other claim for which the federal courts have exclusive jurisdiction.</w:t>
      </w:r>
    </w:p>
    <w:p>
      <w:pPr>
        <w:spacing w:after="0" w:line="36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any person brings any of the aforementioned claims, suits, actions or proceedings and such person does not obtain a judgment on the merits that substantially achieves, in substance and amount, the full remedy sought, then such person shall be obligated to reimburse us and our affiliates for all fees, costs and expenses of every kind and description, including but not limited to all reasonable attorneys' fees and other litigation expenses, that the parties may incur in connection with such claim, suit, action or proceeding.</w:t>
      </w:r>
    </w:p>
    <w:p>
      <w:pPr>
        <w:spacing w:after="0" w:line="32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By purchasing a common unit, a limited partner is irrevocably consenting to these limitations and provisions regarding claims, suits, actions or proceedings and submitting to the exclusive jurisdiction of the Court of Chancery of the State of Delaware (or such other court) in connection with any such claims, suits, actions or proceedings.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364"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Act and that he otherwise acts in conformity with the provisions of the partnership agreement, his liability under the Delaware Act is limited, subject to possible exceptions, to the amount of capital he is obligated to contribute to us for his common units plus his share of any undistributed profits and assets. However, if it were determined that the right, or exercise of the right, by the limited partners as a group:</w:t>
      </w:r>
    </w:p>
    <w:p>
      <w:pPr>
        <w:spacing w:after="0" w:line="146"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36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constituted “participation in the control” of our business for the purposes of the Delaware Act, then the limited partners could be held personally liable for our obligations under the laws of Delaware, to the same extent as our general partner. This liability would extend to persons who transact business with us under the reasonable belief that the limited partner is a general partner. Neither our partnership agreement nor the Delaware Act specifically provides for legal recourse against our general partner if a limited partner were to lose limited liability through any fault of our general partner.</w:t>
      </w:r>
    </w:p>
    <w:p>
      <w:pPr>
        <w:spacing w:after="0" w:line="30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w:t>
      </w:r>
    </w:p>
    <w:p>
      <w:pPr>
        <w:sectPr>
          <w:pgSz w:w="11900" w:h="16838" w:orient="portrait"/>
          <w:cols w:equalWidth="0" w:num="1">
            <w:col w:w="11420"/>
          </w:cols>
          <w:pgMar w:left="240" w:top="81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distribution was in violation of the Delaware Act shall be liable to the limited partnership for the amount of the distribution for three years.</w:t>
      </w:r>
    </w:p>
    <w:p>
      <w:pPr>
        <w:spacing w:after="0" w:line="36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subsidiaries conduct business in several states and we may have subsidiaries that conduct business in other states or countries in the future. Maintenance of our limited liability as owner of our operating subsidiaries may require compliance with legal requirements in the jurisdictions in which the operating subsidiaries conduct business, including qualifying our subsidiaries to do business there.</w:t>
      </w:r>
    </w:p>
    <w:p>
      <w:pPr>
        <w:spacing w:after="0" w:line="31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Limitations on the liability of members or limited partners for the obligations of a limited liability company or limited partnership have not been clearly established in many jurisdictions. If, by virtue of our ownership interest in our subsidiaries or otherwise, it were determined that we were conducting business in any jurisdiction without compliance with the applicable limited partnership or limited liability company statute, or that the right or exercise of the right by the limited partners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general partner considers reasonable and necessary or appropriate to preserve the limited liability of the limited partners.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36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Our partnership agreement authorizes us to issue an unlimited number of additional partnership interests for the consideration and on the terms and conditions determined by our general partner without the approval of the common unitholders.</w:t>
      </w:r>
    </w:p>
    <w:p>
      <w:pPr>
        <w:spacing w:after="0" w:line="30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It is possible that we will fund acquisitions through the issuance of additional common units or other partnership interests. Holders of any additional common units we issue will be entitled to share equally with the then-existing common unitholders in our distributions. In addition, the issuance of additional common units or other partnership interests may dilute the value of the interests of the then-existing common unitholders in our net assets.</w:t>
      </w:r>
    </w:p>
    <w:p>
      <w:pPr>
        <w:spacing w:after="0" w:line="30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accordance with Delaware law and the provisions of our partnership agreement, we may also issue additional partnership interests that, as determined by our general partner, may have rights to distributions or special voting rights to which the common units are not entitled. In addition, our partnership agreement does not prohibit our subsidiaries from issuing equity interests, which may effectively rank senior to the common units.</w:t>
      </w:r>
    </w:p>
    <w:p>
      <w:pPr>
        <w:spacing w:after="0" w:line="30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general partner will have the right, which it may from time to time assign in whole or in part to any of its affiliates, to purchase common units or other partnership interests whenever, and on the same terms that, we issue partnership interests to persons other than our general partner and its affiliates, to the extent necessary to maintain the percentage interest of our general partner and its affiliates, including such interest represented by common units, that existed immediately prior to each issuance. The common unitholders will not have preemptive rights under our partnership agreement to acquire additional common units or other partnership interests.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36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Amendments to our partnership agreement may be proposed only by our general partner. However, our general partner has no duty or obligation to propose any amendment and may decline to do so free of any duty or obligation whatsoever to us or the limited partners, including any duty to act in the best interests of us or the limited partners. In order to adopt a proposed amendment, other than the amendments discussed below, our general partner is required to seek written approval of the holders of the number of units required to approve the amendment or to call a meeting of the limited partners to consider and vote upon the proposed amendment. Except as described below, an amendment must be approved by a unit majority.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amendment may be made that would:</w:t>
      </w:r>
    </w:p>
    <w:p>
      <w:pPr>
        <w:spacing w:after="0" w:line="185" w:lineRule="exact"/>
        <w:rPr>
          <w:sz w:val="20"/>
          <w:szCs w:val="20"/>
          <w:color w:val="auto"/>
        </w:rPr>
      </w:pPr>
    </w:p>
    <w:p>
      <w:pPr>
        <w:ind w:left="660" w:right="560" w:hanging="652"/>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enlarge the obligations of any limited partner without his consent, unless approved by at least a majority of the type or class of limited partner interests so affected; or</w:t>
      </w:r>
    </w:p>
    <w:p>
      <w:pPr>
        <w:sectPr>
          <w:pgSz w:w="11900" w:h="16838" w:orient="portrait"/>
          <w:cols w:equalWidth="0" w:num="1">
            <w:col w:w="11420"/>
          </w:cols>
          <w:pgMar w:left="240" w:top="989" w:right="239" w:bottom="1440" w:gutter="0" w:footer="0" w:header="0"/>
        </w:sectPr>
      </w:pPr>
    </w:p>
    <w:bookmarkStart w:id="106" w:name="page107"/>
    <w:bookmarkEnd w:id="106"/>
    <w:p>
      <w:pPr>
        <w:ind w:left="660" w:right="120" w:hanging="652"/>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consent may be given or withheld in its sole discretion.</w:t>
      </w:r>
    </w:p>
    <w:p>
      <w:pPr>
        <w:spacing w:after="0" w:line="316"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provision of our partnership agreement preventing the amendments having the effects described in the clauses above can be amended upon the approval of the holders of at least 90.0% of the outstanding units, voting as a single class (including units owned by our general partner and its affiliates).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Common Unitholder Approval</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general partner may generally make amendments to our partnership agreement without the approval of any limited partner to reflect:</w:t>
      </w:r>
    </w:p>
    <w:p>
      <w:pPr>
        <w:spacing w:after="0" w:line="185"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184" w:lineRule="exact"/>
        <w:rPr>
          <w:rFonts w:ascii="Arial" w:cs="Arial" w:eastAsia="Arial" w:hAnsi="Arial"/>
          <w:sz w:val="18"/>
          <w:szCs w:val="18"/>
          <w:color w:val="auto"/>
        </w:rPr>
      </w:pPr>
    </w:p>
    <w:p>
      <w:pPr>
        <w:ind w:left="660" w:right="120" w:hanging="652"/>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change that our general partner determines to be necessary or appropriate to qualify or continue our qualification as a limited partnership or other entity in which the limited partners have limited liability under the laws of any state or to ensure that neither we nor any of our subsidiaries will be treated as an association taxable as a corporation or otherwise taxed as an entity for federal income tax purposes (to the extent not already so treated or taxed);</w:t>
      </w:r>
    </w:p>
    <w:p>
      <w:pPr>
        <w:spacing w:after="0" w:line="146" w:lineRule="exact"/>
        <w:rPr>
          <w:rFonts w:ascii="Arial" w:cs="Arial" w:eastAsia="Arial" w:hAnsi="Arial"/>
          <w:sz w:val="18"/>
          <w:szCs w:val="18"/>
          <w:color w:val="auto"/>
        </w:rPr>
      </w:pPr>
    </w:p>
    <w:p>
      <w:pPr>
        <w:ind w:left="660" w:right="60" w:hanging="652"/>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146" w:lineRule="exact"/>
        <w:rPr>
          <w:rFonts w:ascii="Arial" w:cs="Arial" w:eastAsia="Arial" w:hAnsi="Arial"/>
          <w:sz w:val="18"/>
          <w:szCs w:val="18"/>
          <w:color w:val="auto"/>
        </w:rPr>
      </w:pPr>
    </w:p>
    <w:p>
      <w:pPr>
        <w:ind w:left="660" w:right="580" w:hanging="652"/>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in connection with the creation, authorization or issuance of additional partnership interests or the right to acquire partnership interests;</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amendment effected, necessitated or contemplated by a merger agreement that has been approved under the terms of our partnership agreement;</w:t>
      </w:r>
    </w:p>
    <w:p>
      <w:pPr>
        <w:spacing w:after="0" w:line="207" w:lineRule="exact"/>
        <w:rPr>
          <w:rFonts w:ascii="Arial" w:cs="Arial" w:eastAsia="Arial" w:hAnsi="Arial"/>
          <w:sz w:val="16"/>
          <w:szCs w:val="16"/>
          <w:color w:val="auto"/>
        </w:rPr>
      </w:pPr>
    </w:p>
    <w:p>
      <w:pPr>
        <w:ind w:left="660" w:right="140" w:hanging="652"/>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amendment that our general partner determines to be necessary or appropriate for the formation by us of, or our investment in, any corporation, partnership or other entity, as otherwise permitted by our partnership agreement;</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184"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conversions into, mergers with or conveyances to another limited liability entity that is newly formed and has no assets, liabilities or operations at the time of the conversion, merger or conveyance other than those it receives by way of the conversion, merger or conveyance; or</w:t>
      </w:r>
    </w:p>
    <w:p>
      <w:pPr>
        <w:spacing w:after="0" w:line="106" w:lineRule="exact"/>
        <w:rPr>
          <w:rFonts w:ascii="Arial" w:cs="Arial" w:eastAsia="Arial" w:hAnsi="Arial"/>
          <w:sz w:val="17"/>
          <w:szCs w:val="17"/>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36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limited partner, if our general partner determines that those amendments:</w:t>
      </w:r>
    </w:p>
    <w:p>
      <w:pPr>
        <w:spacing w:after="0" w:line="130" w:lineRule="exact"/>
        <w:rPr>
          <w:sz w:val="20"/>
          <w:szCs w:val="20"/>
          <w:color w:val="auto"/>
        </w:rPr>
      </w:pPr>
    </w:p>
    <w:p>
      <w:pPr>
        <w:ind w:left="660" w:right="10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do not adversely affect in any material respect the limited partners, considered as a whole, or any particular class of limited partners, as compared to other classes of limited partners;</w:t>
      </w:r>
    </w:p>
    <w:p>
      <w:pPr>
        <w:spacing w:after="0" w:line="129"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29"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ectPr>
          <w:pgSz w:w="11900" w:h="16838" w:orient="portrait"/>
          <w:cols w:equalWidth="0" w:num="1">
            <w:col w:w="11420"/>
          </w:cols>
          <w:pgMar w:left="240" w:top="814" w:right="239" w:bottom="1440" w:gutter="0" w:footer="0" w:header="0"/>
        </w:sectPr>
      </w:pPr>
    </w:p>
    <w:bookmarkStart w:id="107" w:name="page108"/>
    <w:bookmarkEnd w:id="107"/>
    <w:p>
      <w:pPr>
        <w:ind w:left="660" w:right="62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units under the provisions of our partnership agreement; or</w:t>
      </w:r>
    </w:p>
    <w:p>
      <w:pPr>
        <w:spacing w:after="0" w:line="129" w:lineRule="exact"/>
        <w:rPr>
          <w:rFonts w:ascii="Arial" w:cs="Arial" w:eastAsia="Arial" w:hAnsi="Arial"/>
          <w:sz w:val="18"/>
          <w:szCs w:val="18"/>
          <w:color w:val="auto"/>
        </w:rPr>
      </w:pPr>
    </w:p>
    <w:p>
      <w:pPr>
        <w:ind w:left="660" w:right="64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are required to effect the intent expressed in the prospectus used in connection with our IPO or the intent of the provisions of our partnership agreement or are otherwise contemplated by our partnership agreement.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Common Unitholder Approval</w:t>
      </w:r>
    </w:p>
    <w:p>
      <w:pPr>
        <w:spacing w:after="0" w:line="36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Any amendment that our general partner determines adversely affects in any material respect one or more particular classes of limited partners, and is not permitted to be adopted by our general partner without limited partner approval, requires the approval of at least a majority of the class or classes so affected, but no vote is required by any class or classes of limited partners that our general partner determines are not adversely affected in any material respect. Any such amendment that would have a material adverse effect on the rights or preferences of any type or class of outstanding units in relation to other classes of units requires the approval of at least a majority of the type or class of units so affected. Any such amendment that reduces the voting percentage required to take any action other than to remove the general partner or call a meeting of common unitholders is required to be approved by the affirmative vote of limited partners whose aggregate outstanding units constitute not less than the voting requirement sought to be reduced. Any such amendment that increases the percentage of units required to remove the general partner or call a meeting of common unitholders must be approved by the affirmative vote of limited partners whose aggregate outstanding units constitute not less than the percentage sought to be increased. For amendments of the type not requiring common unitholder approval, our general partner is not required to obtain an opinion of counsel that an amendment will neither result in a loss of limited liability to the limited partners nor result in our being treated as a taxable entity for federal income tax purposes in connection with any of the amendments. No other amendments to our partnership agreement will become effective without the approval of holders of at least 90% of the outstanding units, voting as a single class, unless we first obtain an opinion of counsel to the effect that the amendment will not affect the limited liability under applicable law of any of our limited partners.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Conversion, Sale or Other Disposition of Assets</w:t>
      </w:r>
    </w:p>
    <w:p>
      <w:pPr>
        <w:spacing w:after="0" w:line="36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 merger, consolidation or conversion of us requires the prior consent of our general partner. However, our general partner has no duty or obligation to consent to any merger, consolidation or conversion and may decline to do so free of any duty or obligation whatsoever to us or the limited partners, including any duty to act in the best interest of us or the limited partners.</w:t>
      </w:r>
    </w:p>
    <w:p>
      <w:pPr>
        <w:spacing w:after="0" w:line="3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addition, our partnership agreement generally prohibits our general partner, without the prior approval of the holders of a unit majority, from causing us to sell, exchange or otherwise dispose of all or substantially all of our assets in a single transaction or a series of related transactions, including by way of merger, consolidation or other combination. Our general partner may, however, mortgage, pledge, hypothecate or grant a security interest in all or substantially all of our assets without such approval. Our general partner may also sell any or all of our assets under a foreclosure or other realization upon those encumbrances without such approval. Finally, our general partner may consummate any merger without the prior approval of our common unitholders if we are the surviving entity in the transaction, our general partner has received an opinion of counsel regarding limited liability and tax matters, the transaction would not result in a material amendment to the partnership agreement (other than an amendment that the general partner could adopt without the consent of other partners), each of our units will be an identical unit of our partnership following the transaction and the partnership interests to be issued do not exceed 20% of our outstanding partnership interests (other than incentive distribution rights) immediately prior to the transaction.</w:t>
      </w:r>
    </w:p>
    <w:p>
      <w:pPr>
        <w:spacing w:after="0" w:line="30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If the conditions specified in our partnership agreement are satisfied, our general partner may convert us or any of our subsidiaries into a new limited liability entity or merge us or any of our subsidiaries into, or convey all of our assets to, a newly formed entity, if the sole purpose of that conversion, merger or conveyance is to effect a mere change in our legal form into another limited liability entity, our general partner has received an opinion of counsel regarding limited liability and tax matters and the governing instruments of the new entity provide the limited partners and our general partner with the same rights and obligations as contained in our partnership agreement. Our common unitholders are not entitled to dissenters’ rights of appraisal under our partnership agreement or applicable Delaware law in the event of a conversion, merger or consolidation, a sale of substantially all of our assets or any other similar transaction or event.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as a limited partnership until dissolved under our partnership agreement. We will dissolve upon:</w:t>
      </w:r>
    </w:p>
    <w:p>
      <w:pPr>
        <w:spacing w:after="0" w:line="185"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unit majority;</w:t>
      </w:r>
    </w:p>
    <w:p>
      <w:pPr>
        <w:sectPr>
          <w:pgSz w:w="11900" w:h="16838" w:orient="portrait"/>
          <w:cols w:equalWidth="0" w:num="1">
            <w:col w:w="11420"/>
          </w:cols>
          <w:pgMar w:left="240" w:top="814" w:right="239" w:bottom="1440" w:gutter="0" w:footer="0" w:header="0"/>
        </w:sectPr>
      </w:pPr>
    </w:p>
    <w:bookmarkStart w:id="108" w:name="page109"/>
    <w:bookmarkEnd w:id="108"/>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being no limited partners, unless we are continued without dissolution in accordance with applicable Delaware law;</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our partnership; or</w:t>
      </w:r>
    </w:p>
    <w:p>
      <w:pPr>
        <w:spacing w:after="0" w:line="184" w:lineRule="exact"/>
        <w:rPr>
          <w:rFonts w:ascii="Arial" w:cs="Arial" w:eastAsia="Arial" w:hAnsi="Arial"/>
          <w:sz w:val="18"/>
          <w:szCs w:val="18"/>
          <w:color w:val="auto"/>
        </w:rPr>
      </w:pPr>
    </w:p>
    <w:p>
      <w:pPr>
        <w:ind w:left="660" w:right="40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its withdrawal or removal following the approval and admission of a successor.</w:t>
      </w:r>
    </w:p>
    <w:p>
      <w:pPr>
        <w:spacing w:after="0" w:line="31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Upon a dissolution under the last clause above, the holders of a unit majority may also elect, within specific time limitations, to continue our business on the same terms and conditions described in our partnership agreement by appointing as a successor general partner an entity approved by a unit majority, subject to our receipt of an opinion of counsel to the effect that:</w:t>
      </w:r>
    </w:p>
    <w:p>
      <w:pPr>
        <w:spacing w:after="0" w:line="14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action would not result in the loss of limited liability under Delaware law of any limited partner; and</w:t>
      </w:r>
    </w:p>
    <w:p>
      <w:pPr>
        <w:spacing w:after="0" w:line="18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neither our partnership nor any of our subsidiaries would be treated as an association taxable as a corporation or otherwise be taxable as an entity for federal income tax purposes upon the exercise of that right to continue (to the extent not already so treated or taxed).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36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general partner that are necessary or appropriate, liquidate our assets and apply the proceeds of the liquidation as described in “How We Make Distributions to Our Partners—Distributions of Cash Upon Liquidation.” The liquidator may defer liquidation or distribution of our assets for a reasonable period of time or distribute assets to partners in kind if it determines that a sale would be impractical or would cause undue loss to our partners.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36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Except as described below, our general partner has agreed not to withdraw voluntarily as our general partner prior to June 30, 2024 without obtaining the approval of the holders of at least a majority of the outstanding common units, excluding common units held by our general partner and its affiliates, and furnishing an opinion of counsel regarding limited liability and tax matters. On or after June 30, 2024, our general partner may withdraw as general partner without first obtaining approval of any common unitholder by giving 90 days’ written notice, and that withdrawal will not constitute a violation of our partnership agreement. Notwithstanding the information above, our general partner may withdraw without common unitholder approval upon 90 days’ notice to the limited partners if at least 50% of the outstanding units are held or controlled by one person and its affiliates, other than our general partner and its affiliates. In addition, our partnership agreement permits our general partner, in some instances, to sell or otherwise transfer all of its general partner interest in us without the approval of the common unitholders.</w:t>
      </w:r>
    </w:p>
    <w:p>
      <w:pPr>
        <w:spacing w:after="0" w:line="31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unit majority may select a successor to that withdrawing general partner. If a successor is not elected, or is elected but an opinion of counsel regarding limited liability and tax matters cannot be obtained, we will be dissolved, wound up and liquidated, unless within a specified period after that withdrawal the holders of a unit majority agree in writing to continue our business and to appoint a successor general partner. Please read “— Dissolution.”</w:t>
      </w:r>
    </w:p>
    <w:p>
      <w:pPr>
        <w:spacing w:after="0" w:line="32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66 2/3% of the outstanding units, voting together as a single class, including units held by our general partner and its affiliates, and we receive an opinion of counsel regarding limited liability and tax matters. Any removal of our general partner is also subject to the approval of a successor general partner by the vote of the holders of a majority of the outstanding common units, voting as a class. The ownership of more than 33 1/3% of the outstanding units by our general partner and its affiliates gives them the ability to prevent our general partner’s removal.</w:t>
      </w:r>
    </w:p>
    <w:p>
      <w:pPr>
        <w:spacing w:after="0" w:line="32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event of the removal of our general partner under circumstances where cause exists or withdrawal of our general partner where that withdrawal violates our partnership agreement, a successor general partner will have the option to purchase the general partner interest of the departing general partner and the incentive distribution rights of its affiliates for a cash payment equal to the fair market value of such interests. Under all other circumstances where our general partner withdraws or is removed by the limited partners, the departing general partner will have the option to require the successor general partner to</w:t>
      </w:r>
    </w:p>
    <w:p>
      <w:pPr>
        <w:sectPr>
          <w:pgSz w:w="11900" w:h="16838" w:orient="portrait"/>
          <w:cols w:equalWidth="0" w:num="1">
            <w:col w:w="11380"/>
          </w:cols>
          <w:pgMar w:left="240" w:top="814" w:right="279" w:bottom="1440" w:gutter="0" w:footer="0" w:header="0"/>
        </w:sectPr>
      </w:pPr>
    </w:p>
    <w:bookmarkStart w:id="109" w:name="page110"/>
    <w:bookmarkEnd w:id="109"/>
    <w:p>
      <w:pPr>
        <w:spacing w:after="0" w:line="257" w:lineRule="auto"/>
        <w:rPr>
          <w:sz w:val="20"/>
          <w:szCs w:val="20"/>
          <w:color w:val="auto"/>
        </w:rPr>
      </w:pPr>
      <w:r>
        <w:rPr>
          <w:rFonts w:ascii="Arial" w:cs="Arial" w:eastAsia="Arial" w:hAnsi="Arial"/>
          <w:sz w:val="18"/>
          <w:szCs w:val="18"/>
          <w:color w:val="auto"/>
        </w:rPr>
        <w:t>purchase the general partner interest of the departing general partner and the incentive distribution rights of its affiliates for fair market value.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32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the option described above is not exercised by either the departing general partner or the successor general partner, the departing general partner will become a limited partner and its general partner interest and the incentive distribution rights of its affiliates will automatically convert into common units equal to the fair market value of those interests as determined by an investment banking firm or other independent expert selected in the manner described in the preceding paragraph.</w:t>
      </w:r>
    </w:p>
    <w:p>
      <w:pPr>
        <w:spacing w:after="0" w:line="32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as a result of the termination of any employees employed for our benefit by the departing general partner or its affiliates.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36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partnership agreement contains specific provisions that are intended to discourage a person or group from attempting to remove Westlake Chemical Partners GP LLC as our general partner or from otherwise changing our management. Please read “—Withdrawal or Removal of Our General Partner” for a discussion of certain consequences of the removal of our general partner. If any person or group, other than our general partner and its affiliates, acquires beneficial ownership of 20% or more of any class of units, that person or group loses voting rights on all of its units. This loss of voting rights does not apply in certain circumstances. Please read “—Voting Rights.”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36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If at any time our general partner and its affiliates own more than 80% of the then-issued and outstanding limited partner interests of any class, our general partner will have the right, which it may assign in whole or in part to any of its affiliates or to us, to acquire all, but not less than all, of the limited partner interests of the class held by unaffiliated persons, as of a record date to be selected by our general partner, on at least 10, but not more than 60, days’ notice. The purchase price in the event of this purchase is the greater of:</w:t>
      </w:r>
    </w:p>
    <w:p>
      <w:pPr>
        <w:spacing w:after="0" w:line="146" w:lineRule="exact"/>
        <w:rPr>
          <w:sz w:val="20"/>
          <w:szCs w:val="20"/>
          <w:color w:val="auto"/>
        </w:rPr>
      </w:pPr>
    </w:p>
    <w:p>
      <w:pPr>
        <w:ind w:left="660" w:right="660" w:hanging="652"/>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highest price paid by our general partner or any of its affiliates for any limited partner interests of the class purchased within the 90 days preceding the date on which our general partner first mails notice of its election to purchase those limited partner interests; and</w:t>
      </w:r>
    </w:p>
    <w:p>
      <w:pPr>
        <w:spacing w:after="0" w:line="106" w:lineRule="exact"/>
        <w:rPr>
          <w:rFonts w:ascii="Arial" w:cs="Arial" w:eastAsia="Arial" w:hAnsi="Arial"/>
          <w:sz w:val="17"/>
          <w:szCs w:val="17"/>
          <w:color w:val="auto"/>
        </w:rPr>
      </w:pPr>
    </w:p>
    <w:p>
      <w:pPr>
        <w:ind w:left="660" w:right="100" w:hanging="652"/>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average of the daily closing prices of the partnership securities of such class over the 20 trading days preceding the date that is three days before the date the notice is mailed.</w:t>
      </w:r>
    </w:p>
    <w:p>
      <w:pPr>
        <w:spacing w:after="0" w:line="30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a result of our general partner’s right to purchase outstanding limited partner interests, a holder of limited partner interests may have his limited partner interests purchased at an undesirable time or at a price that may be lower than market prices at various times prior to such purchase or lower than a common unitholder may anticipate the market price to be in the future. The tax consequences to a common unitholder of the exercise of this call right are the same as a sale by that common unitholder of his common units in the market.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Non-Taxpaying Holders; Redemption</w:t>
      </w:r>
    </w:p>
    <w:p>
      <w:pPr>
        <w:spacing w:after="0" w:line="36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To avoid any adverse effect on the maximum applicable rates chargeable to customers by us or any of our future subsidiaries, or in order to reverse an adverse determination that has occurred regarding such maximum rate, our partnership agreement provides our general partner the power to amend our partnership agreement. If our general partner, with the advice of counsel, determines that our not being treated as an association taxable as a corporation or otherwise taxable as an entity for federal income tax purposes, coupled with the tax status (or lack of proof thereof) of one or more of our limited partners (or their owners, to the extent relevant), has, or is reasonably likely to have, a material adverse effect on the maximum applicable rates chargeable to customers by our subsidiaries, then our general partner may adopt such amendments to our partnership agreement as it determines necessary or advisable to:</w:t>
      </w:r>
    </w:p>
    <w:p>
      <w:pPr>
        <w:spacing w:after="0" w:line="124"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obtain proof of the federal income tax status of our limited partners (and their owners, to the extent relevant); and</w:t>
      </w:r>
    </w:p>
    <w:p>
      <w:pPr>
        <w:sectPr>
          <w:pgSz w:w="11900" w:h="16838" w:orient="portrait"/>
          <w:cols w:equalWidth="0" w:num="1">
            <w:col w:w="11400"/>
          </w:cols>
          <w:pgMar w:left="240" w:top="989" w:right="259" w:bottom="1440" w:gutter="0" w:footer="0" w:header="0"/>
        </w:sectPr>
      </w:pPr>
    </w:p>
    <w:bookmarkStart w:id="110" w:name="page111"/>
    <w:bookmarkEnd w:id="110"/>
    <w:p>
      <w:pPr>
        <w:ind w:left="660" w:right="240" w:hanging="652"/>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permit us to redeem the units held by any person whose tax status has or is reasonably likely to have a material adverse effect on the maximum applicable rates or who fails to comply with the procedures instituted by our general partner to obtain proof of such person’s federal income tax status. The redemption price in the case of such a redemption will be the average of the daily closing prices per unit for the 20 consecutive trading days immediately prior to the date set for redemption.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36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our general partner, with the advice of counsel, determines we are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limited partner (or its owners, to the extent relevant), then our general partner may adopt such amendments to our partnership agreement as it determines necessary or advisable to:</w:t>
      </w:r>
    </w:p>
    <w:p>
      <w:pPr>
        <w:spacing w:after="0" w:line="146"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obtain proof of the nationality, citizenship or other related status of our limited partners (or their owners, to the extent relevant); and</w:t>
      </w:r>
    </w:p>
    <w:p>
      <w:pPr>
        <w:spacing w:after="0" w:line="184" w:lineRule="exact"/>
        <w:rPr>
          <w:rFonts w:ascii="Arial" w:cs="Arial" w:eastAsia="Arial" w:hAnsi="Arial"/>
          <w:sz w:val="18"/>
          <w:szCs w:val="18"/>
          <w:color w:val="auto"/>
        </w:rPr>
      </w:pPr>
    </w:p>
    <w:p>
      <w:pPr>
        <w:ind w:left="660" w:right="20" w:hanging="652"/>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permit us to redeem the units held by any person whose nationality, citizenship or other related status creates substantial risk of cancellation or forfeiture of any property or who fails to comply with the procedures instituted by the general partner to obtain proof of the nationality, citizenship or other related status. The redemption price in the case of such a redemption will be the average of the daily closing prices per unit for the 20 consecutive trading days immediately prior to the date set for redemption.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364"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By transfer of common units in accordance with our partnership agreement, each transferee of common units shall be admitted as a limited partner with respect to the common units transferred when such transfer and admission are reflected in our books and records. Except as described under “—Limited Liability,” the common units will be fully paid, and common unitholders will not be required to make additional contributions.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36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stating the purpose of such demand and at his own expense, have furnished to him:</w:t>
      </w:r>
    </w:p>
    <w:p>
      <w:pPr>
        <w:spacing w:after="0" w:line="306"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36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related amendments and powers of attorney under which they have been executed;</w:t>
      </w:r>
    </w:p>
    <w:p>
      <w:pPr>
        <w:spacing w:after="0" w:line="30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Under our partnership agreement, however, each of our limited partners and other persons who acquire interests in our partnership interests, do not have rights to receive information from us or any of the persons we indemnify as described above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322"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general partner keeps confidential from the limited partners trade secrets or other information the disclosure of which our general partner determines is not in our best interests or that we are required by law or by agreements with third parties to keep confidential. Our partnership agreement limits the rights to information that a limited partner would otherwise have under Delaware law.</w:t>
      </w:r>
    </w:p>
    <w:p>
      <w:pPr>
        <w:sectPr>
          <w:pgSz w:w="11900" w:h="16838" w:orient="portrait"/>
          <w:cols w:equalWidth="0" w:num="1">
            <w:col w:w="11420"/>
          </w:cols>
          <w:pgMar w:left="240" w:top="81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492125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AMENDED AND RESTATED SENIOR UNSECURED REVOLVING CREDIT AGREEMENT</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dated as of June 1, 2017</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among</w:t>
      </w:r>
    </w:p>
    <w:p>
      <w:pPr>
        <w:spacing w:after="0" w:line="2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Westlake Chemical OpCo LP</w:t>
      </w:r>
    </w:p>
    <w:p>
      <w:pPr>
        <w:spacing w:after="0" w:line="22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Borrower,</w:t>
      </w:r>
    </w:p>
    <w:p>
      <w:pPr>
        <w:spacing w:after="0" w:line="2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Westlake Polymers LLC</w:t>
      </w:r>
    </w:p>
    <w:p>
      <w:pPr>
        <w:spacing w:after="0" w:line="22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Administrative Agent</w:t>
      </w:r>
    </w:p>
    <w:p>
      <w:pPr>
        <w:spacing w:after="0" w:line="2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and</w:t>
      </w:r>
    </w:p>
    <w:p>
      <w:pPr>
        <w:spacing w:after="0" w:line="22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1864360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9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6"/>
              </w:rPr>
              <w:t>TABLE OF CONTENTS</w:t>
            </w:r>
          </w:p>
        </w:tc>
        <w:tc>
          <w:tcPr>
            <w:tcW w:w="60" w:type="dxa"/>
            <w:vAlign w:val="bottom"/>
          </w:tcPr>
          <w:p>
            <w:pPr>
              <w:spacing w:after="0"/>
              <w:rPr>
                <w:sz w:val="21"/>
                <w:szCs w:val="21"/>
                <w:color w:val="auto"/>
              </w:rPr>
            </w:pPr>
          </w:p>
        </w:tc>
      </w:tr>
      <w:tr>
        <w:trPr>
          <w:trHeight w:val="976"/>
        </w:trPr>
        <w:tc>
          <w:tcPr>
            <w:tcW w:w="1360" w:type="dxa"/>
            <w:vAlign w:val="bottom"/>
          </w:tcPr>
          <w:p>
            <w:pPr>
              <w:spacing w:after="0"/>
              <w:rPr>
                <w:sz w:val="20"/>
                <w:szCs w:val="20"/>
                <w:color w:val="auto"/>
              </w:rPr>
            </w:pPr>
            <w:r>
              <w:rPr>
                <w:rFonts w:ascii="Arial" w:cs="Arial" w:eastAsia="Arial" w:hAnsi="Arial"/>
                <w:sz w:val="22"/>
                <w:szCs w:val="22"/>
                <w:color w:val="auto"/>
              </w:rPr>
              <w:t>ARTICLE I</w:t>
            </w:r>
          </w:p>
        </w:tc>
        <w:tc>
          <w:tcPr>
            <w:tcW w:w="4040" w:type="dxa"/>
            <w:vAlign w:val="bottom"/>
            <w:gridSpan w:val="5"/>
          </w:tcPr>
          <w:p>
            <w:pPr>
              <w:ind w:left="100"/>
              <w:spacing w:after="0"/>
              <w:rPr>
                <w:sz w:val="20"/>
                <w:szCs w:val="20"/>
                <w:color w:val="auto"/>
              </w:rPr>
            </w:pPr>
            <w:r>
              <w:rPr>
                <w:rFonts w:ascii="Arial" w:cs="Arial" w:eastAsia="Arial" w:hAnsi="Arial"/>
                <w:sz w:val="22"/>
                <w:szCs w:val="22"/>
                <w:color w:val="auto"/>
              </w:rPr>
              <w:t>DEFINITIONS; CONSTRUCTION  1</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1.1</w:t>
            </w:r>
          </w:p>
        </w:tc>
        <w:tc>
          <w:tcPr>
            <w:tcW w:w="1280" w:type="dxa"/>
            <w:vAlign w:val="bottom"/>
          </w:tcPr>
          <w:p>
            <w:pPr>
              <w:ind w:left="100"/>
              <w:spacing w:after="0"/>
              <w:rPr>
                <w:sz w:val="20"/>
                <w:szCs w:val="20"/>
                <w:color w:val="auto"/>
              </w:rPr>
            </w:pPr>
            <w:r>
              <w:rPr>
                <w:rFonts w:ascii="Arial" w:cs="Arial" w:eastAsia="Arial" w:hAnsi="Arial"/>
                <w:sz w:val="22"/>
                <w:szCs w:val="22"/>
                <w:color w:val="auto"/>
              </w:rPr>
              <w:t>Definitions</w:t>
            </w:r>
          </w:p>
        </w:tc>
        <w:tc>
          <w:tcPr>
            <w:tcW w:w="420" w:type="dxa"/>
            <w:vAlign w:val="bottom"/>
          </w:tcPr>
          <w:p>
            <w:pPr>
              <w:jc w:val="right"/>
              <w:ind w:right="192"/>
              <w:spacing w:after="0"/>
              <w:rPr>
                <w:sz w:val="20"/>
                <w:szCs w:val="20"/>
                <w:color w:val="auto"/>
              </w:rPr>
            </w:pPr>
            <w:r>
              <w:rPr>
                <w:rFonts w:ascii="Arial" w:cs="Arial" w:eastAsia="Arial" w:hAnsi="Arial"/>
                <w:sz w:val="22"/>
                <w:szCs w:val="22"/>
                <w:color w:val="auto"/>
                <w:w w:val="81"/>
              </w:rPr>
              <w:t>1</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1.2</w:t>
            </w:r>
          </w:p>
        </w:tc>
        <w:tc>
          <w:tcPr>
            <w:tcW w:w="3200" w:type="dxa"/>
            <w:vAlign w:val="bottom"/>
            <w:gridSpan w:val="4"/>
          </w:tcPr>
          <w:p>
            <w:pPr>
              <w:ind w:left="100"/>
              <w:spacing w:after="0"/>
              <w:rPr>
                <w:sz w:val="20"/>
                <w:szCs w:val="20"/>
                <w:color w:val="auto"/>
              </w:rPr>
            </w:pPr>
            <w:r>
              <w:rPr>
                <w:rFonts w:ascii="Arial" w:cs="Arial" w:eastAsia="Arial" w:hAnsi="Arial"/>
                <w:sz w:val="22"/>
                <w:szCs w:val="22"/>
                <w:color w:val="auto"/>
                <w:w w:val="99"/>
              </w:rPr>
              <w:t>Other Definitional Provisions.  4</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1.3</w:t>
            </w:r>
          </w:p>
        </w:tc>
        <w:tc>
          <w:tcPr>
            <w:tcW w:w="3200" w:type="dxa"/>
            <w:vAlign w:val="bottom"/>
            <w:gridSpan w:val="4"/>
          </w:tcPr>
          <w:p>
            <w:pPr>
              <w:ind w:left="100"/>
              <w:spacing w:after="0"/>
              <w:rPr>
                <w:sz w:val="20"/>
                <w:szCs w:val="20"/>
                <w:color w:val="auto"/>
              </w:rPr>
            </w:pPr>
            <w:r>
              <w:rPr>
                <w:rFonts w:ascii="Arial" w:cs="Arial" w:eastAsia="Arial" w:hAnsi="Arial"/>
                <w:sz w:val="22"/>
                <w:szCs w:val="22"/>
                <w:color w:val="auto"/>
                <w:w w:val="95"/>
              </w:rPr>
              <w:t>Accounting Terms and Principles</w:t>
            </w:r>
          </w:p>
        </w:tc>
        <w:tc>
          <w:tcPr>
            <w:tcW w:w="840" w:type="dxa"/>
            <w:vAlign w:val="bottom"/>
          </w:tcPr>
          <w:p>
            <w:pPr>
              <w:spacing w:after="0"/>
              <w:rPr>
                <w:sz w:val="20"/>
                <w:szCs w:val="20"/>
                <w:color w:val="auto"/>
              </w:rPr>
            </w:pPr>
            <w:r>
              <w:rPr>
                <w:rFonts w:ascii="Arial" w:cs="Arial" w:eastAsia="Arial" w:hAnsi="Arial"/>
                <w:sz w:val="22"/>
                <w:szCs w:val="22"/>
                <w:color w:val="auto"/>
              </w:rPr>
              <w:t>4</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22"/>
                <w:szCs w:val="22"/>
                <w:color w:val="auto"/>
              </w:rPr>
              <w:t>ARTICLE II</w:t>
            </w:r>
          </w:p>
        </w:tc>
        <w:tc>
          <w:tcPr>
            <w:tcW w:w="4040" w:type="dxa"/>
            <w:vAlign w:val="bottom"/>
            <w:gridSpan w:val="5"/>
          </w:tcPr>
          <w:p>
            <w:pPr>
              <w:ind w:left="100"/>
              <w:spacing w:after="0"/>
              <w:rPr>
                <w:sz w:val="20"/>
                <w:szCs w:val="20"/>
                <w:color w:val="auto"/>
              </w:rPr>
            </w:pPr>
            <w:r>
              <w:rPr>
                <w:rFonts w:ascii="Arial" w:cs="Arial" w:eastAsia="Arial" w:hAnsi="Arial"/>
                <w:sz w:val="22"/>
                <w:szCs w:val="22"/>
                <w:color w:val="auto"/>
                <w:w w:val="98"/>
              </w:rPr>
              <w:t>AMOUNT AND TERMS OF THE LOANS</w:t>
            </w:r>
          </w:p>
        </w:tc>
        <w:tc>
          <w:tcPr>
            <w:tcW w:w="1480" w:type="dxa"/>
            <w:vAlign w:val="bottom"/>
          </w:tcPr>
          <w:p>
            <w:pPr>
              <w:jc w:val="right"/>
              <w:ind w:right="1152"/>
              <w:spacing w:after="0"/>
              <w:rPr>
                <w:sz w:val="20"/>
                <w:szCs w:val="20"/>
                <w:color w:val="auto"/>
              </w:rPr>
            </w:pPr>
            <w:r>
              <w:rPr>
                <w:rFonts w:ascii="Arial" w:cs="Arial" w:eastAsia="Arial" w:hAnsi="Arial"/>
                <w:sz w:val="22"/>
                <w:szCs w:val="22"/>
                <w:color w:val="auto"/>
              </w:rPr>
              <w:t>5</w:t>
            </w: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2.1</w:t>
            </w:r>
          </w:p>
        </w:tc>
        <w:tc>
          <w:tcPr>
            <w:tcW w:w="2000" w:type="dxa"/>
            <w:vAlign w:val="bottom"/>
            <w:gridSpan w:val="3"/>
          </w:tcPr>
          <w:p>
            <w:pPr>
              <w:ind w:left="100"/>
              <w:spacing w:after="0"/>
              <w:rPr>
                <w:sz w:val="20"/>
                <w:szCs w:val="20"/>
                <w:color w:val="auto"/>
              </w:rPr>
            </w:pPr>
            <w:r>
              <w:rPr>
                <w:rFonts w:ascii="Arial" w:cs="Arial" w:eastAsia="Arial" w:hAnsi="Arial"/>
                <w:sz w:val="22"/>
                <w:szCs w:val="22"/>
                <w:color w:val="auto"/>
              </w:rPr>
              <w:t>Loan Commitment.</w:t>
            </w:r>
          </w:p>
        </w:tc>
        <w:tc>
          <w:tcPr>
            <w:tcW w:w="1200" w:type="dxa"/>
            <w:vAlign w:val="bottom"/>
          </w:tcPr>
          <w:p>
            <w:pPr>
              <w:jc w:val="right"/>
              <w:ind w:right="972"/>
              <w:spacing w:after="0"/>
              <w:rPr>
                <w:sz w:val="20"/>
                <w:szCs w:val="20"/>
                <w:color w:val="auto"/>
              </w:rPr>
            </w:pPr>
            <w:r>
              <w:rPr>
                <w:rFonts w:ascii="Arial" w:cs="Arial" w:eastAsia="Arial" w:hAnsi="Arial"/>
                <w:sz w:val="22"/>
                <w:szCs w:val="22"/>
                <w:color w:val="auto"/>
                <w:w w:val="81"/>
              </w:rPr>
              <w:t>5</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2.2</w:t>
            </w:r>
          </w:p>
        </w:tc>
        <w:tc>
          <w:tcPr>
            <w:tcW w:w="2000" w:type="dxa"/>
            <w:vAlign w:val="bottom"/>
            <w:gridSpan w:val="3"/>
          </w:tcPr>
          <w:p>
            <w:pPr>
              <w:ind w:left="100"/>
              <w:spacing w:after="0"/>
              <w:rPr>
                <w:sz w:val="20"/>
                <w:szCs w:val="20"/>
                <w:color w:val="auto"/>
              </w:rPr>
            </w:pPr>
            <w:r>
              <w:rPr>
                <w:rFonts w:ascii="Arial" w:cs="Arial" w:eastAsia="Arial" w:hAnsi="Arial"/>
                <w:sz w:val="22"/>
                <w:szCs w:val="22"/>
                <w:color w:val="auto"/>
                <w:w w:val="90"/>
              </w:rPr>
              <w:t>Borrowing Procedure</w:t>
            </w:r>
          </w:p>
        </w:tc>
        <w:tc>
          <w:tcPr>
            <w:tcW w:w="1200" w:type="dxa"/>
            <w:vAlign w:val="bottom"/>
          </w:tcPr>
          <w:p>
            <w:pPr>
              <w:jc w:val="right"/>
              <w:ind w:right="792"/>
              <w:spacing w:after="0"/>
              <w:rPr>
                <w:sz w:val="20"/>
                <w:szCs w:val="20"/>
                <w:color w:val="auto"/>
              </w:rPr>
            </w:pPr>
            <w:r>
              <w:rPr>
                <w:rFonts w:ascii="Arial" w:cs="Arial" w:eastAsia="Arial" w:hAnsi="Arial"/>
                <w:sz w:val="22"/>
                <w:szCs w:val="22"/>
                <w:color w:val="auto"/>
              </w:rPr>
              <w:t>5</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2.3</w:t>
            </w:r>
          </w:p>
        </w:tc>
        <w:tc>
          <w:tcPr>
            <w:tcW w:w="5580" w:type="dxa"/>
            <w:vAlign w:val="bottom"/>
            <w:gridSpan w:val="7"/>
          </w:tcPr>
          <w:p>
            <w:pPr>
              <w:ind w:left="100"/>
              <w:spacing w:after="0"/>
              <w:rPr>
                <w:sz w:val="20"/>
                <w:szCs w:val="20"/>
                <w:color w:val="auto"/>
              </w:rPr>
            </w:pPr>
            <w:r>
              <w:rPr>
                <w:rFonts w:ascii="Arial" w:cs="Arial" w:eastAsia="Arial" w:hAnsi="Arial"/>
                <w:sz w:val="22"/>
                <w:szCs w:val="22"/>
                <w:color w:val="auto"/>
                <w:w w:val="92"/>
              </w:rPr>
              <w:t>Optional Reduction and Termination of Loan Commitment.  5</w:t>
            </w: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2.4</w:t>
            </w:r>
          </w:p>
        </w:tc>
        <w:tc>
          <w:tcPr>
            <w:tcW w:w="2000" w:type="dxa"/>
            <w:vAlign w:val="bottom"/>
            <w:gridSpan w:val="3"/>
          </w:tcPr>
          <w:p>
            <w:pPr>
              <w:ind w:left="100"/>
              <w:spacing w:after="0"/>
              <w:rPr>
                <w:sz w:val="20"/>
                <w:szCs w:val="20"/>
                <w:color w:val="auto"/>
              </w:rPr>
            </w:pPr>
            <w:r>
              <w:rPr>
                <w:rFonts w:ascii="Arial" w:cs="Arial" w:eastAsia="Arial" w:hAnsi="Arial"/>
                <w:sz w:val="22"/>
                <w:szCs w:val="22"/>
                <w:color w:val="auto"/>
                <w:w w:val="92"/>
              </w:rPr>
              <w:t>Repayment of Loans</w:t>
            </w:r>
          </w:p>
        </w:tc>
        <w:tc>
          <w:tcPr>
            <w:tcW w:w="1200" w:type="dxa"/>
            <w:vAlign w:val="bottom"/>
          </w:tcPr>
          <w:p>
            <w:pPr>
              <w:jc w:val="right"/>
              <w:ind w:right="852"/>
              <w:spacing w:after="0"/>
              <w:rPr>
                <w:sz w:val="20"/>
                <w:szCs w:val="20"/>
                <w:color w:val="auto"/>
              </w:rPr>
            </w:pPr>
            <w:r>
              <w:rPr>
                <w:rFonts w:ascii="Arial" w:cs="Arial" w:eastAsia="Arial" w:hAnsi="Arial"/>
                <w:sz w:val="22"/>
                <w:szCs w:val="22"/>
                <w:color w:val="auto"/>
              </w:rPr>
              <w:t>5</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2.5</w:t>
            </w:r>
          </w:p>
        </w:tc>
        <w:tc>
          <w:tcPr>
            <w:tcW w:w="1280" w:type="dxa"/>
            <w:vAlign w:val="bottom"/>
          </w:tcPr>
          <w:p>
            <w:pPr>
              <w:ind w:left="100"/>
              <w:spacing w:after="0"/>
              <w:rPr>
                <w:sz w:val="20"/>
                <w:szCs w:val="20"/>
                <w:color w:val="auto"/>
              </w:rPr>
            </w:pPr>
            <w:r>
              <w:rPr>
                <w:rFonts w:ascii="Arial" w:cs="Arial" w:eastAsia="Arial" w:hAnsi="Arial"/>
                <w:sz w:val="22"/>
                <w:szCs w:val="22"/>
                <w:color w:val="auto"/>
                <w:w w:val="97"/>
              </w:rPr>
              <w:t>Prepayment</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5</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2.6</w:t>
            </w:r>
          </w:p>
        </w:tc>
        <w:tc>
          <w:tcPr>
            <w:tcW w:w="1700" w:type="dxa"/>
            <w:vAlign w:val="bottom"/>
            <w:gridSpan w:val="2"/>
          </w:tcPr>
          <w:p>
            <w:pPr>
              <w:ind w:left="100"/>
              <w:spacing w:after="0"/>
              <w:rPr>
                <w:sz w:val="20"/>
                <w:szCs w:val="20"/>
                <w:color w:val="auto"/>
              </w:rPr>
            </w:pPr>
            <w:r>
              <w:rPr>
                <w:rFonts w:ascii="Arial" w:cs="Arial" w:eastAsia="Arial" w:hAnsi="Arial"/>
                <w:sz w:val="22"/>
                <w:szCs w:val="22"/>
                <w:color w:val="auto"/>
                <w:w w:val="89"/>
              </w:rPr>
              <w:t>Interest on Loans.</w:t>
            </w:r>
          </w:p>
        </w:tc>
        <w:tc>
          <w:tcPr>
            <w:tcW w:w="300" w:type="dxa"/>
            <w:vAlign w:val="bottom"/>
          </w:tcPr>
          <w:p>
            <w:pPr>
              <w:jc w:val="right"/>
              <w:spacing w:after="0"/>
              <w:rPr>
                <w:sz w:val="20"/>
                <w:szCs w:val="20"/>
                <w:color w:val="auto"/>
              </w:rPr>
            </w:pPr>
            <w:r>
              <w:rPr>
                <w:rFonts w:ascii="Arial" w:cs="Arial" w:eastAsia="Arial" w:hAnsi="Arial"/>
                <w:sz w:val="22"/>
                <w:szCs w:val="22"/>
                <w:color w:val="auto"/>
              </w:rPr>
              <w:t>5</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2.7</w:t>
            </w:r>
          </w:p>
        </w:tc>
        <w:tc>
          <w:tcPr>
            <w:tcW w:w="3200" w:type="dxa"/>
            <w:vAlign w:val="bottom"/>
            <w:gridSpan w:val="4"/>
          </w:tcPr>
          <w:p>
            <w:pPr>
              <w:ind w:left="100"/>
              <w:spacing w:after="0"/>
              <w:rPr>
                <w:sz w:val="20"/>
                <w:szCs w:val="20"/>
                <w:color w:val="auto"/>
              </w:rPr>
            </w:pPr>
            <w:r>
              <w:rPr>
                <w:rFonts w:ascii="Arial" w:cs="Arial" w:eastAsia="Arial" w:hAnsi="Arial"/>
                <w:sz w:val="22"/>
                <w:szCs w:val="22"/>
                <w:color w:val="auto"/>
              </w:rPr>
              <w:t>Computation of Interest  6</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2.8</w:t>
            </w:r>
          </w:p>
        </w:tc>
        <w:tc>
          <w:tcPr>
            <w:tcW w:w="1700" w:type="dxa"/>
            <w:vAlign w:val="bottom"/>
            <w:gridSpan w:val="2"/>
          </w:tcPr>
          <w:p>
            <w:pPr>
              <w:ind w:left="100"/>
              <w:spacing w:after="0"/>
              <w:rPr>
                <w:sz w:val="20"/>
                <w:szCs w:val="20"/>
                <w:color w:val="auto"/>
              </w:rPr>
            </w:pPr>
            <w:r>
              <w:rPr>
                <w:rFonts w:ascii="Arial" w:cs="Arial" w:eastAsia="Arial" w:hAnsi="Arial"/>
                <w:sz w:val="22"/>
                <w:szCs w:val="22"/>
                <w:color w:val="auto"/>
                <w:w w:val="94"/>
              </w:rPr>
              <w:t>Evidence of Debt</w:t>
            </w:r>
          </w:p>
        </w:tc>
        <w:tc>
          <w:tcPr>
            <w:tcW w:w="300" w:type="dxa"/>
            <w:vAlign w:val="bottom"/>
          </w:tcPr>
          <w:p>
            <w:pPr>
              <w:jc w:val="right"/>
              <w:spacing w:after="0"/>
              <w:rPr>
                <w:sz w:val="20"/>
                <w:szCs w:val="20"/>
                <w:color w:val="auto"/>
              </w:rPr>
            </w:pPr>
            <w:r>
              <w:rPr>
                <w:rFonts w:ascii="Arial" w:cs="Arial" w:eastAsia="Arial" w:hAnsi="Arial"/>
                <w:sz w:val="22"/>
                <w:szCs w:val="22"/>
                <w:color w:val="auto"/>
              </w:rPr>
              <w:t>6</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2.9</w:t>
            </w:r>
          </w:p>
        </w:tc>
        <w:tc>
          <w:tcPr>
            <w:tcW w:w="2000" w:type="dxa"/>
            <w:vAlign w:val="bottom"/>
            <w:gridSpan w:val="3"/>
          </w:tcPr>
          <w:p>
            <w:pPr>
              <w:ind w:left="100"/>
              <w:spacing w:after="0"/>
              <w:rPr>
                <w:sz w:val="20"/>
                <w:szCs w:val="20"/>
                <w:color w:val="auto"/>
              </w:rPr>
            </w:pPr>
            <w:r>
              <w:rPr>
                <w:rFonts w:ascii="Arial" w:cs="Arial" w:eastAsia="Arial" w:hAnsi="Arial"/>
                <w:sz w:val="22"/>
                <w:szCs w:val="22"/>
                <w:color w:val="auto"/>
                <w:w w:val="94"/>
              </w:rPr>
              <w:t>Payments Generally</w:t>
            </w:r>
          </w:p>
        </w:tc>
        <w:tc>
          <w:tcPr>
            <w:tcW w:w="1200" w:type="dxa"/>
            <w:vAlign w:val="bottom"/>
          </w:tcPr>
          <w:p>
            <w:pPr>
              <w:jc w:val="right"/>
              <w:ind w:right="912"/>
              <w:spacing w:after="0"/>
              <w:rPr>
                <w:sz w:val="20"/>
                <w:szCs w:val="20"/>
                <w:color w:val="auto"/>
              </w:rPr>
            </w:pPr>
            <w:r>
              <w:rPr>
                <w:rFonts w:ascii="Arial" w:cs="Arial" w:eastAsia="Arial" w:hAnsi="Arial"/>
                <w:sz w:val="22"/>
                <w:szCs w:val="22"/>
                <w:color w:val="auto"/>
              </w:rPr>
              <w:t>6</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w w:val="94"/>
              </w:rPr>
              <w:t>Section 2.10</w:t>
            </w:r>
          </w:p>
        </w:tc>
        <w:tc>
          <w:tcPr>
            <w:tcW w:w="1280" w:type="dxa"/>
            <w:vAlign w:val="bottom"/>
          </w:tcPr>
          <w:p>
            <w:pPr>
              <w:ind w:left="100"/>
              <w:spacing w:after="0"/>
              <w:rPr>
                <w:sz w:val="20"/>
                <w:szCs w:val="20"/>
                <w:color w:val="auto"/>
              </w:rPr>
            </w:pPr>
            <w:r>
              <w:rPr>
                <w:rFonts w:ascii="Arial" w:cs="Arial" w:eastAsia="Arial" w:hAnsi="Arial"/>
                <w:sz w:val="22"/>
                <w:szCs w:val="22"/>
                <w:color w:val="auto"/>
              </w:rPr>
              <w:t>Taxes  6</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w w:val="94"/>
              </w:rPr>
              <w:t>Section 2.11</w:t>
            </w:r>
          </w:p>
        </w:tc>
        <w:tc>
          <w:tcPr>
            <w:tcW w:w="1280" w:type="dxa"/>
            <w:vAlign w:val="bottom"/>
          </w:tcPr>
          <w:p>
            <w:pPr>
              <w:ind w:left="100"/>
              <w:spacing w:after="0"/>
              <w:rPr>
                <w:sz w:val="20"/>
                <w:szCs w:val="20"/>
                <w:color w:val="auto"/>
              </w:rPr>
            </w:pPr>
            <w:r>
              <w:rPr>
                <w:rFonts w:ascii="Arial" w:cs="Arial" w:eastAsia="Arial" w:hAnsi="Arial"/>
                <w:sz w:val="22"/>
                <w:szCs w:val="22"/>
                <w:color w:val="auto"/>
              </w:rPr>
              <w:t>Illegality  7</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22"/>
                <w:szCs w:val="22"/>
                <w:color w:val="auto"/>
              </w:rPr>
              <w:t>ARTICLE III</w:t>
            </w:r>
          </w:p>
        </w:tc>
        <w:tc>
          <w:tcPr>
            <w:tcW w:w="4040" w:type="dxa"/>
            <w:vAlign w:val="bottom"/>
            <w:gridSpan w:val="5"/>
          </w:tcPr>
          <w:p>
            <w:pPr>
              <w:ind w:left="100"/>
              <w:spacing w:after="0"/>
              <w:rPr>
                <w:sz w:val="20"/>
                <w:szCs w:val="20"/>
                <w:color w:val="auto"/>
              </w:rPr>
            </w:pPr>
            <w:r>
              <w:rPr>
                <w:rFonts w:ascii="Arial" w:cs="Arial" w:eastAsia="Arial" w:hAnsi="Arial"/>
                <w:sz w:val="22"/>
                <w:szCs w:val="22"/>
                <w:color w:val="auto"/>
                <w:w w:val="98"/>
              </w:rPr>
              <w:t>CONDITIONS PRECEDENT TO LOANS</w:t>
            </w:r>
          </w:p>
        </w:tc>
        <w:tc>
          <w:tcPr>
            <w:tcW w:w="1480" w:type="dxa"/>
            <w:vAlign w:val="bottom"/>
          </w:tcPr>
          <w:p>
            <w:pPr>
              <w:jc w:val="right"/>
              <w:ind w:right="1252"/>
              <w:spacing w:after="0"/>
              <w:rPr>
                <w:sz w:val="20"/>
                <w:szCs w:val="20"/>
                <w:color w:val="auto"/>
              </w:rPr>
            </w:pPr>
            <w:r>
              <w:rPr>
                <w:rFonts w:ascii="Arial" w:cs="Arial" w:eastAsia="Arial" w:hAnsi="Arial"/>
                <w:sz w:val="22"/>
                <w:szCs w:val="22"/>
                <w:color w:val="auto"/>
                <w:w w:val="81"/>
              </w:rPr>
              <w:t>7</w:t>
            </w: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3.1</w:t>
            </w:r>
          </w:p>
        </w:tc>
        <w:tc>
          <w:tcPr>
            <w:tcW w:w="3200" w:type="dxa"/>
            <w:vAlign w:val="bottom"/>
            <w:gridSpan w:val="4"/>
          </w:tcPr>
          <w:p>
            <w:pPr>
              <w:ind w:left="100"/>
              <w:spacing w:after="0"/>
              <w:rPr>
                <w:sz w:val="20"/>
                <w:szCs w:val="20"/>
                <w:color w:val="auto"/>
              </w:rPr>
            </w:pPr>
            <w:r>
              <w:rPr>
                <w:rFonts w:ascii="Arial" w:cs="Arial" w:eastAsia="Arial" w:hAnsi="Arial"/>
                <w:sz w:val="22"/>
                <w:szCs w:val="22"/>
                <w:color w:val="auto"/>
              </w:rPr>
              <w:t>Conditions to Effectiveness  7</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3.2</w:t>
            </w:r>
          </w:p>
        </w:tc>
        <w:tc>
          <w:tcPr>
            <w:tcW w:w="3200" w:type="dxa"/>
            <w:vAlign w:val="bottom"/>
            <w:gridSpan w:val="4"/>
          </w:tcPr>
          <w:p>
            <w:pPr>
              <w:ind w:left="100"/>
              <w:spacing w:after="0"/>
              <w:rPr>
                <w:sz w:val="20"/>
                <w:szCs w:val="20"/>
                <w:color w:val="auto"/>
              </w:rPr>
            </w:pPr>
            <w:r>
              <w:rPr>
                <w:rFonts w:ascii="Arial" w:cs="Arial" w:eastAsia="Arial" w:hAnsi="Arial"/>
                <w:sz w:val="22"/>
                <w:szCs w:val="22"/>
                <w:color w:val="auto"/>
                <w:w w:val="90"/>
              </w:rPr>
              <w:t>Conditions to Making of each Loan</w:t>
            </w:r>
          </w:p>
        </w:tc>
        <w:tc>
          <w:tcPr>
            <w:tcW w:w="840" w:type="dxa"/>
            <w:vAlign w:val="bottom"/>
          </w:tcPr>
          <w:p>
            <w:pPr>
              <w:jc w:val="right"/>
              <w:ind w:right="432"/>
              <w:spacing w:after="0"/>
              <w:rPr>
                <w:sz w:val="20"/>
                <w:szCs w:val="20"/>
                <w:color w:val="auto"/>
              </w:rPr>
            </w:pPr>
            <w:r>
              <w:rPr>
                <w:rFonts w:ascii="Arial" w:cs="Arial" w:eastAsia="Arial" w:hAnsi="Arial"/>
                <w:sz w:val="22"/>
                <w:szCs w:val="22"/>
                <w:color w:val="auto"/>
              </w:rPr>
              <w:t>7</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22"/>
                <w:szCs w:val="22"/>
                <w:color w:val="auto"/>
              </w:rPr>
              <w:t>ARTICLE IV</w:t>
            </w:r>
          </w:p>
        </w:tc>
        <w:tc>
          <w:tcPr>
            <w:tcW w:w="4040" w:type="dxa"/>
            <w:vAlign w:val="bottom"/>
            <w:gridSpan w:val="5"/>
          </w:tcPr>
          <w:p>
            <w:pPr>
              <w:ind w:left="100"/>
              <w:spacing w:after="0"/>
              <w:rPr>
                <w:sz w:val="20"/>
                <w:szCs w:val="20"/>
                <w:color w:val="auto"/>
              </w:rPr>
            </w:pPr>
            <w:r>
              <w:rPr>
                <w:rFonts w:ascii="Arial" w:cs="Arial" w:eastAsia="Arial" w:hAnsi="Arial"/>
                <w:sz w:val="22"/>
                <w:szCs w:val="22"/>
                <w:color w:val="auto"/>
                <w:w w:val="92"/>
              </w:rPr>
              <w:t>REPRESENTATIONS AND WARRANTIES</w:t>
            </w:r>
          </w:p>
        </w:tc>
        <w:tc>
          <w:tcPr>
            <w:tcW w:w="1480" w:type="dxa"/>
            <w:vAlign w:val="bottom"/>
          </w:tcPr>
          <w:p>
            <w:pPr>
              <w:jc w:val="right"/>
              <w:ind w:right="1052"/>
              <w:spacing w:after="0"/>
              <w:rPr>
                <w:sz w:val="20"/>
                <w:szCs w:val="20"/>
                <w:color w:val="auto"/>
              </w:rPr>
            </w:pPr>
            <w:r>
              <w:rPr>
                <w:rFonts w:ascii="Arial" w:cs="Arial" w:eastAsia="Arial" w:hAnsi="Arial"/>
                <w:sz w:val="22"/>
                <w:szCs w:val="22"/>
                <w:color w:val="auto"/>
              </w:rPr>
              <w:t>8</w:t>
            </w: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4.1</w:t>
            </w:r>
          </w:p>
        </w:tc>
        <w:tc>
          <w:tcPr>
            <w:tcW w:w="2000" w:type="dxa"/>
            <w:vAlign w:val="bottom"/>
            <w:gridSpan w:val="3"/>
          </w:tcPr>
          <w:p>
            <w:pPr>
              <w:ind w:left="100"/>
              <w:spacing w:after="0"/>
              <w:rPr>
                <w:sz w:val="20"/>
                <w:szCs w:val="20"/>
                <w:color w:val="auto"/>
              </w:rPr>
            </w:pPr>
            <w:r>
              <w:rPr>
                <w:rFonts w:ascii="Arial" w:cs="Arial" w:eastAsia="Arial" w:hAnsi="Arial"/>
                <w:sz w:val="22"/>
                <w:szCs w:val="22"/>
                <w:color w:val="auto"/>
                <w:w w:val="94"/>
              </w:rPr>
              <w:t>Corporate Existence</w:t>
            </w:r>
          </w:p>
        </w:tc>
        <w:tc>
          <w:tcPr>
            <w:tcW w:w="1200" w:type="dxa"/>
            <w:vAlign w:val="bottom"/>
          </w:tcPr>
          <w:p>
            <w:pPr>
              <w:jc w:val="right"/>
              <w:ind w:right="912"/>
              <w:spacing w:after="0"/>
              <w:rPr>
                <w:sz w:val="20"/>
                <w:szCs w:val="20"/>
                <w:color w:val="auto"/>
              </w:rPr>
            </w:pPr>
            <w:r>
              <w:rPr>
                <w:rFonts w:ascii="Arial" w:cs="Arial" w:eastAsia="Arial" w:hAnsi="Arial"/>
                <w:sz w:val="22"/>
                <w:szCs w:val="22"/>
                <w:color w:val="auto"/>
              </w:rPr>
              <w:t>8</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4.2</w:t>
            </w:r>
          </w:p>
        </w:tc>
        <w:tc>
          <w:tcPr>
            <w:tcW w:w="5580" w:type="dxa"/>
            <w:vAlign w:val="bottom"/>
            <w:gridSpan w:val="7"/>
          </w:tcPr>
          <w:p>
            <w:pPr>
              <w:ind w:left="100"/>
              <w:spacing w:after="0"/>
              <w:rPr>
                <w:sz w:val="20"/>
                <w:szCs w:val="20"/>
                <w:color w:val="auto"/>
              </w:rPr>
            </w:pPr>
            <w:r>
              <w:rPr>
                <w:rFonts w:ascii="Arial" w:cs="Arial" w:eastAsia="Arial" w:hAnsi="Arial"/>
                <w:sz w:val="22"/>
                <w:szCs w:val="22"/>
                <w:color w:val="auto"/>
              </w:rPr>
              <w:t>Power; Authorization; Enforceable Obligations.  8</w:t>
            </w: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4.3</w:t>
            </w:r>
          </w:p>
        </w:tc>
        <w:tc>
          <w:tcPr>
            <w:tcW w:w="1280" w:type="dxa"/>
            <w:vAlign w:val="bottom"/>
          </w:tcPr>
          <w:p>
            <w:pPr>
              <w:ind w:left="100"/>
              <w:spacing w:after="0"/>
              <w:rPr>
                <w:sz w:val="20"/>
                <w:szCs w:val="20"/>
                <w:color w:val="auto"/>
              </w:rPr>
            </w:pPr>
            <w:r>
              <w:rPr>
                <w:rFonts w:ascii="Arial" w:cs="Arial" w:eastAsia="Arial" w:hAnsi="Arial"/>
                <w:sz w:val="22"/>
                <w:szCs w:val="22"/>
                <w:color w:val="auto"/>
                <w:w w:val="90"/>
              </w:rPr>
              <w:t>No Legal Bar</w:t>
            </w:r>
          </w:p>
        </w:tc>
        <w:tc>
          <w:tcPr>
            <w:tcW w:w="420" w:type="dxa"/>
            <w:vAlign w:val="bottom"/>
          </w:tcPr>
          <w:p>
            <w:pPr>
              <w:jc w:val="right"/>
              <w:spacing w:after="0"/>
              <w:rPr>
                <w:sz w:val="20"/>
                <w:szCs w:val="20"/>
                <w:color w:val="auto"/>
              </w:rPr>
            </w:pPr>
            <w:r>
              <w:rPr>
                <w:rFonts w:ascii="Arial" w:cs="Arial" w:eastAsia="Arial" w:hAnsi="Arial"/>
                <w:sz w:val="22"/>
                <w:szCs w:val="22"/>
                <w:color w:val="auto"/>
              </w:rPr>
              <w:t>8</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4.4</w:t>
            </w:r>
          </w:p>
        </w:tc>
        <w:tc>
          <w:tcPr>
            <w:tcW w:w="1280" w:type="dxa"/>
            <w:vAlign w:val="bottom"/>
          </w:tcPr>
          <w:p>
            <w:pPr>
              <w:ind w:left="100"/>
              <w:spacing w:after="0"/>
              <w:rPr>
                <w:sz w:val="20"/>
                <w:szCs w:val="20"/>
                <w:color w:val="auto"/>
              </w:rPr>
            </w:pPr>
            <w:r>
              <w:rPr>
                <w:rFonts w:ascii="Arial" w:cs="Arial" w:eastAsia="Arial" w:hAnsi="Arial"/>
                <w:sz w:val="22"/>
                <w:szCs w:val="22"/>
                <w:color w:val="auto"/>
              </w:rPr>
              <w:t>No Default</w:t>
            </w:r>
          </w:p>
        </w:tc>
        <w:tc>
          <w:tcPr>
            <w:tcW w:w="420" w:type="dxa"/>
            <w:vAlign w:val="bottom"/>
          </w:tcPr>
          <w:p>
            <w:pPr>
              <w:jc w:val="right"/>
              <w:ind w:right="192"/>
              <w:spacing w:after="0"/>
              <w:rPr>
                <w:sz w:val="20"/>
                <w:szCs w:val="20"/>
                <w:color w:val="auto"/>
              </w:rPr>
            </w:pPr>
            <w:r>
              <w:rPr>
                <w:rFonts w:ascii="Arial" w:cs="Arial" w:eastAsia="Arial" w:hAnsi="Arial"/>
                <w:sz w:val="22"/>
                <w:szCs w:val="22"/>
                <w:color w:val="auto"/>
                <w:w w:val="81"/>
              </w:rPr>
              <w:t>8</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4.5</w:t>
            </w:r>
          </w:p>
        </w:tc>
        <w:tc>
          <w:tcPr>
            <w:tcW w:w="1700" w:type="dxa"/>
            <w:vAlign w:val="bottom"/>
            <w:gridSpan w:val="2"/>
          </w:tcPr>
          <w:p>
            <w:pPr>
              <w:ind w:left="100"/>
              <w:spacing w:after="0"/>
              <w:rPr>
                <w:sz w:val="20"/>
                <w:szCs w:val="20"/>
                <w:color w:val="auto"/>
              </w:rPr>
            </w:pPr>
            <w:r>
              <w:rPr>
                <w:rFonts w:ascii="Arial" w:cs="Arial" w:eastAsia="Arial" w:hAnsi="Arial"/>
                <w:sz w:val="22"/>
                <w:szCs w:val="22"/>
                <w:color w:val="auto"/>
                <w:w w:val="97"/>
              </w:rPr>
              <w:t>Use of Proceeds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8</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22"/>
                <w:szCs w:val="22"/>
                <w:color w:val="auto"/>
              </w:rPr>
              <w:t>ARTICLE V</w:t>
            </w:r>
          </w:p>
        </w:tc>
        <w:tc>
          <w:tcPr>
            <w:tcW w:w="2000" w:type="dxa"/>
            <w:vAlign w:val="bottom"/>
            <w:gridSpan w:val="3"/>
          </w:tcPr>
          <w:p>
            <w:pPr>
              <w:ind w:left="100"/>
              <w:spacing w:after="0"/>
              <w:rPr>
                <w:sz w:val="20"/>
                <w:szCs w:val="20"/>
                <w:color w:val="auto"/>
              </w:rPr>
            </w:pPr>
            <w:r>
              <w:rPr>
                <w:rFonts w:ascii="Arial" w:cs="Arial" w:eastAsia="Arial" w:hAnsi="Arial"/>
                <w:sz w:val="22"/>
                <w:szCs w:val="22"/>
                <w:color w:val="auto"/>
              </w:rPr>
              <w:t>COVENANTS  9</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5.1</w:t>
            </w:r>
          </w:p>
        </w:tc>
        <w:tc>
          <w:tcPr>
            <w:tcW w:w="3200" w:type="dxa"/>
            <w:vAlign w:val="bottom"/>
            <w:gridSpan w:val="4"/>
          </w:tcPr>
          <w:p>
            <w:pPr>
              <w:ind w:left="100"/>
              <w:spacing w:after="0"/>
              <w:rPr>
                <w:sz w:val="20"/>
                <w:szCs w:val="20"/>
                <w:color w:val="auto"/>
              </w:rPr>
            </w:pPr>
            <w:r>
              <w:rPr>
                <w:rFonts w:ascii="Arial" w:cs="Arial" w:eastAsia="Arial" w:hAnsi="Arial"/>
                <w:sz w:val="22"/>
                <w:szCs w:val="22"/>
                <w:color w:val="auto"/>
                <w:w w:val="98"/>
              </w:rPr>
              <w:t>Delivery of Financial Information</w:t>
            </w:r>
          </w:p>
        </w:tc>
        <w:tc>
          <w:tcPr>
            <w:tcW w:w="840" w:type="dxa"/>
            <w:vAlign w:val="bottom"/>
          </w:tcPr>
          <w:p>
            <w:pPr>
              <w:jc w:val="right"/>
              <w:ind w:right="572"/>
              <w:spacing w:after="0"/>
              <w:rPr>
                <w:sz w:val="20"/>
                <w:szCs w:val="20"/>
                <w:color w:val="auto"/>
              </w:rPr>
            </w:pPr>
            <w:r>
              <w:rPr>
                <w:rFonts w:ascii="Arial" w:cs="Arial" w:eastAsia="Arial" w:hAnsi="Arial"/>
                <w:sz w:val="22"/>
                <w:szCs w:val="22"/>
                <w:color w:val="auto"/>
              </w:rPr>
              <w:t>9</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5.2</w:t>
            </w:r>
          </w:p>
        </w:tc>
        <w:tc>
          <w:tcPr>
            <w:tcW w:w="1700" w:type="dxa"/>
            <w:vAlign w:val="bottom"/>
            <w:gridSpan w:val="2"/>
          </w:tcPr>
          <w:p>
            <w:pPr>
              <w:ind w:left="100"/>
              <w:spacing w:after="0"/>
              <w:rPr>
                <w:sz w:val="20"/>
                <w:szCs w:val="20"/>
                <w:color w:val="auto"/>
              </w:rPr>
            </w:pPr>
            <w:r>
              <w:rPr>
                <w:rFonts w:ascii="Arial" w:cs="Arial" w:eastAsia="Arial" w:hAnsi="Arial"/>
                <w:sz w:val="22"/>
                <w:szCs w:val="22"/>
                <w:color w:val="auto"/>
                <w:w w:val="97"/>
              </w:rPr>
              <w:t>Notice of Default</w:t>
            </w:r>
          </w:p>
        </w:tc>
        <w:tc>
          <w:tcPr>
            <w:tcW w:w="300" w:type="dxa"/>
            <w:vAlign w:val="bottom"/>
          </w:tcPr>
          <w:p>
            <w:pPr>
              <w:jc w:val="right"/>
              <w:spacing w:after="0"/>
              <w:rPr>
                <w:sz w:val="20"/>
                <w:szCs w:val="20"/>
                <w:color w:val="auto"/>
              </w:rPr>
            </w:pPr>
            <w:r>
              <w:rPr>
                <w:rFonts w:ascii="Arial" w:cs="Arial" w:eastAsia="Arial" w:hAnsi="Arial"/>
                <w:sz w:val="22"/>
                <w:szCs w:val="22"/>
                <w:color w:val="auto"/>
              </w:rPr>
              <w:t>9</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360" w:type="dxa"/>
            <w:vAlign w:val="bottom"/>
          </w:tcPr>
          <w:p>
            <w:pPr>
              <w:ind w:left="180"/>
              <w:spacing w:after="0"/>
              <w:rPr>
                <w:sz w:val="20"/>
                <w:szCs w:val="20"/>
                <w:color w:val="auto"/>
              </w:rPr>
            </w:pPr>
            <w:r>
              <w:rPr>
                <w:rFonts w:ascii="Arial" w:cs="Arial" w:eastAsia="Arial" w:hAnsi="Arial"/>
                <w:sz w:val="22"/>
                <w:szCs w:val="22"/>
                <w:color w:val="auto"/>
              </w:rPr>
              <w:t>Section 5.3</w:t>
            </w:r>
          </w:p>
        </w:tc>
        <w:tc>
          <w:tcPr>
            <w:tcW w:w="5580" w:type="dxa"/>
            <w:vAlign w:val="bottom"/>
            <w:gridSpan w:val="7"/>
          </w:tcPr>
          <w:p>
            <w:pPr>
              <w:ind w:left="100"/>
              <w:spacing w:after="0"/>
              <w:rPr>
                <w:sz w:val="20"/>
                <w:szCs w:val="20"/>
                <w:color w:val="auto"/>
              </w:rPr>
            </w:pPr>
            <w:r>
              <w:rPr>
                <w:rFonts w:ascii="Arial" w:cs="Arial" w:eastAsia="Arial" w:hAnsi="Arial"/>
                <w:sz w:val="22"/>
                <w:szCs w:val="22"/>
                <w:color w:val="auto"/>
                <w:w w:val="96"/>
              </w:rPr>
              <w:t>Conduct of Business and Maintenance of Existence, etc  9</w:t>
            </w:r>
          </w:p>
        </w:tc>
      </w:tr>
    </w:tbl>
    <w:p>
      <w:pPr>
        <w:sectPr>
          <w:pgSz w:w="11900" w:h="16838" w:orient="portrait"/>
          <w:cols w:equalWidth="0" w:num="1">
            <w:col w:w="10219"/>
          </w:cols>
          <w:pgMar w:left="240" w:top="1048" w:right="1440"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00" w:type="dxa"/>
            <w:vAlign w:val="bottom"/>
          </w:tcPr>
          <w:p>
            <w:pPr>
              <w:spacing w:after="0"/>
              <w:rPr>
                <w:sz w:val="20"/>
                <w:szCs w:val="20"/>
                <w:color w:val="auto"/>
              </w:rPr>
            </w:pPr>
            <w:r>
              <w:rPr>
                <w:rFonts w:ascii="Arial" w:cs="Arial" w:eastAsia="Arial" w:hAnsi="Arial"/>
                <w:sz w:val="22"/>
                <w:szCs w:val="22"/>
                <w:color w:val="auto"/>
              </w:rPr>
              <w:t>ARTICLE VI</w:t>
            </w:r>
          </w:p>
        </w:tc>
        <w:tc>
          <w:tcPr>
            <w:tcW w:w="2300" w:type="dxa"/>
            <w:vAlign w:val="bottom"/>
            <w:gridSpan w:val="5"/>
          </w:tcPr>
          <w:p>
            <w:pPr>
              <w:ind w:left="60"/>
              <w:spacing w:after="0"/>
              <w:rPr>
                <w:sz w:val="20"/>
                <w:szCs w:val="20"/>
                <w:color w:val="auto"/>
              </w:rPr>
            </w:pPr>
            <w:r>
              <w:rPr>
                <w:rFonts w:ascii="Arial" w:cs="Arial" w:eastAsia="Arial" w:hAnsi="Arial"/>
                <w:sz w:val="22"/>
                <w:szCs w:val="22"/>
                <w:color w:val="auto"/>
                <w:w w:val="96"/>
              </w:rPr>
              <w:t>EVENTS OF DEFAULT</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9</w:t>
            </w:r>
          </w:p>
        </w:tc>
        <w:tc>
          <w:tcPr>
            <w:tcW w:w="2880" w:type="dxa"/>
            <w:vAlign w:val="bottom"/>
          </w:tcPr>
          <w:p>
            <w:pPr>
              <w:spacing w:after="0"/>
              <w:rPr>
                <w:sz w:val="23"/>
                <w:szCs w:val="23"/>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6.1</w:t>
            </w:r>
          </w:p>
        </w:tc>
        <w:tc>
          <w:tcPr>
            <w:tcW w:w="1740" w:type="dxa"/>
            <w:vAlign w:val="bottom"/>
            <w:gridSpan w:val="3"/>
          </w:tcPr>
          <w:p>
            <w:pPr>
              <w:ind w:left="60"/>
              <w:spacing w:after="0"/>
              <w:rPr>
                <w:sz w:val="20"/>
                <w:szCs w:val="20"/>
                <w:color w:val="auto"/>
              </w:rPr>
            </w:pPr>
            <w:r>
              <w:rPr>
                <w:rFonts w:ascii="Arial" w:cs="Arial" w:eastAsia="Arial" w:hAnsi="Arial"/>
                <w:sz w:val="22"/>
                <w:szCs w:val="22"/>
                <w:color w:val="auto"/>
                <w:w w:val="99"/>
              </w:rPr>
              <w:t>Events of Default</w:t>
            </w:r>
          </w:p>
        </w:tc>
        <w:tc>
          <w:tcPr>
            <w:tcW w:w="240" w:type="dxa"/>
            <w:vAlign w:val="bottom"/>
          </w:tcPr>
          <w:p>
            <w:pPr>
              <w:jc w:val="right"/>
              <w:spacing w:after="0"/>
              <w:rPr>
                <w:sz w:val="20"/>
                <w:szCs w:val="20"/>
                <w:color w:val="auto"/>
              </w:rPr>
            </w:pPr>
            <w:r>
              <w:rPr>
                <w:rFonts w:ascii="Arial" w:cs="Arial" w:eastAsia="Arial" w:hAnsi="Arial"/>
                <w:sz w:val="22"/>
                <w:szCs w:val="22"/>
                <w:color w:val="auto"/>
              </w:rPr>
              <w:t>9</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spacing w:after="0"/>
              <w:rPr>
                <w:sz w:val="20"/>
                <w:szCs w:val="20"/>
                <w:color w:val="auto"/>
              </w:rPr>
            </w:pPr>
            <w:r>
              <w:rPr>
                <w:rFonts w:ascii="Arial" w:cs="Arial" w:eastAsia="Arial" w:hAnsi="Arial"/>
                <w:sz w:val="22"/>
                <w:szCs w:val="22"/>
                <w:color w:val="auto"/>
              </w:rPr>
              <w:t>ARTICLE VII</w:t>
            </w:r>
          </w:p>
        </w:tc>
        <w:tc>
          <w:tcPr>
            <w:tcW w:w="1980" w:type="dxa"/>
            <w:vAlign w:val="bottom"/>
            <w:gridSpan w:val="4"/>
          </w:tcPr>
          <w:p>
            <w:pPr>
              <w:ind w:left="60"/>
              <w:spacing w:after="0"/>
              <w:rPr>
                <w:sz w:val="20"/>
                <w:szCs w:val="20"/>
                <w:color w:val="auto"/>
              </w:rPr>
            </w:pPr>
            <w:r>
              <w:rPr>
                <w:rFonts w:ascii="Arial" w:cs="Arial" w:eastAsia="Arial" w:hAnsi="Arial"/>
                <w:sz w:val="22"/>
                <w:szCs w:val="22"/>
                <w:color w:val="auto"/>
              </w:rPr>
              <w:t>MISCELLANEOUS</w:t>
            </w:r>
          </w:p>
        </w:tc>
        <w:tc>
          <w:tcPr>
            <w:tcW w:w="320" w:type="dxa"/>
            <w:vAlign w:val="bottom"/>
          </w:tcPr>
          <w:p>
            <w:pPr>
              <w:jc w:val="right"/>
              <w:spacing w:after="0"/>
              <w:rPr>
                <w:sz w:val="20"/>
                <w:szCs w:val="20"/>
                <w:color w:val="auto"/>
              </w:rPr>
            </w:pPr>
            <w:r>
              <w:rPr>
                <w:rFonts w:ascii="Arial" w:cs="Arial" w:eastAsia="Arial" w:hAnsi="Arial"/>
                <w:sz w:val="22"/>
                <w:szCs w:val="22"/>
                <w:color w:val="auto"/>
              </w:rPr>
              <w:t>10</w:t>
            </w: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7.1</w:t>
            </w:r>
          </w:p>
        </w:tc>
        <w:tc>
          <w:tcPr>
            <w:tcW w:w="900" w:type="dxa"/>
            <w:vAlign w:val="bottom"/>
          </w:tcPr>
          <w:p>
            <w:pPr>
              <w:ind w:left="60"/>
              <w:spacing w:after="0"/>
              <w:rPr>
                <w:sz w:val="20"/>
                <w:szCs w:val="20"/>
                <w:color w:val="auto"/>
              </w:rPr>
            </w:pPr>
            <w:r>
              <w:rPr>
                <w:rFonts w:ascii="Arial" w:cs="Arial" w:eastAsia="Arial" w:hAnsi="Arial"/>
                <w:sz w:val="22"/>
                <w:szCs w:val="22"/>
                <w:color w:val="auto"/>
              </w:rPr>
              <w:t>Notices.</w:t>
            </w:r>
          </w:p>
        </w:tc>
        <w:tc>
          <w:tcPr>
            <w:tcW w:w="320" w:type="dxa"/>
            <w:vAlign w:val="bottom"/>
          </w:tcPr>
          <w:p>
            <w:pPr>
              <w:jc w:val="right"/>
              <w:spacing w:after="0"/>
              <w:rPr>
                <w:sz w:val="20"/>
                <w:szCs w:val="20"/>
                <w:color w:val="auto"/>
              </w:rPr>
            </w:pPr>
            <w:r>
              <w:rPr>
                <w:rFonts w:ascii="Arial" w:cs="Arial" w:eastAsia="Arial" w:hAnsi="Arial"/>
                <w:sz w:val="22"/>
                <w:szCs w:val="22"/>
                <w:color w:val="auto"/>
              </w:rPr>
              <w:t>10</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7.2</w:t>
            </w:r>
          </w:p>
        </w:tc>
        <w:tc>
          <w:tcPr>
            <w:tcW w:w="1980" w:type="dxa"/>
            <w:vAlign w:val="bottom"/>
            <w:gridSpan w:val="4"/>
          </w:tcPr>
          <w:p>
            <w:pPr>
              <w:ind w:left="60"/>
              <w:spacing w:after="0"/>
              <w:rPr>
                <w:sz w:val="20"/>
                <w:szCs w:val="20"/>
                <w:color w:val="auto"/>
              </w:rPr>
            </w:pPr>
            <w:r>
              <w:rPr>
                <w:rFonts w:ascii="Arial" w:cs="Arial" w:eastAsia="Arial" w:hAnsi="Arial"/>
                <w:sz w:val="22"/>
                <w:szCs w:val="22"/>
                <w:color w:val="auto"/>
                <w:w w:val="90"/>
              </w:rPr>
              <w:t>Waiver; Amendments</w:t>
            </w:r>
          </w:p>
        </w:tc>
        <w:tc>
          <w:tcPr>
            <w:tcW w:w="700" w:type="dxa"/>
            <w:vAlign w:val="bottom"/>
            <w:gridSpan w:val="2"/>
          </w:tcPr>
          <w:p>
            <w:pPr>
              <w:jc w:val="right"/>
              <w:ind w:right="192"/>
              <w:spacing w:after="0"/>
              <w:rPr>
                <w:sz w:val="20"/>
                <w:szCs w:val="20"/>
                <w:color w:val="auto"/>
              </w:rPr>
            </w:pPr>
            <w:r>
              <w:rPr>
                <w:rFonts w:ascii="Arial" w:cs="Arial" w:eastAsia="Arial" w:hAnsi="Arial"/>
                <w:sz w:val="22"/>
                <w:szCs w:val="22"/>
                <w:color w:val="auto"/>
              </w:rPr>
              <w:t>11</w:t>
            </w: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7.3</w:t>
            </w:r>
          </w:p>
        </w:tc>
        <w:tc>
          <w:tcPr>
            <w:tcW w:w="5560" w:type="dxa"/>
            <w:vAlign w:val="bottom"/>
            <w:gridSpan w:val="7"/>
          </w:tcPr>
          <w:p>
            <w:pPr>
              <w:ind w:left="60"/>
              <w:spacing w:after="0"/>
              <w:rPr>
                <w:sz w:val="20"/>
                <w:szCs w:val="20"/>
                <w:color w:val="auto"/>
              </w:rPr>
            </w:pPr>
            <w:r>
              <w:rPr>
                <w:rFonts w:ascii="Arial" w:cs="Arial" w:eastAsia="Arial" w:hAnsi="Arial"/>
                <w:sz w:val="22"/>
                <w:szCs w:val="22"/>
                <w:color w:val="auto"/>
              </w:rPr>
              <w:t>Expenses; Indemnification.  11</w:t>
            </w: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7.4</w:t>
            </w:r>
          </w:p>
        </w:tc>
        <w:tc>
          <w:tcPr>
            <w:tcW w:w="2300" w:type="dxa"/>
            <w:vAlign w:val="bottom"/>
            <w:gridSpan w:val="5"/>
          </w:tcPr>
          <w:p>
            <w:pPr>
              <w:ind w:left="60"/>
              <w:spacing w:after="0"/>
              <w:rPr>
                <w:sz w:val="20"/>
                <w:szCs w:val="20"/>
                <w:color w:val="auto"/>
              </w:rPr>
            </w:pPr>
            <w:r>
              <w:rPr>
                <w:rFonts w:ascii="Arial" w:cs="Arial" w:eastAsia="Arial" w:hAnsi="Arial"/>
                <w:sz w:val="22"/>
                <w:szCs w:val="22"/>
                <w:color w:val="auto"/>
                <w:w w:val="90"/>
              </w:rPr>
              <w:t>Successors and Assigns.</w:t>
            </w:r>
          </w:p>
        </w:tc>
        <w:tc>
          <w:tcPr>
            <w:tcW w:w="380" w:type="dxa"/>
            <w:vAlign w:val="bottom"/>
          </w:tcPr>
          <w:p>
            <w:pPr>
              <w:jc w:val="right"/>
              <w:spacing w:after="0"/>
              <w:rPr>
                <w:sz w:val="20"/>
                <w:szCs w:val="20"/>
                <w:color w:val="auto"/>
              </w:rPr>
            </w:pPr>
            <w:r>
              <w:rPr>
                <w:rFonts w:ascii="Arial" w:cs="Arial" w:eastAsia="Arial" w:hAnsi="Arial"/>
                <w:sz w:val="22"/>
                <w:szCs w:val="22"/>
                <w:color w:val="auto"/>
              </w:rPr>
              <w:t>12</w:t>
            </w: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7.5</w:t>
            </w:r>
          </w:p>
        </w:tc>
        <w:tc>
          <w:tcPr>
            <w:tcW w:w="1980" w:type="dxa"/>
            <w:vAlign w:val="bottom"/>
            <w:gridSpan w:val="4"/>
          </w:tcPr>
          <w:p>
            <w:pPr>
              <w:ind w:left="60"/>
              <w:spacing w:after="0"/>
              <w:rPr>
                <w:sz w:val="20"/>
                <w:szCs w:val="20"/>
                <w:color w:val="auto"/>
              </w:rPr>
            </w:pPr>
            <w:r>
              <w:rPr>
                <w:rFonts w:ascii="Arial" w:cs="Arial" w:eastAsia="Arial" w:hAnsi="Arial"/>
                <w:sz w:val="22"/>
                <w:szCs w:val="22"/>
                <w:color w:val="auto"/>
              </w:rPr>
              <w:t>Governing Law  13</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7.6</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w w:val="93"/>
              </w:rPr>
              <w:t>Proceedings</w:t>
            </w:r>
          </w:p>
        </w:tc>
        <w:tc>
          <w:tcPr>
            <w:tcW w:w="520" w:type="dxa"/>
            <w:vAlign w:val="bottom"/>
          </w:tcPr>
          <w:p>
            <w:pPr>
              <w:jc w:val="right"/>
              <w:ind w:right="72"/>
              <w:spacing w:after="0"/>
              <w:rPr>
                <w:sz w:val="20"/>
                <w:szCs w:val="20"/>
                <w:color w:val="auto"/>
              </w:rPr>
            </w:pPr>
            <w:r>
              <w:rPr>
                <w:rFonts w:ascii="Arial" w:cs="Arial" w:eastAsia="Arial" w:hAnsi="Arial"/>
                <w:sz w:val="22"/>
                <w:szCs w:val="22"/>
                <w:color w:val="auto"/>
              </w:rPr>
              <w:t>13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7.7</w:t>
            </w:r>
          </w:p>
        </w:tc>
        <w:tc>
          <w:tcPr>
            <w:tcW w:w="1980" w:type="dxa"/>
            <w:vAlign w:val="bottom"/>
            <w:gridSpan w:val="4"/>
          </w:tcPr>
          <w:p>
            <w:pPr>
              <w:ind w:left="60"/>
              <w:spacing w:after="0"/>
              <w:rPr>
                <w:sz w:val="20"/>
                <w:szCs w:val="20"/>
                <w:color w:val="auto"/>
              </w:rPr>
            </w:pPr>
            <w:r>
              <w:rPr>
                <w:rFonts w:ascii="Arial" w:cs="Arial" w:eastAsia="Arial" w:hAnsi="Arial"/>
                <w:sz w:val="22"/>
                <w:szCs w:val="22"/>
                <w:color w:val="auto"/>
              </w:rPr>
              <w:t>Waiver of Jury Trial</w:t>
            </w:r>
          </w:p>
        </w:tc>
        <w:tc>
          <w:tcPr>
            <w:tcW w:w="320" w:type="dxa"/>
            <w:vAlign w:val="bottom"/>
          </w:tcPr>
          <w:p>
            <w:pPr>
              <w:jc w:val="right"/>
              <w:spacing w:after="0"/>
              <w:rPr>
                <w:sz w:val="20"/>
                <w:szCs w:val="20"/>
                <w:color w:val="auto"/>
              </w:rPr>
            </w:pPr>
            <w:r>
              <w:rPr>
                <w:rFonts w:ascii="Arial" w:cs="Arial" w:eastAsia="Arial" w:hAnsi="Arial"/>
                <w:sz w:val="22"/>
                <w:szCs w:val="22"/>
                <w:color w:val="auto"/>
                <w:w w:val="97"/>
              </w:rPr>
              <w:t>13</w:t>
            </w: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7.8</w:t>
            </w:r>
          </w:p>
        </w:tc>
        <w:tc>
          <w:tcPr>
            <w:tcW w:w="2300" w:type="dxa"/>
            <w:vAlign w:val="bottom"/>
            <w:gridSpan w:val="5"/>
          </w:tcPr>
          <w:p>
            <w:pPr>
              <w:ind w:left="60"/>
              <w:spacing w:after="0"/>
              <w:rPr>
                <w:sz w:val="20"/>
                <w:szCs w:val="20"/>
                <w:color w:val="auto"/>
              </w:rPr>
            </w:pPr>
            <w:r>
              <w:rPr>
                <w:rFonts w:ascii="Arial" w:cs="Arial" w:eastAsia="Arial" w:hAnsi="Arial"/>
                <w:sz w:val="22"/>
                <w:szCs w:val="22"/>
                <w:color w:val="auto"/>
                <w:w w:val="91"/>
              </w:rPr>
              <w:t>Counterparts; Integration</w:t>
            </w:r>
          </w:p>
        </w:tc>
        <w:tc>
          <w:tcPr>
            <w:tcW w:w="380" w:type="dxa"/>
            <w:vAlign w:val="bottom"/>
          </w:tcPr>
          <w:p>
            <w:pPr>
              <w:jc w:val="right"/>
              <w:spacing w:after="0"/>
              <w:rPr>
                <w:sz w:val="20"/>
                <w:szCs w:val="20"/>
                <w:color w:val="auto"/>
              </w:rPr>
            </w:pPr>
            <w:r>
              <w:rPr>
                <w:rFonts w:ascii="Arial" w:cs="Arial" w:eastAsia="Arial" w:hAnsi="Arial"/>
                <w:sz w:val="22"/>
                <w:szCs w:val="22"/>
                <w:color w:val="auto"/>
              </w:rPr>
              <w:t>13</w:t>
            </w: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7.9</w:t>
            </w:r>
          </w:p>
        </w:tc>
        <w:tc>
          <w:tcPr>
            <w:tcW w:w="900" w:type="dxa"/>
            <w:vAlign w:val="bottom"/>
          </w:tcPr>
          <w:p>
            <w:pPr>
              <w:ind w:left="60"/>
              <w:spacing w:after="0"/>
              <w:rPr>
                <w:sz w:val="20"/>
                <w:szCs w:val="20"/>
                <w:color w:val="auto"/>
              </w:rPr>
            </w:pPr>
            <w:r>
              <w:rPr>
                <w:rFonts w:ascii="Arial" w:cs="Arial" w:eastAsia="Arial" w:hAnsi="Arial"/>
                <w:sz w:val="22"/>
                <w:szCs w:val="22"/>
                <w:color w:val="auto"/>
              </w:rPr>
              <w:t>Survival</w:t>
            </w:r>
          </w:p>
        </w:tc>
        <w:tc>
          <w:tcPr>
            <w:tcW w:w="840" w:type="dxa"/>
            <w:vAlign w:val="bottom"/>
            <w:gridSpan w:val="2"/>
          </w:tcPr>
          <w:p>
            <w:pPr>
              <w:jc w:val="right"/>
              <w:ind w:right="392"/>
              <w:spacing w:after="0"/>
              <w:rPr>
                <w:sz w:val="20"/>
                <w:szCs w:val="20"/>
                <w:color w:val="auto"/>
              </w:rPr>
            </w:pPr>
            <w:r>
              <w:rPr>
                <w:rFonts w:ascii="Arial" w:cs="Arial" w:eastAsia="Arial" w:hAnsi="Arial"/>
                <w:sz w:val="22"/>
                <w:szCs w:val="22"/>
                <w:color w:val="auto"/>
              </w:rPr>
              <w:t>13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w w:val="98"/>
              </w:rPr>
              <w:t>Section 7.10</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rPr>
              <w:t>Severability</w:t>
            </w:r>
          </w:p>
        </w:tc>
        <w:tc>
          <w:tcPr>
            <w:tcW w:w="520" w:type="dxa"/>
            <w:vAlign w:val="bottom"/>
          </w:tcPr>
          <w:p>
            <w:pPr>
              <w:jc w:val="right"/>
              <w:ind w:right="92"/>
              <w:spacing w:after="0"/>
              <w:rPr>
                <w:sz w:val="20"/>
                <w:szCs w:val="20"/>
                <w:color w:val="auto"/>
              </w:rPr>
            </w:pPr>
            <w:r>
              <w:rPr>
                <w:rFonts w:ascii="Arial" w:cs="Arial" w:eastAsia="Arial" w:hAnsi="Arial"/>
                <w:sz w:val="22"/>
                <w:szCs w:val="22"/>
                <w:color w:val="auto"/>
              </w:rPr>
              <w:t>14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w w:val="98"/>
              </w:rPr>
              <w:t>Section 7.11</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rPr>
              <w:t>No Waiver</w:t>
            </w:r>
          </w:p>
        </w:tc>
        <w:tc>
          <w:tcPr>
            <w:tcW w:w="520" w:type="dxa"/>
            <w:vAlign w:val="bottom"/>
          </w:tcPr>
          <w:p>
            <w:pPr>
              <w:jc w:val="right"/>
              <w:ind w:right="192"/>
              <w:spacing w:after="0"/>
              <w:rPr>
                <w:sz w:val="20"/>
                <w:szCs w:val="20"/>
                <w:color w:val="auto"/>
              </w:rPr>
            </w:pPr>
            <w:r>
              <w:rPr>
                <w:rFonts w:ascii="Arial" w:cs="Arial" w:eastAsia="Arial" w:hAnsi="Arial"/>
                <w:sz w:val="22"/>
                <w:szCs w:val="22"/>
                <w:color w:val="auto"/>
                <w:w w:val="81"/>
              </w:rPr>
              <w:t>14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w w:val="98"/>
              </w:rPr>
              <w:t>Section 7.12</w:t>
            </w:r>
          </w:p>
        </w:tc>
        <w:tc>
          <w:tcPr>
            <w:tcW w:w="2680" w:type="dxa"/>
            <w:vAlign w:val="bottom"/>
            <w:gridSpan w:val="6"/>
          </w:tcPr>
          <w:p>
            <w:pPr>
              <w:ind w:left="60"/>
              <w:spacing w:after="0"/>
              <w:rPr>
                <w:sz w:val="20"/>
                <w:szCs w:val="20"/>
                <w:color w:val="auto"/>
              </w:rPr>
            </w:pPr>
            <w:r>
              <w:rPr>
                <w:rFonts w:ascii="Arial" w:cs="Arial" w:eastAsia="Arial" w:hAnsi="Arial"/>
                <w:sz w:val="22"/>
                <w:szCs w:val="22"/>
                <w:color w:val="auto"/>
                <w:w w:val="88"/>
              </w:rPr>
              <w:t>Amendment and Restatement</w:t>
            </w:r>
          </w:p>
        </w:tc>
        <w:tc>
          <w:tcPr>
            <w:tcW w:w="2880" w:type="dxa"/>
            <w:vAlign w:val="bottom"/>
          </w:tcPr>
          <w:p>
            <w:pPr>
              <w:jc w:val="right"/>
              <w:ind w:right="2392"/>
              <w:spacing w:after="0"/>
              <w:rPr>
                <w:sz w:val="20"/>
                <w:szCs w:val="20"/>
                <w:color w:val="auto"/>
              </w:rPr>
            </w:pPr>
            <w:r>
              <w:rPr>
                <w:rFonts w:ascii="Arial" w:cs="Arial" w:eastAsia="Arial" w:hAnsi="Arial"/>
                <w:sz w:val="22"/>
                <w:szCs w:val="22"/>
                <w:color w:val="auto"/>
              </w:rPr>
              <w:t>14</w:t>
            </w:r>
          </w:p>
        </w:tc>
      </w:tr>
      <w:tr>
        <w:trPr>
          <w:trHeight w:val="338"/>
        </w:trPr>
        <w:tc>
          <w:tcPr>
            <w:tcW w:w="1400" w:type="dxa"/>
            <w:vAlign w:val="bottom"/>
          </w:tcPr>
          <w:p>
            <w:pPr>
              <w:spacing w:after="0"/>
              <w:rPr>
                <w:sz w:val="20"/>
                <w:szCs w:val="20"/>
                <w:color w:val="auto"/>
              </w:rPr>
            </w:pPr>
            <w:r>
              <w:rPr>
                <w:rFonts w:ascii="Arial" w:cs="Arial" w:eastAsia="Arial" w:hAnsi="Arial"/>
                <w:sz w:val="22"/>
                <w:szCs w:val="22"/>
                <w:color w:val="auto"/>
              </w:rPr>
              <w:t>ARTICLE VIII</w:t>
            </w:r>
          </w:p>
        </w:tc>
        <w:tc>
          <w:tcPr>
            <w:tcW w:w="2680" w:type="dxa"/>
            <w:vAlign w:val="bottom"/>
            <w:gridSpan w:val="6"/>
          </w:tcPr>
          <w:p>
            <w:pPr>
              <w:ind w:left="60"/>
              <w:spacing w:after="0"/>
              <w:rPr>
                <w:sz w:val="20"/>
                <w:szCs w:val="20"/>
                <w:color w:val="auto"/>
              </w:rPr>
            </w:pPr>
            <w:r>
              <w:rPr>
                <w:rFonts w:ascii="Arial" w:cs="Arial" w:eastAsia="Arial" w:hAnsi="Arial"/>
                <w:sz w:val="22"/>
                <w:szCs w:val="22"/>
                <w:color w:val="auto"/>
                <w:w w:val="97"/>
              </w:rPr>
              <w:t>ADMINISTRATIVE AGENT</w:t>
            </w:r>
          </w:p>
        </w:tc>
        <w:tc>
          <w:tcPr>
            <w:tcW w:w="2880" w:type="dxa"/>
            <w:vAlign w:val="bottom"/>
          </w:tcPr>
          <w:p>
            <w:pPr>
              <w:jc w:val="right"/>
              <w:ind w:right="2352"/>
              <w:spacing w:after="0"/>
              <w:rPr>
                <w:sz w:val="20"/>
                <w:szCs w:val="20"/>
                <w:color w:val="auto"/>
              </w:rPr>
            </w:pPr>
            <w:r>
              <w:rPr>
                <w:rFonts w:ascii="Arial" w:cs="Arial" w:eastAsia="Arial" w:hAnsi="Arial"/>
                <w:sz w:val="22"/>
                <w:szCs w:val="22"/>
                <w:color w:val="auto"/>
              </w:rPr>
              <w:t>14</w:t>
            </w: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8.1</w:t>
            </w:r>
          </w:p>
        </w:tc>
        <w:tc>
          <w:tcPr>
            <w:tcW w:w="2680" w:type="dxa"/>
            <w:vAlign w:val="bottom"/>
            <w:gridSpan w:val="6"/>
          </w:tcPr>
          <w:p>
            <w:pPr>
              <w:ind w:left="60"/>
              <w:spacing w:after="0"/>
              <w:rPr>
                <w:sz w:val="20"/>
                <w:szCs w:val="20"/>
                <w:color w:val="auto"/>
              </w:rPr>
            </w:pPr>
            <w:r>
              <w:rPr>
                <w:rFonts w:ascii="Arial" w:cs="Arial" w:eastAsia="Arial" w:hAnsi="Arial"/>
                <w:sz w:val="22"/>
                <w:szCs w:val="22"/>
                <w:color w:val="auto"/>
              </w:rPr>
              <w:t>Appointment and Authority</w:t>
            </w:r>
          </w:p>
        </w:tc>
        <w:tc>
          <w:tcPr>
            <w:tcW w:w="2880" w:type="dxa"/>
            <w:vAlign w:val="bottom"/>
          </w:tcPr>
          <w:p>
            <w:pPr>
              <w:jc w:val="right"/>
              <w:ind w:right="2552"/>
              <w:spacing w:after="0"/>
              <w:rPr>
                <w:sz w:val="20"/>
                <w:szCs w:val="20"/>
                <w:color w:val="auto"/>
              </w:rPr>
            </w:pPr>
            <w:r>
              <w:rPr>
                <w:rFonts w:ascii="Arial" w:cs="Arial" w:eastAsia="Arial" w:hAnsi="Arial"/>
                <w:sz w:val="22"/>
                <w:szCs w:val="22"/>
                <w:color w:val="auto"/>
                <w:w w:val="81"/>
              </w:rPr>
              <w:t>14</w:t>
            </w: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8.2</w:t>
            </w:r>
          </w:p>
        </w:tc>
        <w:tc>
          <w:tcPr>
            <w:tcW w:w="1740" w:type="dxa"/>
            <w:vAlign w:val="bottom"/>
            <w:gridSpan w:val="3"/>
          </w:tcPr>
          <w:p>
            <w:pPr>
              <w:ind w:left="60"/>
              <w:spacing w:after="0"/>
              <w:rPr>
                <w:sz w:val="20"/>
                <w:szCs w:val="20"/>
                <w:color w:val="auto"/>
              </w:rPr>
            </w:pPr>
            <w:r>
              <w:rPr>
                <w:rFonts w:ascii="Arial" w:cs="Arial" w:eastAsia="Arial" w:hAnsi="Arial"/>
                <w:sz w:val="22"/>
                <w:szCs w:val="22"/>
                <w:color w:val="auto"/>
                <w:w w:val="89"/>
              </w:rPr>
              <w:t>Rights as a Lender</w:t>
            </w:r>
          </w:p>
        </w:tc>
        <w:tc>
          <w:tcPr>
            <w:tcW w:w="560" w:type="dxa"/>
            <w:vAlign w:val="bottom"/>
            <w:gridSpan w:val="2"/>
          </w:tcPr>
          <w:p>
            <w:pPr>
              <w:jc w:val="right"/>
              <w:ind w:right="72"/>
              <w:spacing w:after="0"/>
              <w:rPr>
                <w:sz w:val="20"/>
                <w:szCs w:val="20"/>
                <w:color w:val="auto"/>
              </w:rPr>
            </w:pPr>
            <w:r>
              <w:rPr>
                <w:rFonts w:ascii="Arial" w:cs="Arial" w:eastAsia="Arial" w:hAnsi="Arial"/>
                <w:sz w:val="22"/>
                <w:szCs w:val="22"/>
                <w:color w:val="auto"/>
              </w:rPr>
              <w:t>14</w:t>
            </w: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8.3</w:t>
            </w:r>
          </w:p>
        </w:tc>
        <w:tc>
          <w:tcPr>
            <w:tcW w:w="2300" w:type="dxa"/>
            <w:vAlign w:val="bottom"/>
            <w:gridSpan w:val="5"/>
          </w:tcPr>
          <w:p>
            <w:pPr>
              <w:ind w:left="60"/>
              <w:spacing w:after="0"/>
              <w:rPr>
                <w:sz w:val="20"/>
                <w:szCs w:val="20"/>
                <w:color w:val="auto"/>
              </w:rPr>
            </w:pPr>
            <w:r>
              <w:rPr>
                <w:rFonts w:ascii="Arial" w:cs="Arial" w:eastAsia="Arial" w:hAnsi="Arial"/>
                <w:sz w:val="22"/>
                <w:szCs w:val="22"/>
                <w:color w:val="auto"/>
                <w:w w:val="99"/>
              </w:rPr>
              <w:t>Exculpatory Provisions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15</w:t>
            </w: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8.4</w:t>
            </w:r>
          </w:p>
        </w:tc>
        <w:tc>
          <w:tcPr>
            <w:tcW w:w="5560" w:type="dxa"/>
            <w:vAlign w:val="bottom"/>
            <w:gridSpan w:val="7"/>
          </w:tcPr>
          <w:p>
            <w:pPr>
              <w:ind w:left="60"/>
              <w:spacing w:after="0"/>
              <w:rPr>
                <w:sz w:val="20"/>
                <w:szCs w:val="20"/>
                <w:color w:val="auto"/>
              </w:rPr>
            </w:pPr>
            <w:r>
              <w:rPr>
                <w:rFonts w:ascii="Arial" w:cs="Arial" w:eastAsia="Arial" w:hAnsi="Arial"/>
                <w:sz w:val="22"/>
                <w:szCs w:val="22"/>
                <w:color w:val="auto"/>
              </w:rPr>
              <w:t>Reliance by Administrative Agent  16</w:t>
            </w: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8.5</w:t>
            </w:r>
          </w:p>
        </w:tc>
        <w:tc>
          <w:tcPr>
            <w:tcW w:w="1980" w:type="dxa"/>
            <w:vAlign w:val="bottom"/>
            <w:gridSpan w:val="4"/>
          </w:tcPr>
          <w:p>
            <w:pPr>
              <w:ind w:left="60"/>
              <w:spacing w:after="0"/>
              <w:rPr>
                <w:sz w:val="20"/>
                <w:szCs w:val="20"/>
                <w:color w:val="auto"/>
              </w:rPr>
            </w:pPr>
            <w:r>
              <w:rPr>
                <w:rFonts w:ascii="Arial" w:cs="Arial" w:eastAsia="Arial" w:hAnsi="Arial"/>
                <w:sz w:val="22"/>
                <w:szCs w:val="22"/>
                <w:color w:val="auto"/>
                <w:w w:val="95"/>
              </w:rPr>
              <w:t>Delegation of Duties</w:t>
            </w:r>
          </w:p>
        </w:tc>
        <w:tc>
          <w:tcPr>
            <w:tcW w:w="320" w:type="dxa"/>
            <w:vAlign w:val="bottom"/>
          </w:tcPr>
          <w:p>
            <w:pPr>
              <w:jc w:val="right"/>
              <w:spacing w:after="0"/>
              <w:rPr>
                <w:sz w:val="20"/>
                <w:szCs w:val="20"/>
                <w:color w:val="auto"/>
              </w:rPr>
            </w:pPr>
            <w:r>
              <w:rPr>
                <w:rFonts w:ascii="Arial" w:cs="Arial" w:eastAsia="Arial" w:hAnsi="Arial"/>
                <w:sz w:val="22"/>
                <w:szCs w:val="22"/>
                <w:color w:val="auto"/>
              </w:rPr>
              <w:t>16</w:t>
            </w: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8.6</w:t>
            </w:r>
          </w:p>
        </w:tc>
        <w:tc>
          <w:tcPr>
            <w:tcW w:w="5560" w:type="dxa"/>
            <w:vAlign w:val="bottom"/>
            <w:gridSpan w:val="7"/>
          </w:tcPr>
          <w:p>
            <w:pPr>
              <w:ind w:left="60"/>
              <w:spacing w:after="0"/>
              <w:rPr>
                <w:sz w:val="20"/>
                <w:szCs w:val="20"/>
                <w:color w:val="auto"/>
              </w:rPr>
            </w:pPr>
            <w:r>
              <w:rPr>
                <w:rFonts w:ascii="Arial" w:cs="Arial" w:eastAsia="Arial" w:hAnsi="Arial"/>
                <w:sz w:val="22"/>
                <w:szCs w:val="22"/>
                <w:color w:val="auto"/>
              </w:rPr>
              <w:t>Resignation of Administrative Agent  16</w:t>
            </w: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8.7</w:t>
            </w:r>
          </w:p>
        </w:tc>
        <w:tc>
          <w:tcPr>
            <w:tcW w:w="5560" w:type="dxa"/>
            <w:vAlign w:val="bottom"/>
            <w:gridSpan w:val="7"/>
          </w:tcPr>
          <w:p>
            <w:pPr>
              <w:ind w:left="60"/>
              <w:spacing w:after="0"/>
              <w:rPr>
                <w:sz w:val="20"/>
                <w:szCs w:val="20"/>
                <w:color w:val="auto"/>
              </w:rPr>
            </w:pPr>
            <w:r>
              <w:rPr>
                <w:rFonts w:ascii="Arial" w:cs="Arial" w:eastAsia="Arial" w:hAnsi="Arial"/>
                <w:sz w:val="22"/>
                <w:szCs w:val="22"/>
                <w:color w:val="auto"/>
                <w:w w:val="91"/>
              </w:rPr>
              <w:t>Non-Reliance on Administrative Agent and Other Lenders  17</w:t>
            </w:r>
          </w:p>
        </w:tc>
      </w:tr>
      <w:tr>
        <w:trPr>
          <w:trHeight w:val="338"/>
        </w:trPr>
        <w:tc>
          <w:tcPr>
            <w:tcW w:w="1400" w:type="dxa"/>
            <w:vAlign w:val="bottom"/>
          </w:tcPr>
          <w:p>
            <w:pPr>
              <w:ind w:left="180"/>
              <w:spacing w:after="0"/>
              <w:rPr>
                <w:sz w:val="20"/>
                <w:szCs w:val="20"/>
                <w:color w:val="auto"/>
              </w:rPr>
            </w:pPr>
            <w:r>
              <w:rPr>
                <w:rFonts w:ascii="Arial" w:cs="Arial" w:eastAsia="Arial" w:hAnsi="Arial"/>
                <w:sz w:val="22"/>
                <w:szCs w:val="22"/>
                <w:color w:val="auto"/>
              </w:rPr>
              <w:t>Section 8.8</w:t>
            </w:r>
          </w:p>
        </w:tc>
        <w:tc>
          <w:tcPr>
            <w:tcW w:w="1980" w:type="dxa"/>
            <w:vAlign w:val="bottom"/>
            <w:gridSpan w:val="4"/>
          </w:tcPr>
          <w:p>
            <w:pPr>
              <w:ind w:left="60"/>
              <w:spacing w:after="0"/>
              <w:rPr>
                <w:sz w:val="20"/>
                <w:szCs w:val="20"/>
                <w:color w:val="auto"/>
              </w:rPr>
            </w:pPr>
            <w:r>
              <w:rPr>
                <w:rFonts w:ascii="Arial" w:cs="Arial" w:eastAsia="Arial" w:hAnsi="Arial"/>
                <w:sz w:val="22"/>
                <w:szCs w:val="22"/>
                <w:color w:val="auto"/>
                <w:w w:val="94"/>
              </w:rPr>
              <w:t>No Other Duties, Etc</w:t>
            </w:r>
          </w:p>
        </w:tc>
        <w:tc>
          <w:tcPr>
            <w:tcW w:w="700" w:type="dxa"/>
            <w:vAlign w:val="bottom"/>
            <w:gridSpan w:val="2"/>
          </w:tcPr>
          <w:p>
            <w:pPr>
              <w:jc w:val="right"/>
              <w:ind w:right="252"/>
              <w:spacing w:after="0"/>
              <w:rPr>
                <w:sz w:val="20"/>
                <w:szCs w:val="20"/>
                <w:color w:val="auto"/>
              </w:rPr>
            </w:pPr>
            <w:r>
              <w:rPr>
                <w:rFonts w:ascii="Arial" w:cs="Arial" w:eastAsia="Arial" w:hAnsi="Arial"/>
                <w:sz w:val="22"/>
                <w:szCs w:val="22"/>
                <w:color w:val="auto"/>
              </w:rPr>
              <w:t>17</w:t>
            </w:r>
          </w:p>
        </w:tc>
        <w:tc>
          <w:tcPr>
            <w:tcW w:w="2880" w:type="dxa"/>
            <w:vAlign w:val="bottom"/>
          </w:tcPr>
          <w:p>
            <w:pPr>
              <w:spacing w:after="0"/>
              <w:rPr>
                <w:sz w:val="24"/>
                <w:szCs w:val="24"/>
                <w:color w:val="auto"/>
              </w:rPr>
            </w:pPr>
          </w:p>
        </w:tc>
      </w:tr>
    </w:tbl>
    <w:p>
      <w:pPr>
        <w:sectPr>
          <w:pgSz w:w="11900" w:h="16838" w:orient="portrait"/>
          <w:cols w:equalWidth="0" w:num="1">
            <w:col w:w="10219"/>
          </w:cols>
          <w:pgMar w:left="240" w:top="604"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u w:val="single" w:color="auto"/>
          <w:color w:val="auto"/>
        </w:rPr>
        <w:t>AMENDED AND RESTATED SENIOR UNSECURED REVOLVING CREDIT AGREEMENT</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THIS AMENDED AND RESTATED SENIOR UNSECURED REVOLVING CREDIT AGREEMENT </w:t>
      </w:r>
      <w:r>
        <w:rPr>
          <w:rFonts w:ascii="Arial" w:cs="Arial" w:eastAsia="Arial" w:hAnsi="Arial"/>
          <w:sz w:val="19"/>
          <w:szCs w:val="19"/>
          <w:color w:val="auto"/>
        </w:rPr>
        <w:t>(this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June 1, 2017 by and among the lenders party 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Westlake Chemical OpCo LP, a Delaware limited partnership (the “</w:t>
      </w:r>
      <w:r>
        <w:rPr>
          <w:rFonts w:ascii="Arial" w:cs="Arial" w:eastAsia="Arial" w:hAnsi="Arial"/>
          <w:sz w:val="19"/>
          <w:szCs w:val="19"/>
          <w:u w:val="single" w:color="auto"/>
          <w:color w:val="auto"/>
        </w:rPr>
        <w:t>Borrower</w:t>
      </w:r>
      <w:r>
        <w:rPr>
          <w:rFonts w:ascii="Arial" w:cs="Arial" w:eastAsia="Arial" w:hAnsi="Arial"/>
          <w:sz w:val="19"/>
          <w:szCs w:val="19"/>
          <w:color w:val="auto"/>
        </w:rPr>
        <w:t>”) and Westlake Polymers LLC as administrative agent for the Lenders (in such capacity, together with its successors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Borrower and Westlake Development Corporation (the “</w:t>
      </w:r>
      <w:r>
        <w:rPr>
          <w:rFonts w:ascii="Arial" w:cs="Arial" w:eastAsia="Arial" w:hAnsi="Arial"/>
          <w:sz w:val="21"/>
          <w:szCs w:val="21"/>
          <w:u w:val="single" w:color="auto"/>
          <w:color w:val="auto"/>
        </w:rPr>
        <w:t>Existing Lender</w:t>
      </w:r>
      <w:r>
        <w:rPr>
          <w:rFonts w:ascii="Arial" w:cs="Arial" w:eastAsia="Arial" w:hAnsi="Arial"/>
          <w:sz w:val="21"/>
          <w:szCs w:val="21"/>
          <w:color w:val="auto"/>
        </w:rPr>
        <w:t>”) are parties to that certain Credit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dated as of August 4, 2014 (the “</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and the “Loan Documents” referred to therein (the “</w:t>
      </w:r>
      <w:r>
        <w:rPr>
          <w:rFonts w:ascii="Arial" w:cs="Arial" w:eastAsia="Arial" w:hAnsi="Arial"/>
          <w:sz w:val="21"/>
          <w:szCs w:val="21"/>
          <w:u w:val="single" w:color="auto"/>
          <w:color w:val="auto"/>
        </w:rPr>
        <w:t>Existing Loan Documents</w:t>
      </w:r>
      <w:r>
        <w:rPr>
          <w:rFonts w:ascii="Arial" w:cs="Arial" w:eastAsia="Arial" w:hAnsi="Arial"/>
          <w:sz w:val="21"/>
          <w:szCs w:val="21"/>
          <w:color w:val="auto"/>
        </w:rPr>
        <w:t>”), pursuant to which the Existing Lender provided certain loans to the Borrower;</w:t>
      </w:r>
    </w:p>
    <w:p>
      <w:pPr>
        <w:spacing w:after="0" w:line="1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Borrower and the Existing Lender have requested that the Existing Credit Agreement be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on the terms set forth herein; and</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subject to the terms and conditions of this Agreement, the Lenders are willing to make the requested loans to</w:t>
      </w:r>
      <w:r>
        <w:rPr>
          <w:rFonts w:ascii="Arial" w:cs="Arial" w:eastAsia="Arial" w:hAnsi="Arial"/>
          <w:sz w:val="22"/>
          <w:szCs w:val="22"/>
          <w:b w:val="1"/>
          <w:bCs w:val="1"/>
          <w:color w:val="auto"/>
        </w:rPr>
        <w:t xml:space="preserve"> </w:t>
      </w:r>
      <w:r>
        <w:rPr>
          <w:rFonts w:ascii="Arial" w:cs="Arial" w:eastAsia="Arial" w:hAnsi="Arial"/>
          <w:sz w:val="22"/>
          <w:szCs w:val="22"/>
          <w:color w:val="auto"/>
        </w:rPr>
        <w:t>the Borrower.</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mutual covenants herein contained, the parties agree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CONSTRUCTION</w:t>
      </w:r>
    </w:p>
    <w:p>
      <w:pPr>
        <w:spacing w:after="0" w:line="182"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The following terms used herein shall have the meanings herein specified (to be equally</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both the singular and plural forms of the terms defined):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means Westlake Polymers LLC, in its capacity as administrative agent for the Lenders hereunder.</w:t>
      </w:r>
    </w:p>
    <w:p>
      <w:pPr>
        <w:spacing w:after="0" w:line="25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through one or more intermediaries Controls, is Controlled by or is under common Control with, the Person in question.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assigned to such term in the opening paragraph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shall mean 3.00% per annum.</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shall mean the period from and including the date hereof to but excluding the earlier of the Maturity Date and the date of termination of the Loan Commitment.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98"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shall have the meaning assigned to such term in the opening paragraph of this Agreement.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day other than Saturday, Sunday or a day on which banks located in New York, New York or Houston, Texas are authorized or obligated to close.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United States Internal Revenue Code of 1986, as amended from time to time.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 or indirect, of the power to direct or cause the direction of the management and policies of a Person, whether through ownership of voting securities, by contract or otherwise.</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means any of the events specified in </w:t>
      </w:r>
      <w:r>
        <w:rPr>
          <w:rFonts w:ascii="Arial" w:cs="Arial" w:eastAsia="Arial" w:hAnsi="Arial"/>
          <w:sz w:val="22"/>
          <w:szCs w:val="22"/>
          <w:u w:val="single" w:color="auto"/>
          <w:color w:val="auto"/>
        </w:rPr>
        <w:t>Article VI</w:t>
      </w:r>
      <w:r>
        <w:rPr>
          <w:rFonts w:ascii="Arial" w:cs="Arial" w:eastAsia="Arial" w:hAnsi="Arial"/>
          <w:sz w:val="22"/>
          <w:szCs w:val="22"/>
          <w:color w:val="auto"/>
        </w:rPr>
        <w:t>, whether or not any requirement for the giving of notice, the lapse of time, or both, has been satisfied.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Interest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2.6(c)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Interest Rate</w:t>
      </w:r>
      <w:r>
        <w:rPr>
          <w:rFonts w:ascii="Arial" w:cs="Arial" w:eastAsia="Arial" w:hAnsi="Arial"/>
          <w:sz w:val="22"/>
          <w:szCs w:val="22"/>
          <w:color w:val="auto"/>
        </w:rPr>
        <w:t xml:space="preserve">” shall mean the Loan Interest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an additional 2% per annum.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shall mean the lawful currency of the United States of America.</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shall mean any of the events specified in </w:t>
      </w:r>
      <w:r>
        <w:rPr>
          <w:rFonts w:ascii="Arial" w:cs="Arial" w:eastAsia="Arial" w:hAnsi="Arial"/>
          <w:sz w:val="22"/>
          <w:szCs w:val="22"/>
          <w:u w:val="single" w:color="auto"/>
          <w:color w:val="auto"/>
        </w:rPr>
        <w:t>Article VI</w:t>
      </w:r>
      <w:r>
        <w:rPr>
          <w:rFonts w:ascii="Arial" w:cs="Arial" w:eastAsia="Arial" w:hAnsi="Arial"/>
          <w:sz w:val="22"/>
          <w:szCs w:val="22"/>
          <w:color w:val="auto"/>
        </w:rPr>
        <w:t>, provided that any requirement for the giving of notice, the lapse of time, or both, has been satisfied.</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shall mean, with respect to each Lender, taxes imposed on or measured by its overall net income, franchise taxes, and any branch profits or similar tax imposed on it by any jurisdiction.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assigned to such term in the recitals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Lender</w:t>
      </w:r>
      <w:r>
        <w:rPr>
          <w:rFonts w:ascii="Arial" w:cs="Arial" w:eastAsia="Arial" w:hAnsi="Arial"/>
          <w:sz w:val="22"/>
          <w:szCs w:val="22"/>
          <w:color w:val="auto"/>
        </w:rPr>
        <w:t>” has the meaning assigned to such term in the recitals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Loan Documents</w:t>
      </w:r>
      <w:r>
        <w:rPr>
          <w:rFonts w:ascii="Arial" w:cs="Arial" w:eastAsia="Arial" w:hAnsi="Arial"/>
          <w:sz w:val="22"/>
          <w:szCs w:val="22"/>
          <w:color w:val="auto"/>
        </w:rPr>
        <w:t>” has the meaning assigned to such term in the recitals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shall mean United States generally accepted accounting principles applied on a consistent basis.</w:t>
      </w:r>
    </w:p>
    <w:p>
      <w:pPr>
        <w:spacing w:after="0" w:line="22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any nation or government, any state or other political subdivision thereof and any entity exercising executive, legislative, judicial, regulatory or administrative authority or functions of or pertaining to government.</w:t>
      </w:r>
    </w:p>
    <w:p>
      <w:pPr>
        <w:spacing w:after="0" w:line="105"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Indemnitee</w:t>
      </w:r>
      <w:r>
        <w:rPr>
          <w:rFonts w:ascii="Arial" w:cs="Arial" w:eastAsia="Arial" w:hAnsi="Arial"/>
          <w:sz w:val="21"/>
          <w:szCs w:val="21"/>
          <w:color w:val="auto"/>
        </w:rPr>
        <w:t>” shall mean the Administrative Agent, each Lender and each of the directors, officers, employees, agents, trustees, representatives, attorneys, consultants and advisors of or to the Administrative Agent and each Lender.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04" w:right="239" w:bottom="1440" w:gutter="0" w:footer="0" w:header="0"/>
        </w:sectPr>
      </w:pPr>
    </w:p>
    <w:bookmarkStart w:id="116" w:name="page117"/>
    <w:bookmarkEnd w:id="116"/>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shall mean each period commencing on a Quarterly Payment Date and ending on the date preceding the next Quarterly Payment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first Interest Period shall begin on the date 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shall have the meaning assigned to such term in the opening paragraph of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w:t>
      </w:r>
      <w:r>
        <w:rPr>
          <w:rFonts w:ascii="Arial" w:cs="Arial" w:eastAsia="Arial" w:hAnsi="Arial"/>
          <w:sz w:val="22"/>
          <w:szCs w:val="22"/>
          <w:color w:val="auto"/>
        </w:rPr>
        <w:t>” shall mean, with respect to any Loan, the three (3) month LIBOR rate as reported by Bloomberg.com, The Wall Street Journal or such other reputable source as the Lenders may select, in each case as of the date that is two (2) Business Days before the first day of each Interest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Commitment</w:t>
      </w:r>
      <w:r>
        <w:rPr>
          <w:rFonts w:ascii="Arial" w:cs="Arial" w:eastAsia="Arial" w:hAnsi="Arial"/>
          <w:sz w:val="21"/>
          <w:szCs w:val="21"/>
          <w:color w:val="auto"/>
        </w:rPr>
        <w:t xml:space="preserve">” shall mean the obligation of each Lender to make Loans hereunder in an aggregate principal amount at any time outstanding not exceeding $600,000,000, as such amount may be reduced pursuant to </w:t>
      </w:r>
      <w:r>
        <w:rPr>
          <w:rFonts w:ascii="Arial" w:cs="Arial" w:eastAsia="Arial" w:hAnsi="Arial"/>
          <w:sz w:val="21"/>
          <w:szCs w:val="21"/>
          <w:u w:val="single" w:color="auto"/>
          <w:color w:val="auto"/>
        </w:rPr>
        <w:t>Section 2.3</w:t>
      </w:r>
      <w:r>
        <w:rPr>
          <w:rFonts w:ascii="Arial" w:cs="Arial" w:eastAsia="Arial" w:hAnsi="Arial"/>
          <w:sz w:val="21"/>
          <w:szCs w:val="21"/>
          <w:color w:val="auto"/>
        </w:rPr>
        <w:t>. Each Lender’s individual Loan Commitment shall not exceed the amounts set forth on Schedule 1 hereto.</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shall mean, collectively, this Agreement and each Notice of Borrowing.</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Interest Rate</w:t>
      </w:r>
      <w:r>
        <w:rPr>
          <w:rFonts w:ascii="Arial" w:cs="Arial" w:eastAsia="Arial" w:hAnsi="Arial"/>
          <w:sz w:val="22"/>
          <w:szCs w:val="22"/>
          <w:color w:val="auto"/>
        </w:rPr>
        <w:t xml:space="preserve">” shall mean, with respect to any Loan, LIBOR in effect from time to time (as the same may vary from Interest Period to Interest Period)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a material adverse effect on any of the following: (a) the business, condition (financial or otherwise), operations, performance or properties of the Borrower; (b) the ability of the Borrower to perform its obligations hereunder; or (c) the ability of the Lenders or the Administrative Agent to enforce their rights and remedies hereunder.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shall mean August 4, 2019.</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Borrowing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shall mean, with respect to the Borrower, the unpaid principal of and interest on (including, without limitation,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to the Lenders, whether direct or indirect, absolute or contingent, due or to become due, or now existing or hereafter incurred, which may arise under, out of, or in connection with, any Loan Document.</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Outstanding Amount</w:t>
      </w:r>
      <w:r>
        <w:rPr>
          <w:rFonts w:ascii="Arial" w:cs="Arial" w:eastAsia="Arial" w:hAnsi="Arial"/>
          <w:sz w:val="21"/>
          <w:szCs w:val="21"/>
          <w:color w:val="auto"/>
        </w:rPr>
        <w:t>” shall mean with respect to Loans on any date, the aggregate principal amount of Loans outstanding on such date after giving effect to any borrowings and prepayments or repayments of Loans occurring on such date. References to the Loans held by a particular Lender shall mean the Outstanding Amount of such Lender’s Loans.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04" w:right="239" w:bottom="1440" w:gutter="0" w:footer="0" w:header="0"/>
        </w:sectPr>
      </w:pPr>
    </w:p>
    <w:bookmarkStart w:id="117" w:name="page118"/>
    <w:bookmarkEnd w:id="117"/>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Office</w:t>
      </w:r>
      <w:r>
        <w:rPr>
          <w:rFonts w:ascii="Arial" w:cs="Arial" w:eastAsia="Arial" w:hAnsi="Arial"/>
          <w:sz w:val="19"/>
          <w:szCs w:val="19"/>
          <w:color w:val="auto"/>
        </w:rPr>
        <w:t>” shall mean the office of the Administrative Agent located at 2801 Post Oak Boulevard, Suite 600, Houston, Texas 77056, or such other location as to which the Administrative Agent shall have given written notice to the Borrower.</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 individual, partnership, corporation, limited liability company, business trust, joint stock company, trust, unincorporated association, joint venture, Governmental Authority or other entity of whatever nature.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Payment Date</w:t>
      </w:r>
      <w:r>
        <w:rPr>
          <w:rFonts w:ascii="Arial" w:cs="Arial" w:eastAsia="Arial" w:hAnsi="Arial"/>
          <w:sz w:val="22"/>
          <w:szCs w:val="22"/>
          <w:color w:val="auto"/>
        </w:rPr>
        <w:t>” means the first Business Day of each January, April, July and October.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means, as of any date of determination, (i) if no Loans are outstanding, Lenders holding more than 50% of the sum of aggregate Loan Commitments or (ii) if any Loans are outstanding, Lenders holding more than 50% of the sum of the aggregate Loans.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 provided that “Taxes” shall not include Excluded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A Loan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B Loan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u w:val="single" w:color="auto"/>
          <w:color w:val="auto"/>
        </w:rPr>
        <w:t>Other Definitional Provisions</w:t>
      </w:r>
      <w:r>
        <w:rPr>
          <w:rFonts w:ascii="Arial" w:cs="Arial" w:eastAsia="Arial" w:hAnsi="Arial"/>
          <w:sz w:val="19"/>
          <w:szCs w:val="19"/>
          <w:color w:val="auto"/>
        </w:rPr>
        <w:t>.</w:t>
      </w:r>
    </w:p>
    <w:p>
      <w:pPr>
        <w:spacing w:after="0" w:line="239" w:lineRule="exact"/>
        <w:rPr>
          <w:sz w:val="20"/>
          <w:szCs w:val="20"/>
          <w:color w:val="auto"/>
        </w:rPr>
      </w:pPr>
    </w:p>
    <w:p>
      <w:pPr>
        <w:jc w:val="both"/>
        <w:ind w:left="1300" w:right="20" w:firstLine="5"/>
        <w:spacing w:after="0" w:line="358" w:lineRule="auto"/>
        <w:tabs>
          <w:tab w:leader="none" w:pos="17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90" w:lineRule="exact"/>
        <w:rPr>
          <w:rFonts w:ascii="Arial" w:cs="Arial" w:eastAsia="Arial" w:hAnsi="Arial"/>
          <w:sz w:val="19"/>
          <w:szCs w:val="19"/>
          <w:color w:val="auto"/>
        </w:rPr>
      </w:pPr>
    </w:p>
    <w:p>
      <w:pPr>
        <w:jc w:val="both"/>
        <w:ind w:left="1300" w:firstLine="5"/>
        <w:spacing w:after="0" w:line="278" w:lineRule="auto"/>
        <w:tabs>
          <w:tab w:leader="none" w:pos="1759"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words “</w:t>
      </w:r>
      <w:r>
        <w:rPr>
          <w:rFonts w:ascii="Arial" w:cs="Arial" w:eastAsia="Arial" w:hAnsi="Arial"/>
          <w:sz w:val="21"/>
          <w:szCs w:val="21"/>
          <w:i w:val="1"/>
          <w:iCs w:val="1"/>
          <w:color w:val="auto"/>
        </w:rPr>
        <w:t>hereof</w:t>
      </w:r>
      <w:r>
        <w:rPr>
          <w:rFonts w:ascii="Arial" w:cs="Arial" w:eastAsia="Arial" w:hAnsi="Arial"/>
          <w:sz w:val="21"/>
          <w:szCs w:val="21"/>
          <w:color w:val="auto"/>
        </w:rPr>
        <w:t>”, “</w:t>
      </w:r>
      <w:r>
        <w:rPr>
          <w:rFonts w:ascii="Arial" w:cs="Arial" w:eastAsia="Arial" w:hAnsi="Arial"/>
          <w:sz w:val="21"/>
          <w:szCs w:val="21"/>
          <w:i w:val="1"/>
          <w:iCs w:val="1"/>
          <w:color w:val="auto"/>
        </w:rPr>
        <w:t>herein</w:t>
      </w:r>
      <w:r>
        <w:rPr>
          <w:rFonts w:ascii="Arial" w:cs="Arial" w:eastAsia="Arial" w:hAnsi="Arial"/>
          <w:sz w:val="21"/>
          <w:szCs w:val="21"/>
          <w:color w:val="auto"/>
        </w:rPr>
        <w:t>” and “</w:t>
      </w:r>
      <w:r>
        <w:rPr>
          <w:rFonts w:ascii="Arial" w:cs="Arial" w:eastAsia="Arial" w:hAnsi="Arial"/>
          <w:sz w:val="21"/>
          <w:szCs w:val="21"/>
          <w:i w:val="1"/>
          <w:iCs w:val="1"/>
          <w:color w:val="auto"/>
        </w:rPr>
        <w:t>hereunder</w:t>
      </w:r>
      <w:r>
        <w:rPr>
          <w:rFonts w:ascii="Arial" w:cs="Arial" w:eastAsia="Arial" w:hAnsi="Arial"/>
          <w:sz w:val="21"/>
          <w:szCs w:val="21"/>
          <w:color w:val="auto"/>
        </w:rPr>
        <w:t>”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60" w:lineRule="exact"/>
        <w:rPr>
          <w:rFonts w:ascii="Arial" w:cs="Arial" w:eastAsia="Arial" w:hAnsi="Arial"/>
          <w:sz w:val="21"/>
          <w:szCs w:val="21"/>
          <w:color w:val="auto"/>
        </w:rPr>
      </w:pPr>
    </w:p>
    <w:p>
      <w:pPr>
        <w:ind w:left="1300" w:firstLine="5"/>
        <w:spacing w:after="0" w:line="276" w:lineRule="auto"/>
        <w:tabs>
          <w:tab w:leader="none" w:pos="1733"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meanings given to terms defined herein shall be equally applicable to both the singular and plural forms of such terms.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term “Lender” or “Lenders” shall include, without limitation, each respective Lender’s successors.</w:t>
      </w:r>
    </w:p>
    <w:p>
      <w:pPr>
        <w:spacing w:after="0" w:line="239" w:lineRule="exact"/>
        <w:rPr>
          <w:sz w:val="20"/>
          <w:szCs w:val="20"/>
          <w:color w:val="auto"/>
        </w:rPr>
      </w:pPr>
    </w:p>
    <w:p>
      <w:pPr>
        <w:jc w:val="both"/>
        <w:ind w:left="660"/>
        <w:spacing w:after="0" w:line="281" w:lineRule="auto"/>
        <w:rPr>
          <w:sz w:val="20"/>
          <w:szCs w:val="20"/>
          <w:color w:val="auto"/>
        </w:rPr>
      </w:pPr>
      <w:r>
        <w:rPr>
          <w:rFonts w:ascii="Arial" w:cs="Arial" w:eastAsia="Arial" w:hAnsi="Arial"/>
          <w:sz w:val="21"/>
          <w:szCs w:val="21"/>
          <w:b w:val="1"/>
          <w:bCs w:val="1"/>
          <w:color w:val="auto"/>
        </w:rPr>
        <w:t xml:space="preserve">Section 1.3 </w:t>
      </w:r>
      <w:r>
        <w:rPr>
          <w:rFonts w:ascii="Arial" w:cs="Arial" w:eastAsia="Arial" w:hAnsi="Arial"/>
          <w:sz w:val="21"/>
          <w:szCs w:val="21"/>
          <w:b w:val="1"/>
          <w:bCs w:val="1"/>
          <w:u w:val="single" w:color="auto"/>
          <w:color w:val="auto"/>
        </w:rPr>
        <w:t>Accounting Terms and Principles</w:t>
      </w:r>
      <w:r>
        <w:rPr>
          <w:rFonts w:ascii="Arial" w:cs="Arial" w:eastAsia="Arial" w:hAnsi="Arial"/>
          <w:sz w:val="21"/>
          <w:szCs w:val="21"/>
          <w:color w:val="auto"/>
        </w:rPr>
        <w:t>. Except as set forth below, all accounting terms not specifically defined</w:t>
      </w:r>
      <w:r>
        <w:rPr>
          <w:rFonts w:ascii="Arial" w:cs="Arial" w:eastAsia="Arial" w:hAnsi="Arial"/>
          <w:sz w:val="21"/>
          <w:szCs w:val="21"/>
          <w:b w:val="1"/>
          <w:bCs w:val="1"/>
          <w:color w:val="auto"/>
        </w:rPr>
        <w:t xml:space="preserve"> </w:t>
      </w:r>
      <w:r>
        <w:rPr>
          <w:rFonts w:ascii="Arial" w:cs="Arial" w:eastAsia="Arial" w:hAnsi="Arial"/>
          <w:sz w:val="21"/>
          <w:szCs w:val="21"/>
          <w:color w:val="auto"/>
        </w:rPr>
        <w:t>herein shall be construed in conformity with GAAP and all accounting determinations required to be made pursuant hereto shall, unless expressly otherwise provided herein, be made in conformity with GAAP.</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04" w:right="239" w:bottom="1440" w:gutter="0" w:footer="0" w:header="0"/>
        </w:sectPr>
      </w:pPr>
    </w:p>
    <w:bookmarkStart w:id="118" w:name="page119"/>
    <w:bookmarkEnd w:id="118"/>
    <w:p>
      <w:pPr>
        <w:ind w:left="434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AMOUNT AND TERMS OF THE LOANS</w:t>
      </w:r>
    </w:p>
    <w:p>
      <w:pPr>
        <w:spacing w:after="0" w:line="20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u w:val="single" w:color="auto"/>
          <w:color w:val="auto"/>
        </w:rPr>
        <w:t>Loan Commitment</w:t>
      </w:r>
      <w:r>
        <w:rPr>
          <w:rFonts w:ascii="Arial" w:cs="Arial" w:eastAsia="Arial" w:hAnsi="Arial"/>
          <w:sz w:val="19"/>
          <w:szCs w:val="19"/>
          <w:color w:val="auto"/>
        </w:rPr>
        <w:t>.</w:t>
      </w:r>
    </w:p>
    <w:p>
      <w:pPr>
        <w:spacing w:after="0" w:line="239" w:lineRule="exact"/>
        <w:rPr>
          <w:sz w:val="20"/>
          <w:szCs w:val="20"/>
          <w:color w:val="auto"/>
        </w:rPr>
      </w:pPr>
    </w:p>
    <w:p>
      <w:pPr>
        <w:jc w:val="both"/>
        <w:ind w:left="640" w:firstLine="5"/>
        <w:spacing w:after="0" w:line="262" w:lineRule="auto"/>
        <w:tabs>
          <w:tab w:leader="none" w:pos="1154" w:val="left"/>
        </w:tabs>
        <w:numPr>
          <w:ilvl w:val="0"/>
          <w:numId w:val="77"/>
        </w:numPr>
        <w:rPr>
          <w:rFonts w:ascii="Arial" w:cs="Arial" w:eastAsia="Arial" w:hAnsi="Arial"/>
          <w:sz w:val="21"/>
          <w:szCs w:val="21"/>
          <w:color w:val="auto"/>
        </w:rPr>
      </w:pPr>
      <w:r>
        <w:rPr>
          <w:rFonts w:ascii="Arial" w:cs="Arial" w:eastAsia="Arial" w:hAnsi="Arial"/>
          <w:sz w:val="21"/>
          <w:szCs w:val="21"/>
          <w:color w:val="auto"/>
        </w:rPr>
        <w:t>Subject to the terms and conditions set forth herein, the Lenders agree to make Tranche A revolving loans (“</w:t>
      </w:r>
      <w:r>
        <w:rPr>
          <w:rFonts w:ascii="Arial" w:cs="Arial" w:eastAsia="Arial" w:hAnsi="Arial"/>
          <w:sz w:val="21"/>
          <w:szCs w:val="21"/>
          <w:u w:val="single" w:color="auto"/>
          <w:color w:val="auto"/>
        </w:rPr>
        <w:t>Tranche A Loans</w:t>
      </w:r>
      <w:r>
        <w:rPr>
          <w:rFonts w:ascii="Arial" w:cs="Arial" w:eastAsia="Arial" w:hAnsi="Arial"/>
          <w:sz w:val="21"/>
          <w:szCs w:val="21"/>
          <w:color w:val="auto"/>
        </w:rPr>
        <w:t>”) and Tranche B revolving loans (“</w:t>
      </w:r>
      <w:r>
        <w:rPr>
          <w:rFonts w:ascii="Arial" w:cs="Arial" w:eastAsia="Arial" w:hAnsi="Arial"/>
          <w:sz w:val="21"/>
          <w:szCs w:val="21"/>
          <w:u w:val="single" w:color="auto"/>
          <w:color w:val="auto"/>
        </w:rPr>
        <w:t>Tranche B Loans</w:t>
      </w:r>
      <w:r>
        <w:rPr>
          <w:rFonts w:ascii="Arial" w:cs="Arial" w:eastAsia="Arial" w:hAnsi="Arial"/>
          <w:sz w:val="21"/>
          <w:szCs w:val="21"/>
          <w:color w:val="auto"/>
        </w:rPr>
        <w:t>” and, together with the Tranche A Loans, each a “</w:t>
      </w:r>
      <w:r>
        <w:rPr>
          <w:rFonts w:ascii="Arial" w:cs="Arial" w:eastAsia="Arial" w:hAnsi="Arial"/>
          <w:sz w:val="21"/>
          <w:szCs w:val="21"/>
          <w:u w:val="single" w:color="auto"/>
          <w:color w:val="auto"/>
        </w:rPr>
        <w:t>Loan</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Loans</w:t>
      </w:r>
      <w:r>
        <w:rPr>
          <w:rFonts w:ascii="Arial" w:cs="Arial" w:eastAsia="Arial" w:hAnsi="Arial"/>
          <w:sz w:val="21"/>
          <w:szCs w:val="21"/>
          <w:color w:val="auto"/>
        </w:rPr>
        <w:t xml:space="preserve">”) to the Borrower during the Availability Period in an aggregate principal amount at any time outstanding not to exceed the Loan Commitment. Unless otherwise specified by the Borrower, each Loan shall be funded ratably by the Lenders and in no event shall any Lender be required to make Loans in excess of its individual Loan Commitment. The Tranche A Loans and the Tranche B Loans shall be used for the respective purposes set forth in </w:t>
      </w:r>
      <w:r>
        <w:rPr>
          <w:rFonts w:ascii="Arial" w:cs="Arial" w:eastAsia="Arial" w:hAnsi="Arial"/>
          <w:sz w:val="21"/>
          <w:szCs w:val="21"/>
          <w:u w:val="single" w:color="auto"/>
          <w:color w:val="auto"/>
        </w:rPr>
        <w:t>Section 4.5</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left="640" w:firstLine="5"/>
        <w:spacing w:after="0" w:line="276" w:lineRule="auto"/>
        <w:tabs>
          <w:tab w:leader="none" w:pos="1153" w:val="left"/>
        </w:tabs>
        <w:numPr>
          <w:ilvl w:val="0"/>
          <w:numId w:val="77"/>
        </w:numPr>
        <w:rPr>
          <w:rFonts w:ascii="Arial" w:cs="Arial" w:eastAsia="Arial" w:hAnsi="Arial"/>
          <w:sz w:val="22"/>
          <w:szCs w:val="22"/>
          <w:color w:val="auto"/>
        </w:rPr>
      </w:pPr>
      <w:r>
        <w:rPr>
          <w:rFonts w:ascii="Arial" w:cs="Arial" w:eastAsia="Arial" w:hAnsi="Arial"/>
          <w:sz w:val="22"/>
          <w:szCs w:val="22"/>
          <w:color w:val="auto"/>
        </w:rPr>
        <w:t>During the Availability Period, the Borrower shall be entitled to borrow, prepay or repay, and reborrow the Loans in accordance with the provisions hereof.</w:t>
      </w:r>
    </w:p>
    <w:p>
      <w:pPr>
        <w:spacing w:after="0" w:line="155" w:lineRule="exact"/>
        <w:rPr>
          <w:sz w:val="20"/>
          <w:szCs w:val="20"/>
          <w:color w:val="auto"/>
        </w:rPr>
      </w:pPr>
    </w:p>
    <w:p>
      <w:pPr>
        <w:jc w:val="both"/>
        <w:spacing w:after="0" w:line="323" w:lineRule="auto"/>
        <w:rPr>
          <w:sz w:val="20"/>
          <w:szCs w:val="20"/>
          <w:color w:val="auto"/>
        </w:rPr>
      </w:pPr>
      <w:r>
        <w:rPr>
          <w:rFonts w:ascii="Arial" w:cs="Arial" w:eastAsia="Arial" w:hAnsi="Arial"/>
          <w:sz w:val="19"/>
          <w:szCs w:val="19"/>
          <w:b w:val="1"/>
          <w:bCs w:val="1"/>
          <w:color w:val="auto"/>
        </w:rPr>
        <w:t xml:space="preserve">Section 2.2 </w:t>
      </w:r>
      <w:r>
        <w:rPr>
          <w:rFonts w:ascii="Arial" w:cs="Arial" w:eastAsia="Arial" w:hAnsi="Arial"/>
          <w:sz w:val="19"/>
          <w:szCs w:val="19"/>
          <w:b w:val="1"/>
          <w:bCs w:val="1"/>
          <w:u w:val="single" w:color="auto"/>
          <w:color w:val="auto"/>
        </w:rPr>
        <w:t>Borrowing Procedure</w:t>
      </w:r>
      <w:r>
        <w:rPr>
          <w:rFonts w:ascii="Arial" w:cs="Arial" w:eastAsia="Arial" w:hAnsi="Arial"/>
          <w:sz w:val="19"/>
          <w:szCs w:val="19"/>
          <w:color w:val="auto"/>
        </w:rPr>
        <w:t>. The Borrower shall give the Administrative Agent written notice (or telephonic notice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promptly confirmed in writing) of each borrowing to be made by the Borrower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 of Borrowing</w:t>
      </w:r>
      <w:r>
        <w:rPr>
          <w:rFonts w:ascii="Arial" w:cs="Arial" w:eastAsia="Arial" w:hAnsi="Arial"/>
          <w:sz w:val="19"/>
          <w:szCs w:val="19"/>
          <w:color w:val="auto"/>
        </w:rPr>
        <w:t>”), each such Notice of Borrowing to be delivered on or prior to the requested date of each borrowing.</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b w:val="1"/>
          <w:bCs w:val="1"/>
          <w:color w:val="auto"/>
        </w:rPr>
        <w:t xml:space="preserve">Section 2.3 </w:t>
      </w:r>
      <w:r>
        <w:rPr>
          <w:rFonts w:ascii="Arial" w:cs="Arial" w:eastAsia="Arial" w:hAnsi="Arial"/>
          <w:sz w:val="21"/>
          <w:szCs w:val="21"/>
          <w:b w:val="1"/>
          <w:bCs w:val="1"/>
          <w:u w:val="single" w:color="auto"/>
          <w:color w:val="auto"/>
        </w:rPr>
        <w:t>Optional Reduction and Termination of Loan Commitment</w:t>
      </w:r>
      <w:r>
        <w:rPr>
          <w:rFonts w:ascii="Arial" w:cs="Arial" w:eastAsia="Arial" w:hAnsi="Arial"/>
          <w:sz w:val="21"/>
          <w:szCs w:val="21"/>
          <w:color w:val="auto"/>
        </w:rPr>
        <w:t>. Upon three (3) Business Days’ written notice</w:t>
      </w:r>
      <w:r>
        <w:rPr>
          <w:rFonts w:ascii="Arial" w:cs="Arial" w:eastAsia="Arial" w:hAnsi="Arial"/>
          <w:sz w:val="21"/>
          <w:szCs w:val="21"/>
          <w:b w:val="1"/>
          <w:bCs w:val="1"/>
          <w:color w:val="auto"/>
        </w:rPr>
        <w:t xml:space="preserve"> </w:t>
      </w:r>
      <w:r>
        <w:rPr>
          <w:rFonts w:ascii="Arial" w:cs="Arial" w:eastAsia="Arial" w:hAnsi="Arial"/>
          <w:sz w:val="21"/>
          <w:szCs w:val="21"/>
          <w:color w:val="auto"/>
        </w:rPr>
        <w:t>to the Administrative Agent signed by the Borrower, the Borrower may terminate the Loan Commitment of any Lender, or permanently reduce the Loan Commitment of any Lender, provided that each partial reduction of the Loan Commitment shall be in integral multiples of $1,000,000 or more (or such lesser amount as agreed by the applicable Lender). Unless otherwise specified by the Borrower, such reductions shall be made on a pro rata basis among each Lender based on such Lender’s percentage of the Loan Commitment.</w:t>
      </w:r>
    </w:p>
    <w:p>
      <w:pPr>
        <w:spacing w:after="0" w:line="16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u w:val="single" w:color="auto"/>
          <w:color w:val="auto"/>
        </w:rPr>
        <w:t>Repayment of Loans</w:t>
      </w:r>
      <w:r>
        <w:rPr>
          <w:rFonts w:ascii="Arial" w:cs="Arial" w:eastAsia="Arial" w:hAnsi="Arial"/>
          <w:sz w:val="19"/>
          <w:szCs w:val="19"/>
          <w:color w:val="auto"/>
        </w:rPr>
        <w:t>. On the Maturity Date, the Borrower shall repay in full all Obligations.</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2.5 </w:t>
      </w:r>
      <w:r>
        <w:rPr>
          <w:rFonts w:ascii="Arial" w:cs="Arial" w:eastAsia="Arial" w:hAnsi="Arial"/>
          <w:sz w:val="22"/>
          <w:szCs w:val="22"/>
          <w:b w:val="1"/>
          <w:bCs w:val="1"/>
          <w:u w:val="single" w:color="auto"/>
          <w:color w:val="auto"/>
        </w:rPr>
        <w:t>Prepayment</w:t>
      </w:r>
      <w:r>
        <w:rPr>
          <w:rFonts w:ascii="Arial" w:cs="Arial" w:eastAsia="Arial" w:hAnsi="Arial"/>
          <w:sz w:val="22"/>
          <w:szCs w:val="22"/>
          <w:color w:val="auto"/>
        </w:rPr>
        <w:t>. At any time, the Borrower may voluntarily prepay the Loans in whole or in part, which</w:t>
      </w:r>
      <w:r>
        <w:rPr>
          <w:rFonts w:ascii="Arial" w:cs="Arial" w:eastAsia="Arial" w:hAnsi="Arial"/>
          <w:sz w:val="22"/>
          <w:szCs w:val="22"/>
          <w:b w:val="1"/>
          <w:bCs w:val="1"/>
          <w:color w:val="auto"/>
        </w:rPr>
        <w:t xml:space="preserve"> </w:t>
      </w:r>
      <w:r>
        <w:rPr>
          <w:rFonts w:ascii="Arial" w:cs="Arial" w:eastAsia="Arial" w:hAnsi="Arial"/>
          <w:sz w:val="22"/>
          <w:szCs w:val="22"/>
          <w:color w:val="auto"/>
        </w:rPr>
        <w:t>prepayment shall be (together with accrued and unpaid interest thereon) without premium or penalty. Unless otherwise specified by the Borrower, such prepayments shall be made on a pro rata basis among each Lender based on such Lender’s percentage of the Loans.</w:t>
      </w:r>
    </w:p>
    <w:p>
      <w:pPr>
        <w:spacing w:after="0" w:line="17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b w:val="1"/>
          <w:bCs w:val="1"/>
          <w:u w:val="single" w:color="auto"/>
          <w:color w:val="auto"/>
        </w:rPr>
        <w:t>Interest on Loans</w:t>
      </w:r>
      <w:r>
        <w:rPr>
          <w:rFonts w:ascii="Arial" w:cs="Arial" w:eastAsia="Arial" w:hAnsi="Arial"/>
          <w:sz w:val="19"/>
          <w:szCs w:val="19"/>
          <w:color w:val="auto"/>
        </w:rPr>
        <w:t>.</w:t>
      </w:r>
    </w:p>
    <w:p>
      <w:pPr>
        <w:spacing w:after="0" w:line="239" w:lineRule="exact"/>
        <w:rPr>
          <w:sz w:val="20"/>
          <w:szCs w:val="20"/>
          <w:color w:val="auto"/>
        </w:rPr>
      </w:pPr>
    </w:p>
    <w:p>
      <w:pPr>
        <w:ind w:left="5000" w:right="4780" w:hanging="4355"/>
        <w:spacing w:after="0" w:line="730" w:lineRule="auto"/>
        <w:tabs>
          <w:tab w:leader="none" w:pos="1064"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Loans shall accrue interest at the Loan Interest Rate. 5</w:t>
      </w:r>
    </w:p>
    <w:p>
      <w:pPr>
        <w:sectPr>
          <w:pgSz w:w="11900" w:h="16838" w:orient="portrait"/>
          <w:cols w:equalWidth="0" w:num="1">
            <w:col w:w="10760"/>
          </w:cols>
          <w:pgMar w:left="900" w:top="598" w:right="239" w:bottom="1440" w:gutter="0" w:footer="0" w:header="0"/>
        </w:sectPr>
      </w:pPr>
    </w:p>
    <w:bookmarkStart w:id="119" w:name="page120"/>
    <w:bookmarkEnd w:id="119"/>
    <w:p>
      <w:pPr>
        <w:jc w:val="both"/>
        <w:ind w:left="644" w:firstLine="5"/>
        <w:spacing w:after="0" w:line="294" w:lineRule="auto"/>
        <w:tabs>
          <w:tab w:leader="none" w:pos="1116"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Borrower shall pay interest due and payable on the Loans in arrears on each Quarterly Payment Date for the Interest Period most recently ended;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pay all or a portion of such interest by adding such amount to the principal amount of the applicable Loan (a “</w:t>
      </w:r>
      <w:r>
        <w:rPr>
          <w:rFonts w:ascii="Arial" w:cs="Arial" w:eastAsia="Arial" w:hAnsi="Arial"/>
          <w:sz w:val="19"/>
          <w:szCs w:val="19"/>
          <w:u w:val="single" w:color="auto"/>
          <w:color w:val="auto"/>
        </w:rPr>
        <w:t>PIK Payment</w:t>
      </w:r>
      <w:r>
        <w:rPr>
          <w:rFonts w:ascii="Arial" w:cs="Arial" w:eastAsia="Arial" w:hAnsi="Arial"/>
          <w:sz w:val="19"/>
          <w:szCs w:val="19"/>
          <w:color w:val="auto"/>
        </w:rPr>
        <w:t>”), with the remaining interest (if any) to be paid fully in cash (a “</w:t>
      </w:r>
      <w:r>
        <w:rPr>
          <w:rFonts w:ascii="Arial" w:cs="Arial" w:eastAsia="Arial" w:hAnsi="Arial"/>
          <w:sz w:val="19"/>
          <w:szCs w:val="19"/>
          <w:u w:val="single" w:color="auto"/>
          <w:color w:val="auto"/>
        </w:rPr>
        <w:t>Cash Payment</w:t>
      </w:r>
      <w:r>
        <w:rPr>
          <w:rFonts w:ascii="Arial" w:cs="Arial" w:eastAsia="Arial" w:hAnsi="Arial"/>
          <w:sz w:val="19"/>
          <w:szCs w:val="19"/>
          <w:color w:val="auto"/>
        </w:rPr>
        <w:t>”). A PIK Payment shall be deemed to be made with respect to the portion (if any) of the interest due and payable with respect to a Loan for which a Cash Payment is not received by the applicable Lender on the applicable Quarterly Payment Date. For all purposes hereof, references to “principal amount” of the Loans includes any increase in the principal amount as a result of a PIK Payment.</w:t>
      </w:r>
    </w:p>
    <w:p>
      <w:pPr>
        <w:spacing w:after="0" w:line="152" w:lineRule="exact"/>
        <w:rPr>
          <w:rFonts w:ascii="Arial" w:cs="Arial" w:eastAsia="Arial" w:hAnsi="Arial"/>
          <w:sz w:val="19"/>
          <w:szCs w:val="19"/>
          <w:color w:val="auto"/>
        </w:rPr>
      </w:pPr>
    </w:p>
    <w:p>
      <w:pPr>
        <w:jc w:val="both"/>
        <w:ind w:left="644" w:firstLine="5"/>
        <w:spacing w:after="0" w:line="254" w:lineRule="auto"/>
        <w:tabs>
          <w:tab w:leader="none" w:pos="1077"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While an Event of Default exists or after acceleration of the Loans in accordance with </w:t>
      </w:r>
      <w:r>
        <w:rPr>
          <w:rFonts w:ascii="Arial" w:cs="Arial" w:eastAsia="Arial" w:hAnsi="Arial"/>
          <w:sz w:val="22"/>
          <w:szCs w:val="22"/>
          <w:u w:val="single" w:color="auto"/>
          <w:color w:val="auto"/>
        </w:rPr>
        <w:t>Article VI</w:t>
      </w:r>
      <w:r>
        <w:rPr>
          <w:rFonts w:ascii="Arial" w:cs="Arial" w:eastAsia="Arial" w:hAnsi="Arial"/>
          <w:sz w:val="22"/>
          <w:szCs w:val="22"/>
          <w:color w:val="auto"/>
        </w:rPr>
        <w:t>, at the option of the Required Lenders, interest on the unpaid principal amount of the Loans (and any unpaid interest with respect thereto) will accrue at the Default Interest Rate (the “</w:t>
      </w:r>
      <w:r>
        <w:rPr>
          <w:rFonts w:ascii="Arial" w:cs="Arial" w:eastAsia="Arial" w:hAnsi="Arial"/>
          <w:sz w:val="22"/>
          <w:szCs w:val="22"/>
          <w:u w:val="single" w:color="auto"/>
          <w:color w:val="auto"/>
        </w:rPr>
        <w:t>Default Interest</w:t>
      </w:r>
      <w:r>
        <w:rPr>
          <w:rFonts w:ascii="Arial" w:cs="Arial" w:eastAsia="Arial" w:hAnsi="Arial"/>
          <w:sz w:val="22"/>
          <w:szCs w:val="22"/>
          <w:color w:val="auto"/>
        </w:rPr>
        <w:t>”). All Default Interest will be payable by the Borrower upon demand by the Administrative Agent.</w:t>
      </w:r>
    </w:p>
    <w:p>
      <w:pPr>
        <w:spacing w:after="0" w:line="185" w:lineRule="exact"/>
        <w:rPr>
          <w:rFonts w:ascii="Arial" w:cs="Arial" w:eastAsia="Arial" w:hAnsi="Arial"/>
          <w:sz w:val="22"/>
          <w:szCs w:val="22"/>
          <w:color w:val="auto"/>
        </w:rPr>
      </w:pPr>
    </w:p>
    <w:p>
      <w:pPr>
        <w:jc w:val="both"/>
        <w:ind w:left="644" w:firstLine="5"/>
        <w:spacing w:after="0" w:line="260" w:lineRule="auto"/>
        <w:tabs>
          <w:tab w:leader="none" w:pos="1116"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In the event of an assignment pursuant to </w:t>
      </w:r>
      <w:r>
        <w:rPr>
          <w:rFonts w:ascii="Arial" w:cs="Arial" w:eastAsia="Arial" w:hAnsi="Arial"/>
          <w:sz w:val="22"/>
          <w:szCs w:val="22"/>
          <w:u w:val="single" w:color="auto"/>
          <w:color w:val="auto"/>
        </w:rPr>
        <w:t>Section 7.4</w:t>
      </w:r>
      <w:r>
        <w:rPr>
          <w:rFonts w:ascii="Arial" w:cs="Arial" w:eastAsia="Arial" w:hAnsi="Arial"/>
          <w:sz w:val="22"/>
          <w:szCs w:val="22"/>
          <w:color w:val="auto"/>
        </w:rPr>
        <w:t>, each assigning Lender shall receive interest on account of the period up to but not including the date of such assignment. Each Lender which is an assignee shall receive interest on account of the period beginning on the day of such assignment.</w:t>
      </w:r>
    </w:p>
    <w:p>
      <w:pPr>
        <w:spacing w:after="0" w:line="171"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b w:val="1"/>
          <w:bCs w:val="1"/>
          <w:color w:val="auto"/>
        </w:rPr>
        <w:t xml:space="preserve">Section 2.7 </w:t>
      </w:r>
      <w:r>
        <w:rPr>
          <w:rFonts w:ascii="Arial" w:cs="Arial" w:eastAsia="Arial" w:hAnsi="Arial"/>
          <w:sz w:val="22"/>
          <w:szCs w:val="22"/>
          <w:b w:val="1"/>
          <w:bCs w:val="1"/>
          <w:u w:val="single" w:color="auto"/>
          <w:color w:val="auto"/>
        </w:rPr>
        <w:t>Computation of Interest</w:t>
      </w:r>
      <w:r>
        <w:rPr>
          <w:rFonts w:ascii="Arial" w:cs="Arial" w:eastAsia="Arial" w:hAnsi="Arial"/>
          <w:sz w:val="22"/>
          <w:szCs w:val="22"/>
          <w:color w:val="auto"/>
        </w:rPr>
        <w:t>. All computations of interest shall be made by the Administrative Agent on the</w:t>
      </w:r>
      <w:r>
        <w:rPr>
          <w:rFonts w:ascii="Arial" w:cs="Arial" w:eastAsia="Arial" w:hAnsi="Arial"/>
          <w:sz w:val="22"/>
          <w:szCs w:val="22"/>
          <w:b w:val="1"/>
          <w:bCs w:val="1"/>
          <w:color w:val="auto"/>
        </w:rPr>
        <w:t xml:space="preserve"> </w:t>
      </w:r>
      <w:r>
        <w:rPr>
          <w:rFonts w:ascii="Arial" w:cs="Arial" w:eastAsia="Arial" w:hAnsi="Arial"/>
          <w:sz w:val="22"/>
          <w:szCs w:val="22"/>
          <w:color w:val="auto"/>
        </w:rPr>
        <w:t>basis of a year of 360 days. Each determination by the Administrative Agent of an interest amount hereunder shall, except for manifest error, be final, conclusive and binding for all purposes.</w:t>
      </w:r>
    </w:p>
    <w:p>
      <w:pPr>
        <w:spacing w:after="0" w:line="171" w:lineRule="exact"/>
        <w:rPr>
          <w:sz w:val="20"/>
          <w:szCs w:val="20"/>
          <w:color w:val="auto"/>
        </w:rPr>
      </w:pPr>
    </w:p>
    <w:p>
      <w:pPr>
        <w:jc w:val="both"/>
        <w:ind w:left="4"/>
        <w:spacing w:after="0" w:line="268" w:lineRule="auto"/>
        <w:rPr>
          <w:sz w:val="20"/>
          <w:szCs w:val="20"/>
          <w:color w:val="auto"/>
        </w:rPr>
      </w:pPr>
      <w:r>
        <w:rPr>
          <w:rFonts w:ascii="Arial" w:cs="Arial" w:eastAsia="Arial" w:hAnsi="Arial"/>
          <w:sz w:val="21"/>
          <w:szCs w:val="21"/>
          <w:b w:val="1"/>
          <w:bCs w:val="1"/>
          <w:color w:val="auto"/>
        </w:rPr>
        <w:t xml:space="preserve">Section 2.8 </w:t>
      </w:r>
      <w:r>
        <w:rPr>
          <w:rFonts w:ascii="Arial" w:cs="Arial" w:eastAsia="Arial" w:hAnsi="Arial"/>
          <w:sz w:val="21"/>
          <w:szCs w:val="21"/>
          <w:b w:val="1"/>
          <w:bCs w:val="1"/>
          <w:u w:val="single" w:color="auto"/>
          <w:color w:val="auto"/>
        </w:rPr>
        <w:t>Evidence of Debt</w:t>
      </w:r>
      <w:r>
        <w:rPr>
          <w:rFonts w:ascii="Arial" w:cs="Arial" w:eastAsia="Arial" w:hAnsi="Arial"/>
          <w:sz w:val="21"/>
          <w:szCs w:val="21"/>
          <w:color w:val="auto"/>
        </w:rPr>
        <w:t>. The Loans made by the Lenders shall be evidenced by one or more accounts or records</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maintained by the Administrative Agent. The accounts or records maintained by the Administrative Agent shall be conclusive absent manifest error of the amount of the Loans made by each Lender to the Borrower and the interest and payments thereon. Any failure so to record or any error in doing so shall not, however, limit or otherwise affect the obligation of the Borrower hereunder to pay any amount owing with respect to the Loans.</w:t>
      </w:r>
    </w:p>
    <w:p>
      <w:pPr>
        <w:spacing w:after="0" w:line="164" w:lineRule="exact"/>
        <w:rPr>
          <w:sz w:val="20"/>
          <w:szCs w:val="20"/>
          <w:color w:val="auto"/>
        </w:rPr>
      </w:pPr>
    </w:p>
    <w:p>
      <w:pPr>
        <w:jc w:val="both"/>
        <w:ind w:left="4"/>
        <w:spacing w:after="0" w:line="298" w:lineRule="auto"/>
        <w:rPr>
          <w:sz w:val="20"/>
          <w:szCs w:val="20"/>
          <w:color w:val="auto"/>
        </w:rPr>
      </w:pPr>
      <w:r>
        <w:rPr>
          <w:rFonts w:ascii="Arial" w:cs="Arial" w:eastAsia="Arial" w:hAnsi="Arial"/>
          <w:sz w:val="19"/>
          <w:szCs w:val="19"/>
          <w:b w:val="1"/>
          <w:bCs w:val="1"/>
          <w:color w:val="auto"/>
        </w:rPr>
        <w:t xml:space="preserve">Section 2.9 </w:t>
      </w:r>
      <w:r>
        <w:rPr>
          <w:rFonts w:ascii="Arial" w:cs="Arial" w:eastAsia="Arial" w:hAnsi="Arial"/>
          <w:sz w:val="19"/>
          <w:szCs w:val="19"/>
          <w:b w:val="1"/>
          <w:bCs w:val="1"/>
          <w:u w:val="single" w:color="auto"/>
          <w:color w:val="auto"/>
        </w:rPr>
        <w:t>Payments Generally</w:t>
      </w:r>
      <w:r>
        <w:rPr>
          <w:rFonts w:ascii="Arial" w:cs="Arial" w:eastAsia="Arial" w:hAnsi="Arial"/>
          <w:sz w:val="19"/>
          <w:szCs w:val="19"/>
          <w:color w:val="auto"/>
        </w:rPr>
        <w:t>. (a) All payments by the Borrower hereunder shall be made to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at the Payment Office in immediately available funds without setoff or counterclaim which payments shall then be distributed to the Lenders on a ratable basis based on such Lender’s percentage of the Loans, unless otherwise provided herein. If any payment hereunder shall be due on a day that is not a Business Day, the date for payment shall be extended to the next succeeding Business Day, and, in the case of the payment accruing interest, interest thereon shall be made payable for the period of such extension. All payments hereunder shall be made in Dollars.</w:t>
      </w:r>
    </w:p>
    <w:p>
      <w:pPr>
        <w:spacing w:after="0" w:line="147" w:lineRule="exact"/>
        <w:rPr>
          <w:sz w:val="20"/>
          <w:szCs w:val="20"/>
          <w:color w:val="auto"/>
        </w:rPr>
      </w:pPr>
    </w:p>
    <w:p>
      <w:pPr>
        <w:ind w:left="4" w:hanging="4"/>
        <w:spacing w:after="0" w:line="263" w:lineRule="auto"/>
        <w:tabs>
          <w:tab w:leader="none" w:pos="3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If on the Maturity Date insufficient funds are received by and available to any Lender to pay fully all amounts of principal and interest due hereunder, such funds shall be applied</w:t>
      </w:r>
    </w:p>
    <w:p>
      <w:pPr>
        <w:spacing w:after="0" w:line="391"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604" w:right="239" w:bottom="1440" w:gutter="0" w:footer="0" w:header="0"/>
        </w:sectPr>
      </w:pPr>
    </w:p>
    <w:bookmarkStart w:id="120" w:name="page121"/>
    <w:bookmarkEnd w:id="120"/>
    <w:p>
      <w:pPr>
        <w:ind w:left="4"/>
        <w:spacing w:after="0"/>
        <w:rPr>
          <w:sz w:val="20"/>
          <w:szCs w:val="20"/>
          <w:color w:val="auto"/>
        </w:rPr>
      </w:pPr>
      <w:r>
        <w:rPr>
          <w:rFonts w:ascii="Arial" w:cs="Arial" w:eastAsia="Arial" w:hAnsi="Arial"/>
          <w:sz w:val="22"/>
          <w:szCs w:val="22"/>
          <w:color w:val="auto"/>
        </w:rPr>
        <w:t>(i) first, towards payment of interest, and (ii) second, towards payment of principal due to such Lender.</w:t>
      </w:r>
    </w:p>
    <w:p>
      <w:pPr>
        <w:spacing w:after="0" w:line="214" w:lineRule="exact"/>
        <w:rPr>
          <w:sz w:val="20"/>
          <w:szCs w:val="20"/>
          <w:color w:val="auto"/>
        </w:rPr>
      </w:pPr>
    </w:p>
    <w:p>
      <w:pPr>
        <w:jc w:val="both"/>
        <w:ind w:left="4"/>
        <w:spacing w:after="0" w:line="262" w:lineRule="auto"/>
        <w:rPr>
          <w:sz w:val="20"/>
          <w:szCs w:val="20"/>
          <w:color w:val="auto"/>
        </w:rPr>
      </w:pPr>
      <w:r>
        <w:rPr>
          <w:rFonts w:ascii="Arial" w:cs="Arial" w:eastAsia="Arial" w:hAnsi="Arial"/>
          <w:sz w:val="21"/>
          <w:szCs w:val="21"/>
          <w:b w:val="1"/>
          <w:bCs w:val="1"/>
          <w:color w:val="auto"/>
        </w:rPr>
        <w:t xml:space="preserve">Section 2.10 </w:t>
      </w:r>
      <w:r>
        <w:rPr>
          <w:rFonts w:ascii="Arial" w:cs="Arial" w:eastAsia="Arial" w:hAnsi="Arial"/>
          <w:sz w:val="21"/>
          <w:szCs w:val="21"/>
          <w:b w:val="1"/>
          <w:bCs w:val="1"/>
          <w:u w:val="single" w:color="auto"/>
          <w:color w:val="auto"/>
        </w:rPr>
        <w:t>Taxes</w:t>
      </w:r>
      <w:r>
        <w:rPr>
          <w:rFonts w:ascii="Arial" w:cs="Arial" w:eastAsia="Arial" w:hAnsi="Arial"/>
          <w:sz w:val="21"/>
          <w:szCs w:val="21"/>
          <w:color w:val="auto"/>
        </w:rPr>
        <w:t>. (a) Any and all payments by the Borrower under each Loan Document shall be made free and clear of</w:t>
      </w:r>
      <w:r>
        <w:rPr>
          <w:rFonts w:ascii="Arial" w:cs="Arial" w:eastAsia="Arial" w:hAnsi="Arial"/>
          <w:sz w:val="21"/>
          <w:szCs w:val="21"/>
          <w:b w:val="1"/>
          <w:bCs w:val="1"/>
          <w:color w:val="auto"/>
        </w:rPr>
        <w:t xml:space="preserve"> </w:t>
      </w:r>
      <w:r>
        <w:rPr>
          <w:rFonts w:ascii="Arial" w:cs="Arial" w:eastAsia="Arial" w:hAnsi="Arial"/>
          <w:sz w:val="21"/>
          <w:szCs w:val="21"/>
          <w:color w:val="auto"/>
        </w:rPr>
        <w:t>and without deduction for any and all present or future Taxes. If any Taxes shall be required by law to be deducted from or in respect of any sum payable under any Loan Document to the Lenders, then the Borrower shall be entitled to make such deduction or withholding and shall timely pay the full amount deducted or withheld to the relevant Governmental Authority in accordance with applicable law and the sum payable by the Borrower shall be increased as necessary so that after such deduction or withholding has been made (including such deductions and withholdings of Taxes applicable to additional sums payable under this Section) each Lender receives an amount equal to the sum it would have received had no such deduction or withholding been made.</w:t>
      </w:r>
    </w:p>
    <w:p>
      <w:pPr>
        <w:spacing w:after="0" w:line="179" w:lineRule="exact"/>
        <w:rPr>
          <w:sz w:val="20"/>
          <w:szCs w:val="20"/>
          <w:color w:val="auto"/>
        </w:rPr>
      </w:pPr>
    </w:p>
    <w:p>
      <w:pPr>
        <w:jc w:val="both"/>
        <w:ind w:left="4" w:right="20" w:hanging="4"/>
        <w:spacing w:after="0" w:line="250" w:lineRule="auto"/>
        <w:tabs>
          <w:tab w:leader="none" w:pos="508"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Borrower and the Lenders agree that the Loans shall be (and they expect the Loans to be) treated as debt for tax purposes, and neither the Borrower nor any of the Lenders shall take a position contrary to this position on any tax return or through any other action, unless required by a final judgment of a court of competent jurisdiction (as reasonably determined by the Borrower and the Administrative Agent in good faith).</w:t>
      </w:r>
    </w:p>
    <w:p>
      <w:pPr>
        <w:spacing w:after="0" w:line="182" w:lineRule="exact"/>
        <w:rPr>
          <w:sz w:val="20"/>
          <w:szCs w:val="20"/>
          <w:color w:val="auto"/>
        </w:rPr>
      </w:pPr>
    </w:p>
    <w:p>
      <w:pPr>
        <w:jc w:val="both"/>
        <w:ind w:left="4"/>
        <w:spacing w:after="0" w:line="309" w:lineRule="auto"/>
        <w:rPr>
          <w:sz w:val="20"/>
          <w:szCs w:val="20"/>
          <w:color w:val="auto"/>
        </w:rPr>
      </w:pPr>
      <w:r>
        <w:rPr>
          <w:rFonts w:ascii="Arial" w:cs="Arial" w:eastAsia="Arial" w:hAnsi="Arial"/>
          <w:sz w:val="19"/>
          <w:szCs w:val="19"/>
          <w:b w:val="1"/>
          <w:bCs w:val="1"/>
          <w:color w:val="auto"/>
        </w:rPr>
        <w:t xml:space="preserve">Section 2.11 </w:t>
      </w:r>
      <w:r>
        <w:rPr>
          <w:rFonts w:ascii="Arial" w:cs="Arial" w:eastAsia="Arial" w:hAnsi="Arial"/>
          <w:sz w:val="19"/>
          <w:szCs w:val="19"/>
          <w:b w:val="1"/>
          <w:bCs w:val="1"/>
          <w:u w:val="single" w:color="auto"/>
          <w:color w:val="auto"/>
        </w:rPr>
        <w:t>Illegality</w:t>
      </w:r>
      <w:r>
        <w:rPr>
          <w:rFonts w:ascii="Arial" w:cs="Arial" w:eastAsia="Arial" w:hAnsi="Arial"/>
          <w:sz w:val="19"/>
          <w:szCs w:val="19"/>
          <w:color w:val="auto"/>
        </w:rPr>
        <w:t>. Notwithstanding any other provision of this Agreement, if any Lender determines that it is</w:t>
      </w:r>
      <w:r>
        <w:rPr>
          <w:rFonts w:ascii="Arial" w:cs="Arial" w:eastAsia="Arial" w:hAnsi="Arial"/>
          <w:sz w:val="19"/>
          <w:szCs w:val="19"/>
          <w:b w:val="1"/>
          <w:bCs w:val="1"/>
          <w:color w:val="auto"/>
        </w:rPr>
        <w:t xml:space="preserve"> </w:t>
      </w:r>
      <w:r>
        <w:rPr>
          <w:rFonts w:ascii="Arial" w:cs="Arial" w:eastAsia="Arial" w:hAnsi="Arial"/>
          <w:sz w:val="19"/>
          <w:szCs w:val="19"/>
          <w:color w:val="auto"/>
        </w:rPr>
        <w:t>unlawful for such Lender to make Loans or to continue to fund or maintain Loans, then, on notice thereof and demand therefor by such Lender to the Borrower, (i) the obligation of such Lender to make or to continue Loans shall be suspended, and (ii) if Loans are then outstanding, the Borrower shall prepay such Loans within three (3) Business Days.</w:t>
      </w:r>
    </w:p>
    <w:p>
      <w:pPr>
        <w:spacing w:after="0" w:line="131" w:lineRule="exact"/>
        <w:rPr>
          <w:sz w:val="20"/>
          <w:szCs w:val="20"/>
          <w:color w:val="auto"/>
        </w:rPr>
      </w:pPr>
    </w:p>
    <w:p>
      <w:pPr>
        <w:ind w:left="4304"/>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3084"/>
        <w:spacing w:after="0"/>
        <w:rPr>
          <w:sz w:val="20"/>
          <w:szCs w:val="20"/>
          <w:color w:val="auto"/>
        </w:rPr>
      </w:pPr>
      <w:r>
        <w:rPr>
          <w:rFonts w:ascii="Arial" w:cs="Arial" w:eastAsia="Arial" w:hAnsi="Arial"/>
          <w:sz w:val="22"/>
          <w:szCs w:val="22"/>
          <w:b w:val="1"/>
          <w:bCs w:val="1"/>
          <w:color w:val="auto"/>
        </w:rPr>
        <w:t>CONDITIONS PRECEDENT TO LOANS</w:t>
      </w:r>
    </w:p>
    <w:p>
      <w:pPr>
        <w:spacing w:after="0" w:line="209" w:lineRule="exact"/>
        <w:rPr>
          <w:sz w:val="20"/>
          <w:szCs w:val="20"/>
          <w:color w:val="auto"/>
        </w:rPr>
      </w:pPr>
    </w:p>
    <w:p>
      <w:pPr>
        <w:jc w:val="both"/>
        <w:ind w:left="4"/>
        <w:spacing w:after="0" w:line="282" w:lineRule="auto"/>
        <w:rPr>
          <w:sz w:val="20"/>
          <w:szCs w:val="20"/>
          <w:color w:val="auto"/>
        </w:rPr>
      </w:pPr>
      <w:r>
        <w:rPr>
          <w:rFonts w:ascii="Arial" w:cs="Arial" w:eastAsia="Arial" w:hAnsi="Arial"/>
          <w:sz w:val="22"/>
          <w:szCs w:val="22"/>
          <w:b w:val="1"/>
          <w:bCs w:val="1"/>
          <w:color w:val="auto"/>
        </w:rPr>
        <w:t xml:space="preserve">Section 3.1 </w:t>
      </w:r>
      <w:r>
        <w:rPr>
          <w:rFonts w:ascii="Arial" w:cs="Arial" w:eastAsia="Arial" w:hAnsi="Arial"/>
          <w:sz w:val="22"/>
          <w:szCs w:val="22"/>
          <w:b w:val="1"/>
          <w:bCs w:val="1"/>
          <w:u w:val="single" w:color="auto"/>
          <w:color w:val="auto"/>
        </w:rPr>
        <w:t>Conditions to Effectiveness</w:t>
      </w:r>
      <w:r>
        <w:rPr>
          <w:rFonts w:ascii="Arial" w:cs="Arial" w:eastAsia="Arial" w:hAnsi="Arial"/>
          <w:sz w:val="22"/>
          <w:szCs w:val="22"/>
          <w:color w:val="auto"/>
        </w:rPr>
        <w:t>. This Agreement shall become effective upon the execution and delivery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by the Borrower, the Lenders and the Administrative Agent.</w:t>
      </w:r>
    </w:p>
    <w:p>
      <w:pPr>
        <w:spacing w:after="0" w:line="148"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b w:val="1"/>
          <w:bCs w:val="1"/>
          <w:color w:val="auto"/>
        </w:rPr>
        <w:t xml:space="preserve">Section 3.2 </w:t>
      </w:r>
      <w:r>
        <w:rPr>
          <w:rFonts w:ascii="Arial" w:cs="Arial" w:eastAsia="Arial" w:hAnsi="Arial"/>
          <w:sz w:val="22"/>
          <w:szCs w:val="22"/>
          <w:b w:val="1"/>
          <w:bCs w:val="1"/>
          <w:u w:val="single" w:color="auto"/>
          <w:color w:val="auto"/>
        </w:rPr>
        <w:t>Conditions to Making of each Loan</w:t>
      </w:r>
      <w:r>
        <w:rPr>
          <w:rFonts w:ascii="Arial" w:cs="Arial" w:eastAsia="Arial" w:hAnsi="Arial"/>
          <w:sz w:val="22"/>
          <w:szCs w:val="22"/>
          <w:color w:val="auto"/>
        </w:rPr>
        <w:t>. The obligations hereunder of the Lenders to make each Loan 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subject to the satisfaction (or waiver in accordance with </w:t>
      </w:r>
      <w:r>
        <w:rPr>
          <w:rFonts w:ascii="Arial" w:cs="Arial" w:eastAsia="Arial" w:hAnsi="Arial"/>
          <w:sz w:val="22"/>
          <w:szCs w:val="22"/>
          <w:u w:val="single" w:color="auto"/>
          <w:color w:val="auto"/>
        </w:rPr>
        <w:t>Section 7.2</w:t>
      </w:r>
      <w:r>
        <w:rPr>
          <w:rFonts w:ascii="Arial" w:cs="Arial" w:eastAsia="Arial" w:hAnsi="Arial"/>
          <w:sz w:val="22"/>
          <w:szCs w:val="22"/>
          <w:color w:val="auto"/>
        </w:rPr>
        <w:t>) of the following conditions as of the date each Loan is made:</w:t>
      </w:r>
    </w:p>
    <w:p>
      <w:pPr>
        <w:spacing w:after="0" w:line="177" w:lineRule="exact"/>
        <w:rPr>
          <w:sz w:val="20"/>
          <w:szCs w:val="20"/>
          <w:color w:val="auto"/>
        </w:rPr>
      </w:pPr>
    </w:p>
    <w:p>
      <w:pPr>
        <w:ind w:left="644" w:firstLine="5"/>
        <w:spacing w:after="0" w:line="358" w:lineRule="auto"/>
        <w:tabs>
          <w:tab w:leader="none" w:pos="109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Administrative Agent shall have received a signed Notice of Borrowing from the Borrower requesting the making of a Loan on the date specified therein (which shall be no later than the last day of the Availability Period).</w:t>
      </w:r>
    </w:p>
    <w:p>
      <w:pPr>
        <w:spacing w:after="0" w:line="90" w:lineRule="exact"/>
        <w:rPr>
          <w:rFonts w:ascii="Arial" w:cs="Arial" w:eastAsia="Arial" w:hAnsi="Arial"/>
          <w:sz w:val="19"/>
          <w:szCs w:val="19"/>
          <w:color w:val="auto"/>
        </w:rPr>
      </w:pPr>
    </w:p>
    <w:p>
      <w:pPr>
        <w:jc w:val="both"/>
        <w:ind w:left="644" w:firstLine="5"/>
        <w:spacing w:after="0" w:line="278" w:lineRule="auto"/>
        <w:tabs>
          <w:tab w:leader="none" w:pos="1197" w:val="left"/>
        </w:tabs>
        <w:numPr>
          <w:ilvl w:val="0"/>
          <w:numId w:val="82"/>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the making of the requested Loan, (i) the aggregate Outstanding Amount shall not be in excess of the Loan Commitment and (ii) the Outstanding Amount of any Lender participating in the making of such Loan shall not be in excess of such Lender’s Loan Commitment.</w:t>
      </w:r>
    </w:p>
    <w:p>
      <w:pPr>
        <w:spacing w:after="0" w:line="37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4"/>
          </w:cols>
          <w:pgMar w:left="896" w:top="604" w:right="239" w:bottom="1440" w:gutter="0" w:footer="0" w:header="0"/>
        </w:sectPr>
      </w:pPr>
    </w:p>
    <w:bookmarkStart w:id="121" w:name="page122"/>
    <w:bookmarkEnd w:id="121"/>
    <w:p>
      <w:pPr>
        <w:ind w:left="1300" w:firstLine="5"/>
        <w:spacing w:after="0" w:line="276" w:lineRule="auto"/>
        <w:tabs>
          <w:tab w:leader="none" w:pos="1747" w:val="left"/>
        </w:tabs>
        <w:numPr>
          <w:ilvl w:val="0"/>
          <w:numId w:val="83"/>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the making of the requested Loan, no Default or Event of Default shall exist.</w:t>
      </w:r>
    </w:p>
    <w:p>
      <w:pPr>
        <w:spacing w:after="0" w:line="160" w:lineRule="exact"/>
        <w:rPr>
          <w:rFonts w:ascii="Arial" w:cs="Arial" w:eastAsia="Arial" w:hAnsi="Arial"/>
          <w:sz w:val="22"/>
          <w:szCs w:val="22"/>
          <w:color w:val="auto"/>
        </w:rPr>
      </w:pPr>
    </w:p>
    <w:p>
      <w:pPr>
        <w:jc w:val="both"/>
        <w:ind w:left="1300" w:firstLine="5"/>
        <w:spacing w:after="0" w:line="260" w:lineRule="auto"/>
        <w:tabs>
          <w:tab w:leader="none" w:pos="1759" w:val="left"/>
        </w:tabs>
        <w:numPr>
          <w:ilvl w:val="0"/>
          <w:numId w:val="83"/>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the making of the requested Loan, all representations and warranties of the Borrower set forth in the Loan Documents shall be true and correct in all material respects on and as of such date.</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1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To induce the Lenders to enter into this Agreement and to make each Loan, the Borrower hereby represents and warrants to the Lenders for itself that:</w:t>
      </w:r>
    </w:p>
    <w:p>
      <w:pPr>
        <w:spacing w:after="0" w:line="169"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b w:val="1"/>
          <w:bCs w:val="1"/>
          <w:color w:val="auto"/>
        </w:rPr>
        <w:t xml:space="preserve">Section 4.1 </w:t>
      </w:r>
      <w:r>
        <w:rPr>
          <w:rFonts w:ascii="Arial" w:cs="Arial" w:eastAsia="Arial" w:hAnsi="Arial"/>
          <w:sz w:val="22"/>
          <w:szCs w:val="22"/>
          <w:b w:val="1"/>
          <w:bCs w:val="1"/>
          <w:u w:val="single" w:color="auto"/>
          <w:color w:val="auto"/>
        </w:rPr>
        <w:t>Corporate Existence</w:t>
      </w:r>
      <w:r>
        <w:rPr>
          <w:rFonts w:ascii="Arial" w:cs="Arial" w:eastAsia="Arial" w:hAnsi="Arial"/>
          <w:sz w:val="22"/>
          <w:szCs w:val="22"/>
          <w:color w:val="auto"/>
        </w:rPr>
        <w:t>. The Borrower is duly organized, validly existing and in good standing under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jurisdiction of its organization.</w:t>
      </w:r>
    </w:p>
    <w:p>
      <w:pPr>
        <w:spacing w:after="0" w:line="14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9"/>
          <w:szCs w:val="19"/>
          <w:b w:val="1"/>
          <w:bCs w:val="1"/>
          <w:u w:val="single" w:color="auto"/>
          <w:color w:val="auto"/>
        </w:rPr>
        <w:t>Power; Authorization; Enforceable Obligations</w:t>
      </w:r>
      <w:r>
        <w:rPr>
          <w:rFonts w:ascii="Arial" w:cs="Arial" w:eastAsia="Arial" w:hAnsi="Arial"/>
          <w:sz w:val="19"/>
          <w:szCs w:val="19"/>
          <w:color w:val="auto"/>
        </w:rPr>
        <w:t>.</w:t>
      </w:r>
    </w:p>
    <w:p>
      <w:pPr>
        <w:spacing w:after="0" w:line="239" w:lineRule="exact"/>
        <w:rPr>
          <w:sz w:val="20"/>
          <w:szCs w:val="20"/>
          <w:color w:val="auto"/>
        </w:rPr>
      </w:pPr>
    </w:p>
    <w:p>
      <w:pPr>
        <w:jc w:val="both"/>
        <w:ind w:left="1300" w:firstLine="5"/>
        <w:spacing w:after="0" w:line="254" w:lineRule="auto"/>
        <w:tabs>
          <w:tab w:leader="none" w:pos="1895"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Borrower has the power and authority, and the legal right, to make, deliver and perform the Loan Documents to which it is a party and to borrow hereunder. The Borrower has taken all necessary action to authorize the execution, delivery and performance of the Loan Documents to which it is a party and to authorize the borrowings on the terms and conditions of this Agreement.</w:t>
      </w:r>
    </w:p>
    <w:p>
      <w:pPr>
        <w:spacing w:after="0" w:line="185" w:lineRule="exact"/>
        <w:rPr>
          <w:rFonts w:ascii="Arial" w:cs="Arial" w:eastAsia="Arial" w:hAnsi="Arial"/>
          <w:sz w:val="22"/>
          <w:szCs w:val="22"/>
          <w:color w:val="auto"/>
        </w:rPr>
      </w:pPr>
    </w:p>
    <w:p>
      <w:pPr>
        <w:jc w:val="both"/>
        <w:ind w:left="1300" w:firstLine="5"/>
        <w:spacing w:after="0" w:line="300" w:lineRule="auto"/>
        <w:tabs>
          <w:tab w:leader="none" w:pos="1880"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 consent or authorization of, filing with, notice to or other act by or in respect of any Governmental Authority or any other Person is required to be obtained by the Borrower in connection with (i) the borrowings hereunder, (ii) the execution, delivery, validity or enforceability of this Agreement or any of the other Loan Documents, or (iii) the performance of this Agreement or any of the other Loan Documents, except, in each case, for routine consents, authorizations, filings and notices required to be made in the ordinary course of business.</w:t>
      </w:r>
    </w:p>
    <w:p>
      <w:pPr>
        <w:spacing w:after="0" w:line="147" w:lineRule="exact"/>
        <w:rPr>
          <w:rFonts w:ascii="Arial" w:cs="Arial" w:eastAsia="Arial" w:hAnsi="Arial"/>
          <w:sz w:val="19"/>
          <w:szCs w:val="19"/>
          <w:color w:val="auto"/>
        </w:rPr>
      </w:pPr>
    </w:p>
    <w:p>
      <w:pPr>
        <w:ind w:left="1300" w:firstLine="5"/>
        <w:spacing w:after="0" w:line="276" w:lineRule="auto"/>
        <w:tabs>
          <w:tab w:leader="none" w:pos="1841"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This Agreement has been, and, upon execution, each Loan Document shall have been, duly executed and delivered on behalf of the Borrower.</w:t>
      </w:r>
    </w:p>
    <w:p>
      <w:pPr>
        <w:spacing w:after="0" w:line="160" w:lineRule="exact"/>
        <w:rPr>
          <w:rFonts w:ascii="Arial" w:cs="Arial" w:eastAsia="Arial" w:hAnsi="Arial"/>
          <w:sz w:val="22"/>
          <w:szCs w:val="22"/>
          <w:color w:val="auto"/>
        </w:rPr>
      </w:pPr>
    </w:p>
    <w:p>
      <w:pPr>
        <w:jc w:val="both"/>
        <w:ind w:left="1300" w:firstLine="5"/>
        <w:spacing w:after="0" w:line="251" w:lineRule="auto"/>
        <w:tabs>
          <w:tab w:leader="none" w:pos="1772"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This Agreement constitutes, and each other Loan Document upon execution will constitute,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4"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b w:val="1"/>
          <w:bCs w:val="1"/>
          <w:color w:val="auto"/>
        </w:rPr>
        <w:t xml:space="preserve">Section 4.3 </w:t>
      </w:r>
      <w:r>
        <w:rPr>
          <w:rFonts w:ascii="Arial" w:cs="Arial" w:eastAsia="Arial" w:hAnsi="Arial"/>
          <w:sz w:val="22"/>
          <w:szCs w:val="22"/>
          <w:b w:val="1"/>
          <w:bCs w:val="1"/>
          <w:u w:val="single" w:color="auto"/>
          <w:color w:val="auto"/>
        </w:rPr>
        <w:t>No Legal Bar</w:t>
      </w:r>
      <w:r>
        <w:rPr>
          <w:rFonts w:ascii="Arial" w:cs="Arial" w:eastAsia="Arial" w:hAnsi="Arial"/>
          <w:sz w:val="22"/>
          <w:szCs w:val="22"/>
          <w:color w:val="auto"/>
        </w:rPr>
        <w:t>. The execution, delivery and performance of this Agreement and the other Loan Documents by</w:t>
      </w:r>
      <w:r>
        <w:rPr>
          <w:rFonts w:ascii="Arial" w:cs="Arial" w:eastAsia="Arial" w:hAnsi="Arial"/>
          <w:sz w:val="22"/>
          <w:szCs w:val="22"/>
          <w:b w:val="1"/>
          <w:bCs w:val="1"/>
          <w:color w:val="auto"/>
        </w:rPr>
        <w:t xml:space="preserve"> </w:t>
      </w:r>
      <w:r>
        <w:rPr>
          <w:rFonts w:ascii="Arial" w:cs="Arial" w:eastAsia="Arial" w:hAnsi="Arial"/>
          <w:sz w:val="22"/>
          <w:szCs w:val="22"/>
          <w:color w:val="auto"/>
        </w:rPr>
        <w:t>the Borrower, the borrowings hereunder and the use 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04" w:right="239" w:bottom="1440" w:gutter="0" w:footer="0" w:header="0"/>
        </w:sectPr>
      </w:pPr>
    </w:p>
    <w:bookmarkStart w:id="122" w:name="page123"/>
    <w:bookmarkEnd w:id="122"/>
    <w:p>
      <w:pPr>
        <w:jc w:val="both"/>
        <w:spacing w:after="0" w:line="263" w:lineRule="auto"/>
        <w:rPr>
          <w:sz w:val="20"/>
          <w:szCs w:val="20"/>
          <w:color w:val="auto"/>
        </w:rPr>
      </w:pPr>
      <w:r>
        <w:rPr>
          <w:rFonts w:ascii="Arial" w:cs="Arial" w:eastAsia="Arial" w:hAnsi="Arial"/>
          <w:sz w:val="22"/>
          <w:szCs w:val="22"/>
          <w:color w:val="auto"/>
        </w:rPr>
        <w:t>the proceeds thereof will not violate any applicable law, the Borrower’s organizational documents or any material agreement of the Borrower.</w:t>
      </w:r>
    </w:p>
    <w:p>
      <w:pPr>
        <w:spacing w:after="0" w:line="16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Section 4.4</w:t>
      </w:r>
      <w:r>
        <w:rPr>
          <w:sz w:val="20"/>
          <w:szCs w:val="20"/>
          <w:color w:val="auto"/>
        </w:rPr>
        <w:tab/>
      </w:r>
      <w:r>
        <w:rPr>
          <w:rFonts w:ascii="Arial" w:cs="Arial" w:eastAsia="Arial" w:hAnsi="Arial"/>
          <w:sz w:val="19"/>
          <w:szCs w:val="19"/>
          <w:b w:val="1"/>
          <w:bCs w:val="1"/>
          <w:u w:val="single" w:color="auto"/>
          <w:color w:val="auto"/>
        </w:rPr>
        <w:t>No Default</w:t>
      </w:r>
      <w:r>
        <w:rPr>
          <w:rFonts w:ascii="Arial" w:cs="Arial" w:eastAsia="Arial" w:hAnsi="Arial"/>
          <w:sz w:val="19"/>
          <w:szCs w:val="19"/>
          <w:color w:val="auto"/>
        </w:rPr>
        <w:t>. No Default or Event of Default has occurred and is continuing.</w:t>
      </w:r>
    </w:p>
    <w:p>
      <w:pPr>
        <w:spacing w:after="0" w:line="233" w:lineRule="exact"/>
        <w:rPr>
          <w:sz w:val="20"/>
          <w:szCs w:val="20"/>
          <w:color w:val="auto"/>
        </w:rPr>
      </w:pPr>
    </w:p>
    <w:p>
      <w:pPr>
        <w:jc w:val="both"/>
        <w:spacing w:after="0" w:line="364" w:lineRule="auto"/>
        <w:rPr>
          <w:sz w:val="20"/>
          <w:szCs w:val="20"/>
          <w:color w:val="auto"/>
        </w:rPr>
      </w:pPr>
      <w:r>
        <w:rPr>
          <w:rFonts w:ascii="Arial" w:cs="Arial" w:eastAsia="Arial" w:hAnsi="Arial"/>
          <w:sz w:val="19"/>
          <w:szCs w:val="19"/>
          <w:b w:val="1"/>
          <w:bCs w:val="1"/>
          <w:color w:val="auto"/>
        </w:rPr>
        <w:t xml:space="preserve">Section 4.5 </w:t>
      </w:r>
      <w:r>
        <w:rPr>
          <w:rFonts w:ascii="Arial" w:cs="Arial" w:eastAsia="Arial" w:hAnsi="Arial"/>
          <w:sz w:val="19"/>
          <w:szCs w:val="19"/>
          <w:b w:val="1"/>
          <w:bCs w:val="1"/>
          <w:u w:val="single" w:color="auto"/>
          <w:color w:val="auto"/>
        </w:rPr>
        <w:t>Use of Proceeds</w:t>
      </w:r>
      <w:r>
        <w:rPr>
          <w:rFonts w:ascii="Arial" w:cs="Arial" w:eastAsia="Arial" w:hAnsi="Arial"/>
          <w:sz w:val="19"/>
          <w:szCs w:val="19"/>
          <w:color w:val="auto"/>
        </w:rPr>
        <w:t>. The proceeds of each Tranche A Loan shall be used solely to fund working capital and for</w:t>
      </w:r>
      <w:r>
        <w:rPr>
          <w:rFonts w:ascii="Arial" w:cs="Arial" w:eastAsia="Arial" w:hAnsi="Arial"/>
          <w:sz w:val="19"/>
          <w:szCs w:val="19"/>
          <w:b w:val="1"/>
          <w:bCs w:val="1"/>
          <w:color w:val="auto"/>
        </w:rPr>
        <w:t xml:space="preserve"> </w:t>
      </w:r>
      <w:r>
        <w:rPr>
          <w:rFonts w:ascii="Arial" w:cs="Arial" w:eastAsia="Arial" w:hAnsi="Arial"/>
          <w:sz w:val="19"/>
          <w:szCs w:val="19"/>
          <w:color w:val="auto"/>
        </w:rPr>
        <w:t>general corporate purposes. The proceeds of each Tranche B Loan shall be used solely to fund growth capital expenditures.</w:t>
      </w:r>
    </w:p>
    <w:p>
      <w:pPr>
        <w:spacing w:after="0" w:line="80"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COVENANTS</w:t>
      </w:r>
    </w:p>
    <w:p>
      <w:pPr>
        <w:spacing w:after="0" w:line="209" w:lineRule="exact"/>
        <w:rPr>
          <w:sz w:val="20"/>
          <w:szCs w:val="20"/>
          <w:color w:val="auto"/>
        </w:rPr>
      </w:pPr>
    </w:p>
    <w:p>
      <w:pPr>
        <w:jc w:val="both"/>
        <w:spacing w:after="0" w:line="323" w:lineRule="auto"/>
        <w:rPr>
          <w:sz w:val="20"/>
          <w:szCs w:val="20"/>
          <w:color w:val="auto"/>
        </w:rPr>
      </w:pPr>
      <w:r>
        <w:rPr>
          <w:rFonts w:ascii="Arial" w:cs="Arial" w:eastAsia="Arial" w:hAnsi="Arial"/>
          <w:sz w:val="19"/>
          <w:szCs w:val="19"/>
          <w:b w:val="1"/>
          <w:bCs w:val="1"/>
          <w:color w:val="auto"/>
        </w:rPr>
        <w:t xml:space="preserve">Section 5.1 </w:t>
      </w:r>
      <w:r>
        <w:rPr>
          <w:rFonts w:ascii="Arial" w:cs="Arial" w:eastAsia="Arial" w:hAnsi="Arial"/>
          <w:sz w:val="19"/>
          <w:szCs w:val="19"/>
          <w:b w:val="1"/>
          <w:bCs w:val="1"/>
          <w:u w:val="single" w:color="auto"/>
          <w:color w:val="auto"/>
        </w:rPr>
        <w:t>Delivery of Financial Information</w:t>
      </w:r>
      <w:r>
        <w:rPr>
          <w:rFonts w:ascii="Arial" w:cs="Arial" w:eastAsia="Arial" w:hAnsi="Arial"/>
          <w:sz w:val="19"/>
          <w:szCs w:val="19"/>
          <w:color w:val="auto"/>
        </w:rPr>
        <w:t>. The Borrower shall deliver to the Administrative Agent such financial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information in respect of its business and financial status as the Administrative Agent or any Lender may reasonably require including, but not limited to, copies of its unaudited quarterly and annual financial statements.</w:t>
      </w:r>
    </w:p>
    <w:p>
      <w:pPr>
        <w:spacing w:after="0" w:line="117" w:lineRule="exact"/>
        <w:rPr>
          <w:sz w:val="20"/>
          <w:szCs w:val="20"/>
          <w:color w:val="auto"/>
        </w:rPr>
      </w:pPr>
    </w:p>
    <w:p>
      <w:pPr>
        <w:jc w:val="both"/>
        <w:ind w:right="20"/>
        <w:spacing w:after="0" w:line="307" w:lineRule="auto"/>
        <w:rPr>
          <w:sz w:val="20"/>
          <w:szCs w:val="20"/>
          <w:color w:val="auto"/>
        </w:rPr>
      </w:pPr>
      <w:r>
        <w:rPr>
          <w:rFonts w:ascii="Arial" w:cs="Arial" w:eastAsia="Arial" w:hAnsi="Arial"/>
          <w:sz w:val="21"/>
          <w:szCs w:val="21"/>
          <w:b w:val="1"/>
          <w:bCs w:val="1"/>
          <w:color w:val="auto"/>
        </w:rPr>
        <w:t xml:space="preserve">Section 5.2 </w:t>
      </w:r>
      <w:r>
        <w:rPr>
          <w:rFonts w:ascii="Arial" w:cs="Arial" w:eastAsia="Arial" w:hAnsi="Arial"/>
          <w:sz w:val="21"/>
          <w:szCs w:val="21"/>
          <w:b w:val="1"/>
          <w:bCs w:val="1"/>
          <w:u w:val="single" w:color="auto"/>
          <w:color w:val="auto"/>
        </w:rPr>
        <w:t>Notice of Default</w:t>
      </w:r>
      <w:r>
        <w:rPr>
          <w:rFonts w:ascii="Arial" w:cs="Arial" w:eastAsia="Arial" w:hAnsi="Arial"/>
          <w:sz w:val="21"/>
          <w:szCs w:val="21"/>
          <w:color w:val="auto"/>
        </w:rPr>
        <w:t>. The Borrower shall give notice to the Administrative Agent of the occurrence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Default or Event of Default as soon as reasonably practicable after obtaining knowledge of the occurrence thereof.</w:t>
      </w:r>
    </w:p>
    <w:p>
      <w:pPr>
        <w:spacing w:after="0" w:line="12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Section 5.3 </w:t>
      </w:r>
      <w:r>
        <w:rPr>
          <w:rFonts w:ascii="Arial" w:cs="Arial" w:eastAsia="Arial" w:hAnsi="Arial"/>
          <w:sz w:val="19"/>
          <w:szCs w:val="19"/>
          <w:b w:val="1"/>
          <w:bCs w:val="1"/>
          <w:u w:val="single" w:color="auto"/>
          <w:color w:val="auto"/>
        </w:rPr>
        <w:t>Conduct of Business and Maintenance of Existence, etc</w:t>
      </w:r>
      <w:r>
        <w:rPr>
          <w:rFonts w:ascii="Arial" w:cs="Arial" w:eastAsia="Arial" w:hAnsi="Arial"/>
          <w:sz w:val="19"/>
          <w:szCs w:val="19"/>
          <w:color w:val="auto"/>
        </w:rPr>
        <w:t>. The Borrower will (a) (i) preserve, renew and keep</w:t>
      </w:r>
      <w:r>
        <w:rPr>
          <w:rFonts w:ascii="Arial" w:cs="Arial" w:eastAsia="Arial" w:hAnsi="Arial"/>
          <w:sz w:val="19"/>
          <w:szCs w:val="19"/>
          <w:b w:val="1"/>
          <w:bCs w:val="1"/>
          <w:color w:val="auto"/>
        </w:rPr>
        <w:t xml:space="preserve"> </w:t>
      </w:r>
      <w:r>
        <w:rPr>
          <w:rFonts w:ascii="Arial" w:cs="Arial" w:eastAsia="Arial" w:hAnsi="Arial"/>
          <w:sz w:val="19"/>
          <w:szCs w:val="19"/>
          <w:color w:val="auto"/>
        </w:rPr>
        <w:t>in full force and effect its corporate or other existence and (ii) take all reasonable action to maintain all rights, privileges and franchises necessary or desirable in the normal conduct of its business, in each case to the extent that failure to do so could not reasonably be expected to have a Material Adverse Effect; and (b) comply with all agreements and requirements of applicable law, except to the extent (1) the same are being contested in good faith by appropriate proceedings diligently conducted or (2) that failure to comply therewith could not reasonably be expected to have a Material Adverse Effect.</w:t>
      </w:r>
    </w:p>
    <w:p>
      <w:pPr>
        <w:spacing w:after="0" w:line="141"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EVENTS OF DEFAULT</w:t>
      </w:r>
    </w:p>
    <w:p>
      <w:pPr>
        <w:spacing w:after="0" w:line="20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Section 6.1</w:t>
      </w:r>
      <w:r>
        <w:rPr>
          <w:sz w:val="20"/>
          <w:szCs w:val="20"/>
          <w:color w:val="auto"/>
        </w:rPr>
        <w:tab/>
      </w:r>
      <w:r>
        <w:rPr>
          <w:rFonts w:ascii="Arial" w:cs="Arial" w:eastAsia="Arial" w:hAnsi="Arial"/>
          <w:sz w:val="19"/>
          <w:szCs w:val="19"/>
          <w:b w:val="1"/>
          <w:bCs w:val="1"/>
          <w:u w:val="single" w:color="auto"/>
          <w:color w:val="auto"/>
        </w:rPr>
        <w:t>Events of Default</w:t>
      </w:r>
      <w:r>
        <w:rPr>
          <w:rFonts w:ascii="Arial" w:cs="Arial" w:eastAsia="Arial" w:hAnsi="Arial"/>
          <w:sz w:val="19"/>
          <w:szCs w:val="19"/>
          <w:color w:val="auto"/>
        </w:rPr>
        <w:t>. If any of the following events shall occur and be continuing:</w:t>
      </w:r>
    </w:p>
    <w:p>
      <w:pPr>
        <w:spacing w:after="0" w:line="239" w:lineRule="exact"/>
        <w:rPr>
          <w:sz w:val="20"/>
          <w:szCs w:val="20"/>
          <w:color w:val="auto"/>
        </w:rPr>
      </w:pPr>
    </w:p>
    <w:p>
      <w:pPr>
        <w:jc w:val="both"/>
        <w:ind w:left="640" w:firstLine="5"/>
        <w:spacing w:after="0" w:line="254" w:lineRule="auto"/>
        <w:tabs>
          <w:tab w:leader="none" w:pos="1073"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Borrower shall fail to pay the principal of the Loans on the date when due (including the Maturity Date) in accordance with the terms hereof; or the Borrower shall fail to pay any interest on the Loans, or any other amount payable hereunder, within three (3) Business Days after any such interest or other amount becomes due in accordance with the terms hereof; or</w:t>
      </w:r>
    </w:p>
    <w:p>
      <w:pPr>
        <w:spacing w:after="0" w:line="185" w:lineRule="exact"/>
        <w:rPr>
          <w:rFonts w:ascii="Arial" w:cs="Arial" w:eastAsia="Arial" w:hAnsi="Arial"/>
          <w:sz w:val="22"/>
          <w:szCs w:val="22"/>
          <w:color w:val="auto"/>
        </w:rPr>
      </w:pPr>
    </w:p>
    <w:p>
      <w:pPr>
        <w:jc w:val="both"/>
        <w:ind w:left="640" w:firstLine="5"/>
        <w:spacing w:after="0" w:line="260" w:lineRule="auto"/>
        <w:tabs>
          <w:tab w:leader="none" w:pos="1085"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representation or warranty made or deemed made by the Borrower herein or in any other Loan Document shall prove to have been inaccurate in any material respect on or as of the date made or deemed made or furnished; or</w:t>
      </w:r>
    </w:p>
    <w:p>
      <w:pPr>
        <w:spacing w:after="0" w:line="39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0"/>
          </w:cols>
          <w:pgMar w:left="900" w:top="604" w:right="239" w:bottom="1440" w:gutter="0" w:footer="0" w:header="0"/>
        </w:sectPr>
      </w:pPr>
    </w:p>
    <w:bookmarkStart w:id="123" w:name="page124"/>
    <w:bookmarkEnd w:id="123"/>
    <w:p>
      <w:pPr>
        <w:jc w:val="both"/>
        <w:ind w:left="1300" w:firstLine="5"/>
        <w:spacing w:after="0" w:line="254" w:lineRule="auto"/>
        <w:tabs>
          <w:tab w:leader="none" w:pos="1747"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The Borrower shall default in the observance or performance of any agreement contained in this Agreement to be performed by it (other than as provided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6.1</w:t>
      </w:r>
      <w:r>
        <w:rPr>
          <w:rFonts w:ascii="Arial" w:cs="Arial" w:eastAsia="Arial" w:hAnsi="Arial"/>
          <w:sz w:val="22"/>
          <w:szCs w:val="22"/>
          <w:color w:val="auto"/>
        </w:rPr>
        <w:t>), and such default shall continue unremedied for a period of thirty (30) days after written notice thereof shall have been given to the Borrower by the Administrative Agent; or</w:t>
      </w:r>
    </w:p>
    <w:p>
      <w:pPr>
        <w:spacing w:after="0" w:line="185" w:lineRule="exact"/>
        <w:rPr>
          <w:rFonts w:ascii="Arial" w:cs="Arial" w:eastAsia="Arial" w:hAnsi="Arial"/>
          <w:sz w:val="22"/>
          <w:szCs w:val="22"/>
          <w:color w:val="auto"/>
        </w:rPr>
      </w:pPr>
    </w:p>
    <w:p>
      <w:pPr>
        <w:jc w:val="both"/>
        <w:ind w:left="1300" w:firstLine="5"/>
        <w:spacing w:after="0" w:line="284" w:lineRule="auto"/>
        <w:tabs>
          <w:tab w:leader="none" w:pos="1759"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(i) The Borrower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 up, liquidation, dissolution, composition or other relief with respect to it or its debts, or (B) seeking appointment of a receiver, trustee, custodian, conservator or other similar official for it or for all or any substantial part of its assets, or the Borrower shall make a general assignment for the benefit of its creditors; or (ii) there shall be commenced against the Borrower any case, proceeding or other action of a nature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that (A) results in the entry of an order for relief or any such adjudication or appointment or (B) remains undismissed, undischarged or unbonded for a period of sixty (60) days; or (iii) there shall be commenced against the Borrower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or (iv) the Borrower shall take any action in furtherance of, or indicating its consent to, approval of, or acquiescence in, any of the acts set forth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 or</w:t>
      </w:r>
    </w:p>
    <w:p>
      <w:pPr>
        <w:spacing w:after="0" w:line="4" w:lineRule="exact"/>
        <w:rPr>
          <w:rFonts w:ascii="Arial" w:cs="Arial" w:eastAsia="Arial" w:hAnsi="Arial"/>
          <w:sz w:val="19"/>
          <w:szCs w:val="19"/>
          <w:color w:val="auto"/>
        </w:rPr>
      </w:pPr>
    </w:p>
    <w:p>
      <w:pPr>
        <w:ind w:left="1300" w:firstLine="5"/>
        <w:spacing w:after="0" w:line="246" w:lineRule="auto"/>
        <w:tabs>
          <w:tab w:leader="none" w:pos="1618"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Borrower shall generally not, or shall be unable to, or shall admit in writing its inability to, pay its debts as they become due;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then, and in any such event, (A) if such event is an Event of Default specified in </w:t>
      </w:r>
      <w:r>
        <w:rPr>
          <w:rFonts w:ascii="Arial" w:cs="Arial" w:eastAsia="Arial" w:hAnsi="Arial"/>
          <w:sz w:val="21"/>
          <w:szCs w:val="21"/>
          <w:u w:val="single" w:color="auto"/>
          <w:color w:val="auto"/>
        </w:rPr>
        <w:t>clause (d)</w:t>
      </w:r>
      <w:r>
        <w:rPr>
          <w:rFonts w:ascii="Arial" w:cs="Arial" w:eastAsia="Arial" w:hAnsi="Arial"/>
          <w:sz w:val="21"/>
          <w:szCs w:val="21"/>
          <w:color w:val="auto"/>
        </w:rPr>
        <w:t xml:space="preserve"> above, the Loan Commitment shall terminate immediately and all Obligations shall immediately become due and payable, and (B) if such event is any other Event of Default, the Administrative Agent or the Required Lenders may, by notice to the Borrower, terminate the Loan Commitment, whereupon the Loan Commitment shall terminate immediately, and declare all Obligations to be due and payable forthwith, whereupon the same shall immediately become due and payable.</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7.1</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233" w:lineRule="exact"/>
        <w:rPr>
          <w:sz w:val="20"/>
          <w:szCs w:val="20"/>
          <w:color w:val="auto"/>
        </w:rPr>
      </w:pPr>
    </w:p>
    <w:p>
      <w:pPr>
        <w:ind w:left="1300" w:firstLine="5"/>
        <w:spacing w:after="0" w:line="307" w:lineRule="auto"/>
        <w:tabs>
          <w:tab w:leader="none" w:pos="1720" w:val="left"/>
        </w:tabs>
        <w:numPr>
          <w:ilvl w:val="0"/>
          <w:numId w:val="88"/>
        </w:numPr>
        <w:rPr>
          <w:rFonts w:ascii="Arial" w:cs="Arial" w:eastAsia="Arial" w:hAnsi="Arial"/>
          <w:sz w:val="21"/>
          <w:szCs w:val="21"/>
          <w:color w:val="auto"/>
        </w:rPr>
      </w:pPr>
      <w:r>
        <w:rPr>
          <w:rFonts w:ascii="Arial" w:cs="Arial" w:eastAsia="Arial" w:hAnsi="Arial"/>
          <w:sz w:val="21"/>
          <w:szCs w:val="21"/>
          <w:b w:val="1"/>
          <w:bCs w:val="1"/>
          <w:u w:val="single" w:color="auto"/>
          <w:color w:val="auto"/>
        </w:rPr>
        <w:t>Addresses for Notices</w:t>
      </w:r>
      <w:r>
        <w:rPr>
          <w:rFonts w:ascii="Arial" w:cs="Arial" w:eastAsia="Arial" w:hAnsi="Arial"/>
          <w:sz w:val="21"/>
          <w:szCs w:val="21"/>
          <w:color w:val="auto"/>
        </w:rPr>
        <w:t>. All notices, demands, requests, consents and other communications provided for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given in writing, and addressed to the party to be notified as follows: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04" w:right="239" w:bottom="1440" w:gutter="0" w:footer="0" w:header="0"/>
        </w:sectPr>
      </w:pPr>
    </w:p>
    <w:bookmarkStart w:id="124" w:name="page125"/>
    <w:bookmarkEnd w:id="124"/>
    <w:p>
      <w:pPr>
        <w:ind w:left="1160"/>
        <w:spacing w:after="0"/>
        <w:rPr>
          <w:sz w:val="20"/>
          <w:szCs w:val="20"/>
          <w:color w:val="auto"/>
        </w:rPr>
      </w:pPr>
      <w:r>
        <w:rPr>
          <w:rFonts w:ascii="Arial" w:cs="Arial" w:eastAsia="Arial" w:hAnsi="Arial"/>
          <w:sz w:val="19"/>
          <w:szCs w:val="19"/>
          <w:color w:val="auto"/>
        </w:rPr>
        <w:t>To the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Westlake Chemical OpCo LP</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Attention: Lawrence Teel</w:t>
      </w:r>
    </w:p>
    <w:p>
      <w:pPr>
        <w:spacing w:after="0" w:line="230" w:lineRule="auto"/>
        <w:rPr>
          <w:sz w:val="20"/>
          <w:szCs w:val="20"/>
          <w:color w:val="auto"/>
        </w:rPr>
      </w:pPr>
      <w:r>
        <w:rPr>
          <w:rFonts w:ascii="Arial" w:cs="Arial" w:eastAsia="Arial" w:hAnsi="Arial"/>
          <w:sz w:val="22"/>
          <w:szCs w:val="22"/>
          <w:color w:val="auto"/>
        </w:rPr>
        <w:t>Principal Operating Officer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2801 Post Oak Blvd, Suite 600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Houston, TX 77056</w:t>
      </w:r>
    </w:p>
    <w:p>
      <w:pPr>
        <w:spacing w:after="0"/>
        <w:rPr>
          <w:sz w:val="20"/>
          <w:szCs w:val="20"/>
          <w:color w:val="auto"/>
        </w:rPr>
      </w:pPr>
      <w:r>
        <w:rPr>
          <w:rFonts w:ascii="Arial" w:cs="Arial" w:eastAsia="Arial" w:hAnsi="Arial"/>
          <w:sz w:val="22"/>
          <w:szCs w:val="22"/>
          <w:color w:val="auto"/>
        </w:rPr>
        <w:t>Fax: 713-343-8472</w:t>
      </w:r>
    </w:p>
    <w:p>
      <w:pPr>
        <w:spacing w:after="0" w:line="200" w:lineRule="exact"/>
        <w:rPr>
          <w:sz w:val="20"/>
          <w:szCs w:val="20"/>
          <w:color w:val="auto"/>
        </w:rPr>
      </w:pPr>
    </w:p>
    <w:p>
      <w:pPr>
        <w:sectPr>
          <w:pgSz w:w="11900" w:h="16838" w:orient="portrait"/>
          <w:cols w:equalWidth="0" w:num="2">
            <w:col w:w="3380" w:space="720"/>
            <w:col w:w="7320"/>
          </w:cols>
          <w:pgMar w:left="240" w:top="753" w:right="239" w:bottom="1440" w:gutter="0" w:footer="0" w:header="0"/>
        </w:sectPr>
      </w:pPr>
    </w:p>
    <w:p>
      <w:pPr>
        <w:spacing w:after="0" w:line="42" w:lineRule="exact"/>
        <w:rPr>
          <w:sz w:val="20"/>
          <w:szCs w:val="20"/>
          <w:color w:val="auto"/>
        </w:rPr>
      </w:pPr>
    </w:p>
    <w:p>
      <w:pPr>
        <w:ind w:left="1160"/>
        <w:spacing w:after="0" w:line="251" w:lineRule="auto"/>
        <w:rPr>
          <w:sz w:val="20"/>
          <w:szCs w:val="20"/>
          <w:color w:val="auto"/>
        </w:rPr>
      </w:pPr>
      <w:r>
        <w:rPr>
          <w:rFonts w:ascii="Arial" w:cs="Arial" w:eastAsia="Arial" w:hAnsi="Arial"/>
          <w:sz w:val="22"/>
          <w:szCs w:val="22"/>
          <w:color w:val="auto"/>
        </w:rPr>
        <w:t>To the Administrative Agent on behalf of the Lenders: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Westlake Polymers LLC</w:t>
      </w:r>
    </w:p>
    <w:p>
      <w:pPr>
        <w:spacing w:after="0" w:line="238" w:lineRule="auto"/>
        <w:rPr>
          <w:sz w:val="20"/>
          <w:szCs w:val="20"/>
          <w:color w:val="auto"/>
        </w:rPr>
      </w:pPr>
      <w:r>
        <w:rPr>
          <w:rFonts w:ascii="Arial" w:cs="Arial" w:eastAsia="Arial" w:hAnsi="Arial"/>
          <w:sz w:val="22"/>
          <w:szCs w:val="22"/>
          <w:color w:val="auto"/>
        </w:rPr>
        <w:t>Attention: Mark Steven Bender</w:t>
      </w:r>
    </w:p>
    <w:p>
      <w:pPr>
        <w:spacing w:after="0"/>
        <w:rPr>
          <w:sz w:val="20"/>
          <w:szCs w:val="20"/>
          <w:color w:val="auto"/>
        </w:rPr>
      </w:pPr>
      <w:r>
        <w:rPr>
          <w:rFonts w:ascii="Arial" w:cs="Arial" w:eastAsia="Arial" w:hAnsi="Arial"/>
          <w:sz w:val="19"/>
          <w:szCs w:val="19"/>
          <w:color w:val="auto"/>
        </w:rPr>
        <w:t>Senior Vice President and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2801 Post Oak Blvd, Suite 600</w:t>
      </w:r>
    </w:p>
    <w:p>
      <w:pPr>
        <w:spacing w:after="0" w:line="230" w:lineRule="auto"/>
        <w:rPr>
          <w:sz w:val="20"/>
          <w:szCs w:val="20"/>
          <w:color w:val="auto"/>
        </w:rPr>
      </w:pPr>
      <w:r>
        <w:rPr>
          <w:rFonts w:ascii="Arial" w:cs="Arial" w:eastAsia="Arial" w:hAnsi="Arial"/>
          <w:sz w:val="22"/>
          <w:szCs w:val="22"/>
          <w:color w:val="auto"/>
        </w:rPr>
        <w:t>Houston, TX 77056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713-343-8472</w:t>
      </w:r>
    </w:p>
    <w:p>
      <w:pPr>
        <w:spacing w:after="0" w:line="200" w:lineRule="exact"/>
        <w:rPr>
          <w:sz w:val="20"/>
          <w:szCs w:val="20"/>
          <w:color w:val="auto"/>
        </w:rPr>
      </w:pPr>
    </w:p>
    <w:p>
      <w:pPr>
        <w:sectPr>
          <w:pgSz w:w="11900" w:h="16838" w:orient="portrait"/>
          <w:cols w:equalWidth="0" w:num="2">
            <w:col w:w="3920" w:space="180"/>
            <w:col w:w="7320"/>
          </w:cols>
          <w:pgMar w:left="240" w:top="753" w:right="239" w:bottom="1440" w:gutter="0" w:footer="0" w:header="0"/>
          <w:type w:val="continuous"/>
        </w:sectPr>
      </w:pPr>
    </w:p>
    <w:p>
      <w:pPr>
        <w:spacing w:after="0" w:line="2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Any party hereto may change its address, telephone number or facsimile number for notices and other communications hereunder by notice to the other parties hereto. All such notices and other communications shall, when transmitted by overnight delivery, or faxed, be effective when delivered for overnight (next-day) delivery, or transmitted in legible form by facsimile machine, respectively, or if mailed, upon the third Business Day after the date deposited into the mail or if delivered, upon delivery.</w:t>
      </w:r>
    </w:p>
    <w:p>
      <w:pPr>
        <w:spacing w:after="0" w:line="137" w:lineRule="exact"/>
        <w:rPr>
          <w:sz w:val="20"/>
          <w:szCs w:val="20"/>
          <w:color w:val="auto"/>
        </w:rPr>
      </w:pPr>
    </w:p>
    <w:p>
      <w:pPr>
        <w:jc w:val="both"/>
        <w:ind w:left="1300" w:firstLine="5"/>
        <w:spacing w:after="0" w:line="262" w:lineRule="auto"/>
        <w:tabs>
          <w:tab w:leader="none" w:pos="1840" w:val="left"/>
        </w:tabs>
        <w:numPr>
          <w:ilvl w:val="0"/>
          <w:numId w:val="89"/>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 of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All notices, demands, requests, consents and other communications described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shall be effective (i) if delivered by hand, including any overnight courier service, upon personal delivery and (ii) if delivered by mail, when deposited in the mails.</w:t>
      </w:r>
    </w:p>
    <w:p>
      <w:pPr>
        <w:spacing w:after="0" w:line="171" w:lineRule="exact"/>
        <w:rPr>
          <w:sz w:val="20"/>
          <w:szCs w:val="20"/>
          <w:color w:val="auto"/>
        </w:rPr>
      </w:pPr>
    </w:p>
    <w:p>
      <w:pPr>
        <w:jc w:val="both"/>
        <w:ind w:left="660"/>
        <w:spacing w:after="0" w:line="251" w:lineRule="auto"/>
        <w:rPr>
          <w:sz w:val="20"/>
          <w:szCs w:val="20"/>
          <w:color w:val="auto"/>
        </w:rPr>
      </w:pPr>
      <w:r>
        <w:rPr>
          <w:rFonts w:ascii="Arial" w:cs="Arial" w:eastAsia="Arial" w:hAnsi="Arial"/>
          <w:sz w:val="22"/>
          <w:szCs w:val="22"/>
          <w:b w:val="1"/>
          <w:bCs w:val="1"/>
          <w:color w:val="auto"/>
        </w:rPr>
        <w:t xml:space="preserve">Section 7.2 </w:t>
      </w:r>
      <w:r>
        <w:rPr>
          <w:rFonts w:ascii="Arial" w:cs="Arial" w:eastAsia="Arial" w:hAnsi="Arial"/>
          <w:sz w:val="22"/>
          <w:szCs w:val="22"/>
          <w:b w:val="1"/>
          <w:bCs w:val="1"/>
          <w:u w:val="single" w:color="auto"/>
          <w:color w:val="auto"/>
        </w:rPr>
        <w:t>Waiver; Amendments</w:t>
      </w:r>
      <w:r>
        <w:rPr>
          <w:rFonts w:ascii="Arial" w:cs="Arial" w:eastAsia="Arial" w:hAnsi="Arial"/>
          <w:sz w:val="22"/>
          <w:szCs w:val="22"/>
          <w:color w:val="auto"/>
        </w:rPr>
        <w:t>. No amendment or waiver of any provision of this Agreement or any other Loan</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nor consent to any departure by the Borrower therefrom shall in any event be effective unless the same shall be in writing and (x) in the case of any such waiver or consent, signed by the Required Lenders and (y) in the case of any other amendment, by the Required Lenders and the Borrower, and then any such waiver or consent shall be effective only in the specific instance and for the specific purpose for which given; provided, however, that no such amendment, waiver or consent shall:</w:t>
      </w:r>
    </w:p>
    <w:p>
      <w:pPr>
        <w:spacing w:after="0" w:line="188" w:lineRule="exact"/>
        <w:rPr>
          <w:sz w:val="20"/>
          <w:szCs w:val="20"/>
          <w:color w:val="auto"/>
        </w:rPr>
      </w:pPr>
    </w:p>
    <w:p>
      <w:pPr>
        <w:ind w:left="1720" w:hanging="415"/>
        <w:spacing w:after="0"/>
        <w:tabs>
          <w:tab w:leader="none" w:pos="17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waive any condition set forth in </w:t>
      </w:r>
      <w:r>
        <w:rPr>
          <w:rFonts w:ascii="Arial" w:cs="Arial" w:eastAsia="Arial" w:hAnsi="Arial"/>
          <w:sz w:val="22"/>
          <w:szCs w:val="22"/>
          <w:u w:val="single" w:color="auto"/>
          <w:color w:val="auto"/>
        </w:rPr>
        <w:t>Sections 3.1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3.2</w:t>
      </w:r>
      <w:r>
        <w:rPr>
          <w:rFonts w:ascii="Arial" w:cs="Arial" w:eastAsia="Arial" w:hAnsi="Arial"/>
          <w:sz w:val="22"/>
          <w:szCs w:val="22"/>
          <w:color w:val="auto"/>
        </w:rPr>
        <w:t xml:space="preserve"> without the written consent of each Lender;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90"/>
        </w:numPr>
        <w:rPr>
          <w:rFonts w:ascii="Arial" w:cs="Arial" w:eastAsia="Arial" w:hAnsi="Arial"/>
          <w:sz w:val="21"/>
          <w:szCs w:val="21"/>
          <w:color w:val="auto"/>
        </w:rPr>
      </w:pPr>
      <w:r>
        <w:rPr>
          <w:rFonts w:ascii="Arial" w:cs="Arial" w:eastAsia="Arial" w:hAnsi="Arial"/>
          <w:sz w:val="21"/>
          <w:szCs w:val="21"/>
          <w:color w:val="auto"/>
        </w:rPr>
        <w:t>extend or increase the Loan Commitment of any Lender without the written consent of such Lender;</w:t>
      </w:r>
    </w:p>
    <w:p>
      <w:pPr>
        <w:spacing w:after="0" w:line="244" w:lineRule="exact"/>
        <w:rPr>
          <w:rFonts w:ascii="Arial" w:cs="Arial" w:eastAsia="Arial" w:hAnsi="Arial"/>
          <w:sz w:val="21"/>
          <w:szCs w:val="21"/>
          <w:color w:val="auto"/>
        </w:rPr>
      </w:pPr>
    </w:p>
    <w:p>
      <w:pPr>
        <w:jc w:val="both"/>
        <w:ind w:left="1300" w:firstLine="5"/>
        <w:spacing w:after="0" w:line="278" w:lineRule="auto"/>
        <w:tabs>
          <w:tab w:leader="none" w:pos="1733" w:val="left"/>
        </w:tabs>
        <w:numPr>
          <w:ilvl w:val="0"/>
          <w:numId w:val="90"/>
        </w:numPr>
        <w:rPr>
          <w:rFonts w:ascii="Arial" w:cs="Arial" w:eastAsia="Arial" w:hAnsi="Arial"/>
          <w:sz w:val="21"/>
          <w:szCs w:val="21"/>
          <w:color w:val="auto"/>
        </w:rPr>
      </w:pPr>
      <w:r>
        <w:rPr>
          <w:rFonts w:ascii="Arial" w:cs="Arial" w:eastAsia="Arial" w:hAnsi="Arial"/>
          <w:sz w:val="21"/>
          <w:szCs w:val="21"/>
          <w:color w:val="auto"/>
        </w:rPr>
        <w:t>postpone any date fixed by this Agreement or any other Loan Document for any payment of principal, interest, fees or other amounts due to the Lenders (or any of them) hereunder or under any other Loan Document without the written consent of each Lender directly and adversely affected thereby;</w:t>
      </w:r>
    </w:p>
    <w:p>
      <w:pPr>
        <w:spacing w:after="0" w:line="160" w:lineRule="exact"/>
        <w:rPr>
          <w:rFonts w:ascii="Arial" w:cs="Arial" w:eastAsia="Arial" w:hAnsi="Arial"/>
          <w:sz w:val="21"/>
          <w:szCs w:val="21"/>
          <w:color w:val="auto"/>
        </w:rPr>
      </w:pPr>
    </w:p>
    <w:p>
      <w:pPr>
        <w:jc w:val="both"/>
        <w:ind w:left="1300" w:firstLine="5"/>
        <w:spacing w:after="0" w:line="260" w:lineRule="auto"/>
        <w:tabs>
          <w:tab w:leader="none" w:pos="18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reduce the principal of, or the rate of interest specified herein on, any Loan, or any fees or other amounts payable hereunder or under any other Loan Document without the written consent of each Lender directly and adversely affected thereby;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753" w:right="239" w:bottom="1440" w:gutter="0" w:footer="0" w:header="0"/>
          <w:type w:val="continuous"/>
        </w:sectPr>
      </w:pPr>
    </w:p>
    <w:bookmarkStart w:id="125" w:name="page126"/>
    <w:bookmarkEnd w:id="125"/>
    <w:p>
      <w:pPr>
        <w:jc w:val="both"/>
        <w:ind w:left="640" w:firstLine="5"/>
        <w:spacing w:after="0" w:line="320" w:lineRule="auto"/>
        <w:tabs>
          <w:tab w:leader="none" w:pos="1154" w:val="left"/>
        </w:tabs>
        <w:numPr>
          <w:ilvl w:val="0"/>
          <w:numId w:val="91"/>
        </w:numPr>
        <w:rPr>
          <w:rFonts w:ascii="Arial" w:cs="Arial" w:eastAsia="Arial" w:hAnsi="Arial"/>
          <w:sz w:val="19"/>
          <w:szCs w:val="19"/>
          <w:color w:val="auto"/>
        </w:rPr>
      </w:pPr>
      <w:r>
        <w:rPr>
          <w:rFonts w:ascii="Arial" w:cs="Arial" w:eastAsia="Arial" w:hAnsi="Arial"/>
          <w:sz w:val="19"/>
          <w:szCs w:val="19"/>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25" w:lineRule="exact"/>
        <w:rPr>
          <w:rFonts w:ascii="Arial" w:cs="Arial" w:eastAsia="Arial" w:hAnsi="Arial"/>
          <w:sz w:val="19"/>
          <w:szCs w:val="19"/>
          <w:color w:val="auto"/>
        </w:rPr>
      </w:pPr>
    </w:p>
    <w:p>
      <w:pPr>
        <w:ind w:left="640" w:firstLine="5"/>
        <w:spacing w:after="0" w:line="358" w:lineRule="auto"/>
        <w:tabs>
          <w:tab w:leader="none" w:pos="11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affect the rights or duties of the Administrative Agent under this Agreement or any other Loan Document, unless in writing and signed by the Administrative Agent in addition to the Lenders required above.</w:t>
      </w:r>
    </w:p>
    <w:p>
      <w:pPr>
        <w:spacing w:after="0" w:line="85"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Section 7.3</w:t>
      </w:r>
      <w:r>
        <w:rPr>
          <w:sz w:val="20"/>
          <w:szCs w:val="20"/>
          <w:color w:val="auto"/>
        </w:rPr>
        <w:tab/>
      </w:r>
      <w:r>
        <w:rPr>
          <w:rFonts w:ascii="Arial" w:cs="Arial" w:eastAsia="Arial" w:hAnsi="Arial"/>
          <w:sz w:val="19"/>
          <w:szCs w:val="19"/>
          <w:b w:val="1"/>
          <w:bCs w:val="1"/>
          <w:u w:val="single" w:color="auto"/>
          <w:color w:val="auto"/>
        </w:rPr>
        <w:t>Expenses; Indemnification</w:t>
      </w:r>
      <w:r>
        <w:rPr>
          <w:rFonts w:ascii="Arial" w:cs="Arial" w:eastAsia="Arial" w:hAnsi="Arial"/>
          <w:sz w:val="19"/>
          <w:szCs w:val="19"/>
          <w:color w:val="auto"/>
        </w:rPr>
        <w:t>.</w:t>
      </w:r>
    </w:p>
    <w:p>
      <w:pPr>
        <w:spacing w:after="0" w:line="239" w:lineRule="exact"/>
        <w:rPr>
          <w:sz w:val="20"/>
          <w:szCs w:val="20"/>
          <w:color w:val="auto"/>
        </w:rPr>
      </w:pPr>
    </w:p>
    <w:p>
      <w:pPr>
        <w:jc w:val="both"/>
        <w:ind w:left="640" w:firstLine="5"/>
        <w:spacing w:after="0" w:line="300" w:lineRule="auto"/>
        <w:tabs>
          <w:tab w:leader="none" w:pos="1087"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Borrower shall be obligated to pay all out-of-pocket costs and expenses (including, without limitation, the reasonable fees, charges and disbursements of outside counsel for the Administrative Agent and the Lenders) incurred by the Administrative Agent and the Lenders in connection with the enforcement or protection of their rights in connection with this Agreement, including their rights under this </w:t>
      </w:r>
      <w:r>
        <w:rPr>
          <w:rFonts w:ascii="Arial" w:cs="Arial" w:eastAsia="Arial" w:hAnsi="Arial"/>
          <w:sz w:val="19"/>
          <w:szCs w:val="19"/>
          <w:u w:val="single" w:color="auto"/>
          <w:color w:val="auto"/>
        </w:rPr>
        <w:t>Section 7.3</w:t>
      </w:r>
      <w:r>
        <w:rPr>
          <w:rFonts w:ascii="Arial" w:cs="Arial" w:eastAsia="Arial" w:hAnsi="Arial"/>
          <w:sz w:val="19"/>
          <w:szCs w:val="19"/>
          <w:color w:val="auto"/>
        </w:rPr>
        <w:t>, including all such out-of-pocket expenses incurred during any workout, restructuring or negotiations in respect of the Loans.</w:t>
      </w:r>
    </w:p>
    <w:p>
      <w:pPr>
        <w:spacing w:after="0" w:line="147" w:lineRule="exact"/>
        <w:rPr>
          <w:rFonts w:ascii="Arial" w:cs="Arial" w:eastAsia="Arial" w:hAnsi="Arial"/>
          <w:sz w:val="19"/>
          <w:szCs w:val="19"/>
          <w:color w:val="auto"/>
        </w:rPr>
      </w:pPr>
    </w:p>
    <w:p>
      <w:pPr>
        <w:jc w:val="both"/>
        <w:ind w:left="640" w:firstLine="5"/>
        <w:spacing w:after="0" w:line="287" w:lineRule="auto"/>
        <w:tabs>
          <w:tab w:leader="none" w:pos="1153"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Borrower shall be obligated to indemnify each Indemnitee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(ii)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court of competent jurisdiction by final judgment to have resulted from the gross negligence or willful misconduct of such Indemnitee or (y) result from a claim brought by the Borrower against any Indemnitee for breach in bad faith of such Indemnitee’s obligations hereunder or under any other Loan Document, if the Borrower has obtained a final judgment in their favor on such claim as determined by a court of competent jurisdiction.</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left="640" w:firstLine="5"/>
        <w:spacing w:after="0" w:line="320" w:lineRule="auto"/>
        <w:tabs>
          <w:tab w:leader="none" w:pos="1073"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Borrower shall be obligated to pay, and hold the Administrative Agent and the Lenders harmless from and against, any and all Taxes with respect to this Agreement and any other Loan Documents or any payments due thereunder, and save the Administrative Agent and the Lenders harmless from and against any and</w:t>
      </w:r>
    </w:p>
    <w:p>
      <w:pPr>
        <w:spacing w:after="0" w:line="34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60"/>
          </w:cols>
          <w:pgMar w:left="900" w:top="604" w:right="239" w:bottom="1440" w:gutter="0" w:footer="0" w:header="0"/>
        </w:sectPr>
      </w:pPr>
    </w:p>
    <w:bookmarkStart w:id="126" w:name="page127"/>
    <w:bookmarkEnd w:id="126"/>
    <w:p>
      <w:pPr>
        <w:ind w:left="640"/>
        <w:spacing w:after="0"/>
        <w:rPr>
          <w:sz w:val="20"/>
          <w:szCs w:val="20"/>
          <w:color w:val="auto"/>
        </w:rPr>
      </w:pPr>
      <w:r>
        <w:rPr>
          <w:rFonts w:ascii="Arial" w:cs="Arial" w:eastAsia="Arial" w:hAnsi="Arial"/>
          <w:sz w:val="22"/>
          <w:szCs w:val="22"/>
          <w:color w:val="auto"/>
        </w:rPr>
        <w:t>all liabilities with respect to or resulting from any delay or omission to pay such Taxes.</w:t>
      </w:r>
    </w:p>
    <w:p>
      <w:pPr>
        <w:spacing w:after="0" w:line="220" w:lineRule="exact"/>
        <w:rPr>
          <w:sz w:val="20"/>
          <w:szCs w:val="20"/>
          <w:color w:val="auto"/>
        </w:rPr>
      </w:pPr>
    </w:p>
    <w:p>
      <w:pPr>
        <w:jc w:val="both"/>
        <w:ind w:left="640" w:firstLine="5"/>
        <w:spacing w:after="0" w:line="251" w:lineRule="auto"/>
        <w:tabs>
          <w:tab w:leader="none" w:pos="1072"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the extent permitted by applicable law, each party shall not assert, and hereby waives, any claim against any Indemnitee or the other party, on any theory of liability, for special, indirect, consequential or punitive damages (as opposed to actual or direct damages) arising out of, in connection with or as a result of, this Agreement or any agreement or instrument contemplated hereby, the transactions contemplated therein, the Loans or the use of proceeds thereof.</w:t>
      </w:r>
    </w:p>
    <w:p>
      <w:pPr>
        <w:spacing w:after="0" w:line="189" w:lineRule="exact"/>
        <w:rPr>
          <w:rFonts w:ascii="Arial" w:cs="Arial" w:eastAsia="Arial" w:hAnsi="Arial"/>
          <w:sz w:val="22"/>
          <w:szCs w:val="22"/>
          <w:color w:val="auto"/>
        </w:rPr>
      </w:pPr>
    </w:p>
    <w:p>
      <w:pPr>
        <w:ind w:left="1060" w:hanging="415"/>
        <w:spacing w:after="0"/>
        <w:tabs>
          <w:tab w:leader="none" w:pos="10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All amounts due under this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shall be payable promptly after written demand therefor.</w:t>
      </w:r>
    </w:p>
    <w:p>
      <w:pPr>
        <w:spacing w:after="0" w:line="22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Section 7.4</w:t>
      </w:r>
      <w:r>
        <w:rPr>
          <w:sz w:val="20"/>
          <w:szCs w:val="20"/>
          <w:color w:val="auto"/>
        </w:rPr>
        <w:tab/>
      </w: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w:t>
      </w:r>
    </w:p>
    <w:p>
      <w:pPr>
        <w:spacing w:after="0" w:line="239" w:lineRule="exact"/>
        <w:rPr>
          <w:sz w:val="20"/>
          <w:szCs w:val="20"/>
          <w:color w:val="auto"/>
        </w:rPr>
      </w:pPr>
    </w:p>
    <w:p>
      <w:pPr>
        <w:jc w:val="both"/>
        <w:ind w:left="640" w:firstLine="5"/>
        <w:spacing w:after="0" w:line="260" w:lineRule="auto"/>
        <w:tabs>
          <w:tab w:leader="none" w:pos="1087"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to an assignee in accordance with the provisions of subsection (b) of this Section. Any other attempted assignment or transfer by any party hereto shall be null and void. Nothing in this Agreement, expressed or implied, shall be construed to confer upon any Person (other than the parties hereto, their respective successors and assigns permitted hereby and, to the extent expressly contemplated hereby, each Indemnitee) any legal or equitable right, remedy or claim under or by reason of this Agreement.</w:t>
      </w:r>
    </w:p>
    <w:p>
      <w:pPr>
        <w:spacing w:after="0" w:line="184" w:lineRule="exact"/>
        <w:rPr>
          <w:rFonts w:ascii="Arial" w:cs="Arial" w:eastAsia="Arial" w:hAnsi="Arial"/>
          <w:sz w:val="21"/>
          <w:szCs w:val="21"/>
          <w:color w:val="auto"/>
        </w:rPr>
      </w:pPr>
    </w:p>
    <w:p>
      <w:pPr>
        <w:jc w:val="both"/>
        <w:ind w:left="640" w:firstLine="5"/>
        <w:spacing w:after="0" w:line="262" w:lineRule="auto"/>
        <w:tabs>
          <w:tab w:leader="none" w:pos="1085"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Any Lender may at any time assign to one or more assignees all or a portion of its rights and obligations under this Agreement (including all or a portion of its Loan Commitment and/or the Loans at the time owing to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each case any such assignment shall be subject to the consent of the Administrative Agent (such consent not to be unreasonably withheld or delayed) if such assignment is to a Person that is not a Lender, or an Affiliate of a Lender. For the avoidance of doubt, any Lender shall be permitted to separately assign Loans and Loan Commitments even if such assignment results in the Outstanding Amount of such assigning Lender’s Loans exceeding the amount of such assigning Lender’s Loan Commitments.</w:t>
      </w:r>
    </w:p>
    <w:p>
      <w:pPr>
        <w:spacing w:after="0" w:line="180" w:lineRule="exact"/>
        <w:rPr>
          <w:rFonts w:ascii="Arial" w:cs="Arial" w:eastAsia="Arial" w:hAnsi="Arial"/>
          <w:sz w:val="21"/>
          <w:szCs w:val="21"/>
          <w:color w:val="auto"/>
        </w:rPr>
      </w:pPr>
    </w:p>
    <w:p>
      <w:pPr>
        <w:jc w:val="both"/>
        <w:ind w:left="640" w:firstLine="5"/>
        <w:spacing w:after="0" w:line="300" w:lineRule="auto"/>
        <w:tabs>
          <w:tab w:leader="none" w:pos="1127"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 non-fiduciary agent of the Borrower (and such agency being solely for tax purposes), shall maintain at the Administrative Agent’s office a copy of each assignment agreement delivered to it and a register for the recordation of the names and addresses of the Lenders, and the Loan Commitments of, and principal amounts (and stated interest)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w:t>
      </w:r>
    </w:p>
    <w:p>
      <w:pPr>
        <w:spacing w:after="0" w:line="36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0"/>
          </w:cols>
          <w:pgMar w:left="900" w:top="604" w:right="239" w:bottom="1440" w:gutter="0" w:footer="0" w:header="0"/>
        </w:sectPr>
      </w:pPr>
    </w:p>
    <w:bookmarkStart w:id="127" w:name="page128"/>
    <w:bookmarkEnd w:id="127"/>
    <w:p>
      <w:pPr>
        <w:jc w:val="both"/>
        <w:ind w:left="640"/>
        <w:spacing w:after="0" w:line="250" w:lineRule="auto"/>
        <w:rPr>
          <w:sz w:val="20"/>
          <w:szCs w:val="20"/>
          <w:color w:val="auto"/>
        </w:rPr>
      </w:pPr>
      <w:r>
        <w:rPr>
          <w:rFonts w:ascii="Arial" w:cs="Arial" w:eastAsia="Arial" w:hAnsi="Arial"/>
          <w:sz w:val="22"/>
          <w:szCs w:val="22"/>
          <w:color w:val="auto"/>
        </w:rPr>
        <w:t>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Section 7.5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the rights and obligations of the parties hereto shall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construed and interpreted in accordance with, the law of the State of New York.</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Section 7.6 </w:t>
      </w:r>
      <w:r>
        <w:rPr>
          <w:rFonts w:ascii="Arial" w:cs="Arial" w:eastAsia="Arial" w:hAnsi="Arial"/>
          <w:sz w:val="21"/>
          <w:szCs w:val="21"/>
          <w:b w:val="1"/>
          <w:bCs w:val="1"/>
          <w:u w:val="single" w:color="auto"/>
          <w:color w:val="auto"/>
        </w:rPr>
        <w:t>Proceedings</w:t>
      </w:r>
      <w:r>
        <w:rPr>
          <w:rFonts w:ascii="Arial" w:cs="Arial" w:eastAsia="Arial" w:hAnsi="Arial"/>
          <w:sz w:val="21"/>
          <w:szCs w:val="21"/>
          <w:b w:val="1"/>
          <w:bCs w:val="1"/>
          <w:color w:val="auto"/>
        </w:rPr>
        <w:t xml:space="preserve">. </w:t>
      </w:r>
      <w:r>
        <w:rPr>
          <w:rFonts w:ascii="Arial" w:cs="Arial" w:eastAsia="Arial" w:hAnsi="Arial"/>
          <w:sz w:val="21"/>
          <w:szCs w:val="21"/>
          <w:color w:val="auto"/>
        </w:rPr>
        <w:t>All judicial proceedings brought against any party hereto or arising out of or relating hereto or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of such party’s obligations hereunder, may be brought in any state or Federal court of competent jurisdiction in the State, County and City of New York. Each party hereto, for itself and in connection with its properties, irrevocably: (a) accepts generally and unconditionally the nonexclusive jurisdiction and venue of such courts; (b) waives any defense of </w:t>
      </w:r>
      <w:r>
        <w:rPr>
          <w:rFonts w:ascii="Arial" w:cs="Arial" w:eastAsia="Arial" w:hAnsi="Arial"/>
          <w:sz w:val="21"/>
          <w:szCs w:val="21"/>
          <w:i w:val="1"/>
          <w:iCs w:val="1"/>
          <w:color w:val="auto"/>
        </w:rPr>
        <w:t>forum non conveniens</w:t>
      </w:r>
      <w:r>
        <w:rPr>
          <w:rFonts w:ascii="Arial" w:cs="Arial" w:eastAsia="Arial" w:hAnsi="Arial"/>
          <w:sz w:val="21"/>
          <w:szCs w:val="21"/>
          <w:color w:val="auto"/>
        </w:rPr>
        <w:t>; (c) agrees that service of all process in any such proceeding in any such court may be made by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registered or certified mail, return receipt requested, at its address provided in </w:t>
      </w:r>
      <w:r>
        <w:rPr>
          <w:rFonts w:ascii="Arial" w:cs="Arial" w:eastAsia="Arial" w:hAnsi="Arial"/>
          <w:sz w:val="21"/>
          <w:szCs w:val="21"/>
          <w:u w:val="single" w:color="auto"/>
          <w:color w:val="auto"/>
        </w:rPr>
        <w:t>Section 7.1</w:t>
      </w:r>
      <w:r>
        <w:rPr>
          <w:rFonts w:ascii="Arial" w:cs="Arial" w:eastAsia="Arial" w:hAnsi="Arial"/>
          <w:sz w:val="21"/>
          <w:szCs w:val="21"/>
          <w:color w:val="auto"/>
        </w:rPr>
        <w:t>; (d) agrees that service as provided in clause (c) above is sufficient to confer personal jurisdiction over such Party in any such proceeding in any such court, and otherwise constitutes effective and binding service in every respect; and (e) agrees that each party hereto retains the right to serve process in any other manner permitted by law or to bring proceedings against the other party in the courts of any other jurisdiction</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21"/>
          <w:szCs w:val="21"/>
          <w:b w:val="1"/>
          <w:bCs w:val="1"/>
          <w:color w:val="auto"/>
        </w:rPr>
        <w:t xml:space="preserve">Section 7.7 </w:t>
      </w:r>
      <w:r>
        <w:rPr>
          <w:rFonts w:ascii="Arial" w:cs="Arial" w:eastAsia="Arial" w:hAnsi="Arial"/>
          <w:sz w:val="21"/>
          <w:szCs w:val="21"/>
          <w:b w:val="1"/>
          <w:bCs w:val="1"/>
          <w:u w:val="single" w:color="auto"/>
          <w:color w:val="auto"/>
        </w:rPr>
        <w:t>Waiver of Jury Trial</w:t>
      </w:r>
      <w:r>
        <w:rPr>
          <w:rFonts w:ascii="Arial" w:cs="Arial" w:eastAsia="Arial" w:hAnsi="Arial"/>
          <w:sz w:val="21"/>
          <w:szCs w:val="21"/>
          <w:b w:val="1"/>
          <w:bCs w:val="1"/>
          <w:color w:val="auto"/>
        </w:rPr>
        <w:t>. EACH PARTY HERETO HEREBY IRREVOCABLY WAIVES ANY AND ALL RIGHT TO TRIAL BY JURY IN ANY LEGAL ACTION OR PROCEEDING ARISING OUT OF OR RELATING TO THIS AGREEMENT OR THE TRANSACTIONS CONTEMPLATED HEREBY AND AGREES THAT ANY SUCH ACTION OR PROCEEDING SHALL BE TRIED BEFORE A COURT AND NOT BEFORE A JURY.</w:t>
      </w:r>
    </w:p>
    <w:p>
      <w:pPr>
        <w:spacing w:after="0" w:line="161" w:lineRule="exact"/>
        <w:rPr>
          <w:sz w:val="20"/>
          <w:szCs w:val="20"/>
          <w:color w:val="auto"/>
        </w:rPr>
      </w:pPr>
    </w:p>
    <w:p>
      <w:pPr>
        <w:jc w:val="both"/>
        <w:spacing w:after="0" w:line="323" w:lineRule="auto"/>
        <w:rPr>
          <w:sz w:val="20"/>
          <w:szCs w:val="20"/>
          <w:color w:val="auto"/>
        </w:rPr>
      </w:pPr>
      <w:r>
        <w:rPr>
          <w:rFonts w:ascii="Arial" w:cs="Arial" w:eastAsia="Arial" w:hAnsi="Arial"/>
          <w:sz w:val="19"/>
          <w:szCs w:val="19"/>
          <w:b w:val="1"/>
          <w:bCs w:val="1"/>
          <w:color w:val="auto"/>
        </w:rPr>
        <w:t xml:space="preserve">Section 7.8 </w:t>
      </w:r>
      <w:r>
        <w:rPr>
          <w:rFonts w:ascii="Arial" w:cs="Arial" w:eastAsia="Arial" w:hAnsi="Arial"/>
          <w:sz w:val="19"/>
          <w:szCs w:val="19"/>
          <w:b w:val="1"/>
          <w:bCs w:val="1"/>
          <w:u w:val="single" w:color="auto"/>
          <w:color w:val="auto"/>
        </w:rPr>
        <w:t>Counterparts; Integration</w:t>
      </w:r>
      <w:r>
        <w:rPr>
          <w:rFonts w:ascii="Arial" w:cs="Arial" w:eastAsia="Arial" w:hAnsi="Arial"/>
          <w:sz w:val="19"/>
          <w:szCs w:val="19"/>
          <w:color w:val="auto"/>
        </w:rPr>
        <w:t>. This Agreement may be executed in any number of counterparts and by</w:t>
      </w:r>
      <w:r>
        <w:rPr>
          <w:rFonts w:ascii="Arial" w:cs="Arial" w:eastAsia="Arial" w:hAnsi="Arial"/>
          <w:sz w:val="19"/>
          <w:szCs w:val="19"/>
          <w:b w:val="1"/>
          <w:bCs w:val="1"/>
          <w:color w:val="auto"/>
        </w:rPr>
        <w:t xml:space="preserve"> </w:t>
      </w:r>
      <w:r>
        <w:rPr>
          <w:rFonts w:ascii="Arial" w:cs="Arial" w:eastAsia="Arial" w:hAnsi="Arial"/>
          <w:sz w:val="19"/>
          <w:szCs w:val="19"/>
          <w:color w:val="auto"/>
        </w:rPr>
        <w:t>electronic means (including “pdf”) and by different parties in separate counterparts, each of which when so executed shall be deemed to be an original and all of which taken together shall constitute one and the same agreement.</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 xml:space="preserve">Section 7.9 </w:t>
      </w: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All covenants, agreements, representations and warranties made by the Borrower herein and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certificates or other instruments delivered in connection with or pursuant to this Agreement shall be considered to have been relied upon by the Administrative Agent and the Lenders and shall survive the execution and delivery of this Agreement and the making of the Loans. The provisions of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shall survive and remain in full force and effect regardless of the consummation of the transactions contemplated hereby, the repayment of the Loans or the termination of this Agreement or any provision hereof.</w:t>
      </w:r>
    </w:p>
    <w:p>
      <w:pPr>
        <w:spacing w:after="0" w:line="200" w:lineRule="exact"/>
        <w:rPr>
          <w:sz w:val="20"/>
          <w:szCs w:val="20"/>
          <w:color w:val="auto"/>
        </w:rPr>
      </w:pPr>
    </w:p>
    <w:p>
      <w:pPr>
        <w:spacing w:after="0" w:line="20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60"/>
          </w:cols>
          <w:pgMar w:left="900" w:top="604" w:right="23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22"/>
          <w:szCs w:val="22"/>
          <w:b w:val="1"/>
          <w:bCs w:val="1"/>
          <w:color w:val="auto"/>
        </w:rPr>
        <w:t xml:space="preserve">Section 7.10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Any provision of this Agreement or any other Loan Document held to be illegal, invalid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spacing w:after="0" w:line="179"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b w:val="1"/>
          <w:bCs w:val="1"/>
          <w:color w:val="auto"/>
        </w:rPr>
        <w:t xml:space="preserve">Section 7.11 </w:t>
      </w:r>
      <w:r>
        <w:rPr>
          <w:rFonts w:ascii="Arial" w:cs="Arial" w:eastAsia="Arial" w:hAnsi="Arial"/>
          <w:sz w:val="22"/>
          <w:szCs w:val="22"/>
          <w:b w:val="1"/>
          <w:bCs w:val="1"/>
          <w:u w:val="single" w:color="auto"/>
          <w:color w:val="auto"/>
        </w:rPr>
        <w:t>No Waiver</w:t>
      </w:r>
      <w:r>
        <w:rPr>
          <w:rFonts w:ascii="Arial" w:cs="Arial" w:eastAsia="Arial" w:hAnsi="Arial"/>
          <w:sz w:val="22"/>
          <w:szCs w:val="22"/>
          <w:color w:val="auto"/>
        </w:rPr>
        <w:t>. The non-exercise by the Administrative Agent or the Lenders of any of their rights hereunder in</w:t>
      </w:r>
      <w:r>
        <w:rPr>
          <w:rFonts w:ascii="Arial" w:cs="Arial" w:eastAsia="Arial" w:hAnsi="Arial"/>
          <w:sz w:val="22"/>
          <w:szCs w:val="22"/>
          <w:b w:val="1"/>
          <w:bCs w:val="1"/>
          <w:color w:val="auto"/>
        </w:rPr>
        <w:t xml:space="preserve"> </w:t>
      </w:r>
      <w:r>
        <w:rPr>
          <w:rFonts w:ascii="Arial" w:cs="Arial" w:eastAsia="Arial" w:hAnsi="Arial"/>
          <w:sz w:val="22"/>
          <w:szCs w:val="22"/>
          <w:color w:val="auto"/>
        </w:rPr>
        <w:t>any particular instance shall not constitute a waiver thereof in that or any subsequent instance.</w:t>
      </w:r>
    </w:p>
    <w:p>
      <w:pPr>
        <w:spacing w:after="0" w:line="148"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Section 7.12 </w:t>
      </w:r>
      <w:r>
        <w:rPr>
          <w:rFonts w:ascii="Arial" w:cs="Arial" w:eastAsia="Arial" w:hAnsi="Arial"/>
          <w:sz w:val="19"/>
          <w:szCs w:val="19"/>
          <w:b w:val="1"/>
          <w:bCs w:val="1"/>
          <w:u w:val="single" w:color="auto"/>
          <w:color w:val="auto"/>
        </w:rPr>
        <w:t>Amendment and Restatement</w:t>
      </w:r>
      <w:r>
        <w:rPr>
          <w:rFonts w:ascii="Arial" w:cs="Arial" w:eastAsia="Arial" w:hAnsi="Arial"/>
          <w:sz w:val="19"/>
          <w:szCs w:val="19"/>
          <w:color w:val="auto"/>
        </w:rPr>
        <w:t>. It is the intention of the Borrower, the Administrative Agent,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Lenders, and such parties hereby agree, from and after the date hereof, that </w:t>
      </w:r>
      <w:r>
        <w:rPr>
          <w:rFonts w:ascii="Arial" w:cs="Arial" w:eastAsia="Arial" w:hAnsi="Arial"/>
          <w:sz w:val="19"/>
          <w:szCs w:val="19"/>
          <w:b w:val="1"/>
          <w:bCs w:val="1"/>
          <w:color w:val="auto"/>
        </w:rPr>
        <w:t>•</w:t>
      </w:r>
      <w:r>
        <w:rPr>
          <w:rFonts w:ascii="Arial" w:cs="Arial" w:eastAsia="Arial" w:hAnsi="Arial"/>
          <w:sz w:val="19"/>
          <w:szCs w:val="19"/>
          <w:color w:val="auto"/>
        </w:rPr>
        <w:t xml:space="preserve"> this Agreement amends, restates, supersedes and replaces the Existing Credit Agreement in its entirety and </w:t>
      </w:r>
      <w:r>
        <w:rPr>
          <w:rFonts w:ascii="Arial" w:cs="Arial" w:eastAsia="Arial" w:hAnsi="Arial"/>
          <w:sz w:val="19"/>
          <w:szCs w:val="19"/>
          <w:b w:val="1"/>
          <w:bCs w:val="1"/>
          <w:color w:val="auto"/>
        </w:rPr>
        <w:t>•</w:t>
      </w:r>
      <w:r>
        <w:rPr>
          <w:rFonts w:ascii="Arial" w:cs="Arial" w:eastAsia="Arial" w:hAnsi="Arial"/>
          <w:sz w:val="19"/>
          <w:szCs w:val="19"/>
          <w:color w:val="auto"/>
        </w:rPr>
        <w:t xml:space="preserve"> such amendment and restatement shall operate to renew, amend and modify certain of the rights and obligations of the parties under the Existing Credit Agreement as provided herein, but shall not act as a novation thereof. Unless specifically amended hereby or by any other Loan Document, each of the Existing Loan Documents and the Exhibits shall continue in full force and effect and, from and after the date hereof, and any and all references to the Existing Credit Agreement contained therein shall be deemed to refer to this Agreement.</w:t>
      </w:r>
    </w:p>
    <w:p>
      <w:pPr>
        <w:spacing w:after="0" w:line="146"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ADMINISTRATIVE AGENT</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Section 8.1 </w:t>
      </w:r>
      <w:r>
        <w:rPr>
          <w:rFonts w:ascii="Arial" w:cs="Arial" w:eastAsia="Arial" w:hAnsi="Arial"/>
          <w:sz w:val="21"/>
          <w:szCs w:val="21"/>
          <w:b w:val="1"/>
          <w:bCs w:val="1"/>
          <w:u w:val="single" w:color="auto"/>
          <w:color w:val="auto"/>
        </w:rPr>
        <w:t>Appointment and Authority</w:t>
      </w:r>
      <w:r>
        <w:rPr>
          <w:rFonts w:ascii="Arial" w:cs="Arial" w:eastAsia="Arial" w:hAnsi="Arial"/>
          <w:sz w:val="21"/>
          <w:szCs w:val="21"/>
          <w:color w:val="auto"/>
        </w:rPr>
        <w:t>. Each of the Lenders hereby irrevocably appoints Westlake Polymers LLC to</w:t>
      </w:r>
      <w:r>
        <w:rPr>
          <w:rFonts w:ascii="Arial" w:cs="Arial" w:eastAsia="Arial" w:hAnsi="Arial"/>
          <w:sz w:val="21"/>
          <w:szCs w:val="21"/>
          <w:b w:val="1"/>
          <w:bCs w:val="1"/>
          <w:color w:val="auto"/>
        </w:rPr>
        <w:t xml:space="preserve"> </w:t>
      </w:r>
      <w:r>
        <w:rPr>
          <w:rFonts w:ascii="Arial" w:cs="Arial" w:eastAsia="Arial" w:hAnsi="Arial"/>
          <w:sz w:val="21"/>
          <w:szCs w:val="21"/>
          <w:color w:val="auto"/>
        </w:rPr>
        <w:t>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 xml:space="preserve">Section 8.2 </w:t>
      </w:r>
      <w:r>
        <w:rPr>
          <w:rFonts w:ascii="Arial" w:cs="Arial" w:eastAsia="Arial" w:hAnsi="Arial"/>
          <w:sz w:val="22"/>
          <w:szCs w:val="22"/>
          <w:b w:val="1"/>
          <w:bCs w:val="1"/>
          <w:u w:val="single" w:color="auto"/>
          <w:color w:val="auto"/>
        </w:rPr>
        <w:t>Rights as a Lender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Person serving as the Administrative Agent hereunder shall have the same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w:t>
      </w:r>
    </w:p>
    <w:p>
      <w:pPr>
        <w:spacing w:after="0" w:line="200" w:lineRule="exact"/>
        <w:rPr>
          <w:sz w:val="20"/>
          <w:szCs w:val="20"/>
          <w:color w:val="auto"/>
        </w:rPr>
      </w:pPr>
    </w:p>
    <w:p>
      <w:pPr>
        <w:spacing w:after="0" w:line="20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60"/>
          </w:cols>
          <w:pgMar w:left="900" w:top="598" w:right="239" w:bottom="1440" w:gutter="0" w:footer="0" w:header="0"/>
        </w:sectPr>
      </w:pPr>
    </w:p>
    <w:bookmarkStart w:id="129" w:name="page130"/>
    <w:bookmarkEnd w:id="129"/>
    <w:p>
      <w:pPr>
        <w:jc w:val="both"/>
        <w:ind w:left="4" w:right="20"/>
        <w:spacing w:after="0" w:line="263" w:lineRule="auto"/>
        <w:rPr>
          <w:sz w:val="20"/>
          <w:szCs w:val="20"/>
          <w:color w:val="auto"/>
        </w:rPr>
      </w:pPr>
      <w:r>
        <w:rPr>
          <w:rFonts w:ascii="Arial" w:cs="Arial" w:eastAsia="Arial" w:hAnsi="Arial"/>
          <w:sz w:val="22"/>
          <w:szCs w:val="22"/>
          <w:color w:val="auto"/>
        </w:rPr>
        <w:t>any kind of business with the Borrower or its Affiliates as if such Person were not the Administrative Agent hereunder and without any duty to account therefor to the Lenders.</w:t>
      </w:r>
    </w:p>
    <w:p>
      <w:pPr>
        <w:spacing w:after="0" w:line="169" w:lineRule="exact"/>
        <w:rPr>
          <w:sz w:val="20"/>
          <w:szCs w:val="20"/>
          <w:color w:val="auto"/>
        </w:rPr>
      </w:pPr>
    </w:p>
    <w:p>
      <w:pPr>
        <w:jc w:val="both"/>
        <w:ind w:left="4"/>
        <w:spacing w:after="0" w:line="262" w:lineRule="auto"/>
        <w:rPr>
          <w:sz w:val="20"/>
          <w:szCs w:val="20"/>
          <w:color w:val="auto"/>
        </w:rPr>
      </w:pPr>
      <w:r>
        <w:rPr>
          <w:rFonts w:ascii="Arial" w:cs="Arial" w:eastAsia="Arial" w:hAnsi="Arial"/>
          <w:sz w:val="22"/>
          <w:szCs w:val="22"/>
          <w:b w:val="1"/>
          <w:bCs w:val="1"/>
          <w:color w:val="auto"/>
        </w:rPr>
        <w:t xml:space="preserve">Section 8.3 </w:t>
      </w:r>
      <w:r>
        <w:rPr>
          <w:rFonts w:ascii="Arial" w:cs="Arial" w:eastAsia="Arial" w:hAnsi="Arial"/>
          <w:sz w:val="22"/>
          <w:szCs w:val="22"/>
          <w:b w:val="1"/>
          <w:bCs w:val="1"/>
          <w:u w:val="single" w:color="auto"/>
          <w:color w:val="auto"/>
        </w:rPr>
        <w:t>Exculpatory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Administrative Agent shall not have any duties or obligations except those</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set forth herein and in the other Loan Documents, and its duties hereunder shall be administrative in nature. Without limiting the generality of the foregoing, the Administrative Agent:</w:t>
      </w:r>
    </w:p>
    <w:p>
      <w:pPr>
        <w:spacing w:after="0" w:line="177" w:lineRule="exact"/>
        <w:rPr>
          <w:sz w:val="20"/>
          <w:szCs w:val="20"/>
          <w:color w:val="auto"/>
        </w:rPr>
      </w:pPr>
    </w:p>
    <w:p>
      <w:pPr>
        <w:ind w:left="644" w:firstLine="5"/>
        <w:spacing w:after="0" w:line="276" w:lineRule="auto"/>
        <w:tabs>
          <w:tab w:leader="none" w:pos="1063" w:val="left"/>
        </w:tabs>
        <w:numPr>
          <w:ilvl w:val="0"/>
          <w:numId w:val="95"/>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Default has occurred and is continuing;</w:t>
      </w:r>
    </w:p>
    <w:p>
      <w:pPr>
        <w:spacing w:after="0" w:line="160" w:lineRule="exact"/>
        <w:rPr>
          <w:rFonts w:ascii="Arial" w:cs="Arial" w:eastAsia="Arial" w:hAnsi="Arial"/>
          <w:sz w:val="22"/>
          <w:szCs w:val="22"/>
          <w:color w:val="auto"/>
        </w:rPr>
      </w:pPr>
    </w:p>
    <w:p>
      <w:pPr>
        <w:jc w:val="both"/>
        <w:ind w:left="644" w:firstLine="5"/>
        <w:spacing w:after="0" w:line="297" w:lineRule="auto"/>
        <w:tabs>
          <w:tab w:leader="none" w:pos="1278" w:val="left"/>
        </w:tabs>
        <w:numPr>
          <w:ilvl w:val="0"/>
          <w:numId w:val="95"/>
        </w:numPr>
        <w:rPr>
          <w:rFonts w:ascii="Arial" w:cs="Arial" w:eastAsia="Arial" w:hAnsi="Arial"/>
          <w:sz w:val="19"/>
          <w:szCs w:val="19"/>
          <w:color w:val="auto"/>
        </w:rPr>
      </w:pPr>
      <w:r>
        <w:rPr>
          <w:rFonts w:ascii="Arial" w:cs="Arial" w:eastAsia="Arial" w:hAnsi="Arial"/>
          <w:sz w:val="19"/>
          <w:szCs w:val="19"/>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and</w:t>
      </w:r>
    </w:p>
    <w:p>
      <w:pPr>
        <w:spacing w:after="0" w:line="146" w:lineRule="exact"/>
        <w:rPr>
          <w:rFonts w:ascii="Arial" w:cs="Arial" w:eastAsia="Arial" w:hAnsi="Arial"/>
          <w:sz w:val="19"/>
          <w:szCs w:val="19"/>
          <w:color w:val="auto"/>
        </w:rPr>
      </w:pPr>
    </w:p>
    <w:p>
      <w:pPr>
        <w:jc w:val="both"/>
        <w:ind w:left="644" w:firstLine="5"/>
        <w:spacing w:after="0" w:line="254" w:lineRule="auto"/>
        <w:tabs>
          <w:tab w:leader="none" w:pos="1090" w:val="left"/>
        </w:tabs>
        <w:numPr>
          <w:ilvl w:val="0"/>
          <w:numId w:val="95"/>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5" w:lineRule="exact"/>
        <w:rPr>
          <w:sz w:val="20"/>
          <w:szCs w:val="20"/>
          <w:color w:val="auto"/>
        </w:rPr>
      </w:pPr>
    </w:p>
    <w:p>
      <w:pPr>
        <w:jc w:val="both"/>
        <w:ind w:left="4"/>
        <w:spacing w:after="0" w:line="294" w:lineRule="auto"/>
        <w:rPr>
          <w:sz w:val="20"/>
          <w:szCs w:val="20"/>
          <w:color w:val="auto"/>
        </w:rPr>
      </w:pPr>
      <w:r>
        <w:rPr>
          <w:rFonts w:ascii="Arial" w:cs="Arial" w:eastAsia="Arial" w:hAnsi="Arial"/>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w:t>
      </w:r>
      <w:r>
        <w:rPr>
          <w:rFonts w:ascii="Arial" w:cs="Arial" w:eastAsia="Arial" w:hAnsi="Arial"/>
          <w:sz w:val="19"/>
          <w:szCs w:val="19"/>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in writing by the Borrower or a Lender.</w:t>
      </w:r>
    </w:p>
    <w:p>
      <w:pPr>
        <w:spacing w:after="0" w:line="150" w:lineRule="exact"/>
        <w:rPr>
          <w:sz w:val="20"/>
          <w:szCs w:val="20"/>
          <w:color w:val="auto"/>
        </w:rPr>
      </w:pPr>
    </w:p>
    <w:p>
      <w:pPr>
        <w:jc w:val="both"/>
        <w:ind w:left="4"/>
        <w:spacing w:after="0" w:line="285" w:lineRule="auto"/>
        <w:rPr>
          <w:sz w:val="20"/>
          <w:szCs w:val="20"/>
          <w:color w:val="auto"/>
        </w:rPr>
      </w:pPr>
      <w:r>
        <w:rPr>
          <w:rFonts w:ascii="Arial" w:cs="Arial" w:eastAsia="Arial" w:hAnsi="Arial"/>
          <w:sz w:val="19"/>
          <w:szCs w:val="19"/>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w:t>
      </w:r>
    </w:p>
    <w:p>
      <w:pPr>
        <w:spacing w:after="0" w:line="1" w:lineRule="exact"/>
        <w:rPr>
          <w:sz w:val="20"/>
          <w:szCs w:val="20"/>
          <w:color w:val="auto"/>
        </w:rPr>
      </w:pPr>
    </w:p>
    <w:p>
      <w:pPr>
        <w:ind w:left="4" w:right="20" w:hanging="4"/>
        <w:spacing w:after="0" w:line="246" w:lineRule="auto"/>
        <w:tabs>
          <w:tab w:leader="none" w:pos="306" w:val="left"/>
        </w:tabs>
        <w:numPr>
          <w:ilvl w:val="0"/>
          <w:numId w:val="96"/>
        </w:numPr>
        <w:rPr>
          <w:rFonts w:ascii="Arial" w:cs="Arial" w:eastAsia="Arial" w:hAnsi="Arial"/>
          <w:sz w:val="22"/>
          <w:szCs w:val="22"/>
          <w:color w:val="auto"/>
        </w:rPr>
      </w:pPr>
      <w:r>
        <w:rPr>
          <w:rFonts w:ascii="Arial" w:cs="Arial" w:eastAsia="Arial" w:hAnsi="Arial"/>
          <w:sz w:val="22"/>
          <w:szCs w:val="22"/>
          <w:color w:val="auto"/>
        </w:rPr>
        <w:t>or elsewhere herein, other than to confirm receipt of items expressly required to be delivered to the Administrative Agent.</w:t>
      </w:r>
    </w:p>
    <w:p>
      <w:pPr>
        <w:spacing w:after="0" w:line="200" w:lineRule="exact"/>
        <w:rPr>
          <w:sz w:val="20"/>
          <w:szCs w:val="20"/>
          <w:color w:val="auto"/>
        </w:rPr>
      </w:pPr>
    </w:p>
    <w:p>
      <w:pPr>
        <w:spacing w:after="0" w:line="209"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764"/>
          </w:cols>
          <w:pgMar w:left="896" w:top="604" w:right="239" w:bottom="1440" w:gutter="0" w:footer="0" w:header="0"/>
        </w:sectPr>
      </w:pPr>
    </w:p>
    <w:bookmarkStart w:id="130" w:name="page131"/>
    <w:bookmarkEnd w:id="130"/>
    <w:p>
      <w:pPr>
        <w:jc w:val="both"/>
        <w:spacing w:after="0" w:line="290" w:lineRule="auto"/>
        <w:rPr>
          <w:sz w:val="20"/>
          <w:szCs w:val="20"/>
          <w:color w:val="auto"/>
        </w:rPr>
      </w:pPr>
      <w:r>
        <w:rPr>
          <w:rFonts w:ascii="Arial" w:cs="Arial" w:eastAsia="Arial" w:hAnsi="Arial"/>
          <w:sz w:val="19"/>
          <w:szCs w:val="19"/>
          <w:b w:val="1"/>
          <w:bCs w:val="1"/>
          <w:color w:val="auto"/>
        </w:rPr>
        <w:t xml:space="preserve">Section 8.4 </w:t>
      </w:r>
      <w:r>
        <w:rPr>
          <w:rFonts w:ascii="Arial" w:cs="Arial" w:eastAsia="Arial" w:hAnsi="Arial"/>
          <w:sz w:val="19"/>
          <w:szCs w:val="19"/>
          <w:b w:val="1"/>
          <w:bCs w:val="1"/>
          <w:u w:val="single" w:color="auto"/>
          <w:color w:val="auto"/>
        </w:rPr>
        <w:t>Reliance by Administrative Agent</w:t>
      </w:r>
      <w:r>
        <w:rPr>
          <w:rFonts w:ascii="Arial" w:cs="Arial" w:eastAsia="Arial" w:hAnsi="Arial"/>
          <w:sz w:val="19"/>
          <w:szCs w:val="19"/>
          <w:color w:val="auto"/>
        </w:rPr>
        <w:t>. The Administrative Agent shall be entitled to rely upon, and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Section 8.5 </w:t>
      </w:r>
      <w:r>
        <w:rPr>
          <w:rFonts w:ascii="Arial" w:cs="Arial" w:eastAsia="Arial" w:hAnsi="Arial"/>
          <w:sz w:val="22"/>
          <w:szCs w:val="22"/>
          <w:b w:val="1"/>
          <w:bCs w:val="1"/>
          <w:u w:val="single" w:color="auto"/>
          <w:color w:val="auto"/>
        </w:rPr>
        <w:t>Delegation of Duties</w:t>
      </w:r>
      <w:r>
        <w:rPr>
          <w:rFonts w:ascii="Arial" w:cs="Arial" w:eastAsia="Arial" w:hAnsi="Arial"/>
          <w:sz w:val="22"/>
          <w:szCs w:val="22"/>
          <w:color w:val="auto"/>
        </w:rPr>
        <w:t>. The Administrative Agent may perform any and all of its duties and exercise its rights</w:t>
      </w:r>
      <w:r>
        <w:rPr>
          <w:rFonts w:ascii="Arial" w:cs="Arial" w:eastAsia="Arial" w:hAnsi="Arial"/>
          <w:sz w:val="22"/>
          <w:szCs w:val="22"/>
          <w:b w:val="1"/>
          <w:bCs w:val="1"/>
          <w:color w:val="auto"/>
        </w:rPr>
        <w:t xml:space="preserve"> </w:t>
      </w:r>
      <w:r>
        <w:rPr>
          <w:rFonts w:ascii="Arial" w:cs="Arial" w:eastAsia="Arial" w:hAnsi="Arial"/>
          <w:sz w:val="22"/>
          <w:szCs w:val="22"/>
          <w:color w:val="auto"/>
        </w:rPr>
        <w:t>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Affiliates. The exculpatory provisions of this Article shall apply to any such sub agent and to the Affiliates of the Administrative Agent and any such sub agent, and shall apply to their respective activities in connection with the syndication of the credit facilities provided for herein as well as activities as Administrative Agent.</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8.6 </w:t>
      </w:r>
      <w:r>
        <w:rPr>
          <w:rFonts w:ascii="Arial" w:cs="Arial" w:eastAsia="Arial" w:hAnsi="Arial"/>
          <w:sz w:val="21"/>
          <w:szCs w:val="21"/>
          <w:b w:val="1"/>
          <w:bCs w:val="1"/>
          <w:u w:val="single" w:color="auto"/>
          <w:color w:val="auto"/>
        </w:rPr>
        <w:t>Resignation of Administrative Agent</w:t>
      </w:r>
      <w:r>
        <w:rPr>
          <w:rFonts w:ascii="Arial" w:cs="Arial" w:eastAsia="Arial" w:hAnsi="Arial"/>
          <w:sz w:val="21"/>
          <w:szCs w:val="21"/>
          <w:b w:val="1"/>
          <w:bCs w:val="1"/>
          <w:color w:val="auto"/>
        </w:rPr>
        <w:t xml:space="preserve">. </w:t>
      </w:r>
      <w:r>
        <w:rPr>
          <w:rFonts w:ascii="Arial" w:cs="Arial" w:eastAsia="Arial" w:hAnsi="Arial"/>
          <w:sz w:val="21"/>
          <w:szCs w:val="21"/>
          <w:color w:val="auto"/>
        </w:rPr>
        <w:t>The Administrative Agent may at any time give notice of its</w:t>
      </w:r>
      <w:r>
        <w:rPr>
          <w:rFonts w:ascii="Arial" w:cs="Arial" w:eastAsia="Arial" w:hAnsi="Arial"/>
          <w:sz w:val="21"/>
          <w:szCs w:val="21"/>
          <w:b w:val="1"/>
          <w:bCs w:val="1"/>
          <w:color w:val="auto"/>
        </w:rPr>
        <w:t xml:space="preserve"> </w:t>
      </w:r>
      <w:r>
        <w:rPr>
          <w:rFonts w:ascii="Arial" w:cs="Arial" w:eastAsia="Arial" w:hAnsi="Arial"/>
          <w:sz w:val="21"/>
          <w:szCs w:val="21"/>
          <w:color w:val="auto"/>
        </w:rPr>
        <w:t>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provided that if the Administrative Agent shall notify the Borrower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w:t>
      </w:r>
    </w:p>
    <w:p>
      <w:pPr>
        <w:spacing w:after="0" w:line="200" w:lineRule="exact"/>
        <w:rPr>
          <w:sz w:val="20"/>
          <w:szCs w:val="20"/>
          <w:color w:val="auto"/>
        </w:rPr>
      </w:pPr>
    </w:p>
    <w:p>
      <w:pPr>
        <w:spacing w:after="0" w:line="20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760"/>
          </w:cols>
          <w:pgMar w:left="900" w:top="598" w:right="239" w:bottom="1440" w:gutter="0" w:footer="0" w:header="0"/>
        </w:sectPr>
      </w:pPr>
    </w:p>
    <w:bookmarkStart w:id="131" w:name="page132"/>
    <w:bookmarkEnd w:id="131"/>
    <w:p>
      <w:pPr>
        <w:jc w:val="both"/>
        <w:spacing w:after="0" w:line="265" w:lineRule="auto"/>
        <w:rPr>
          <w:sz w:val="20"/>
          <w:szCs w:val="20"/>
          <w:color w:val="auto"/>
        </w:rPr>
      </w:pPr>
      <w:r>
        <w:rPr>
          <w:rFonts w:ascii="Arial" w:cs="Arial" w:eastAsia="Arial" w:hAnsi="Arial"/>
          <w:sz w:val="21"/>
          <w:szCs w:val="21"/>
          <w:color w:val="auto"/>
        </w:rPr>
        <w:t xml:space="preserve">therefrom as provided above in this Section). After the retiring Administrative Agent’s resignation hereunder and under the other Loan Documents, the provisions of this Article and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shall continue in effect for the benefit of such retiring Administrative Agent, its sub agents and their respective Affiliates in respect of any actions taken or omitted to be taken by any of them while the retiring Administrative Agent was acting as Administrative Agent.</w:t>
      </w:r>
    </w:p>
    <w:p>
      <w:pPr>
        <w:spacing w:after="0" w:line="17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Section 8.7 </w:t>
      </w:r>
      <w:r>
        <w:rPr>
          <w:rFonts w:ascii="Arial" w:cs="Arial" w:eastAsia="Arial" w:hAnsi="Arial"/>
          <w:sz w:val="19"/>
          <w:szCs w:val="19"/>
          <w:b w:val="1"/>
          <w:bCs w:val="1"/>
          <w:u w:val="single" w:color="auto"/>
          <w:color w:val="auto"/>
        </w:rPr>
        <w:t>Non-Reliance on Administrative Agent and Other Lenders</w:t>
      </w:r>
      <w:r>
        <w:rPr>
          <w:rFonts w:ascii="Arial" w:cs="Arial" w:eastAsia="Arial" w:hAnsi="Arial"/>
          <w:sz w:val="19"/>
          <w:szCs w:val="19"/>
          <w:b w:val="1"/>
          <w:bCs w:val="1"/>
          <w:color w:val="auto"/>
        </w:rPr>
        <w:t xml:space="preserve">. </w:t>
      </w:r>
      <w:r>
        <w:rPr>
          <w:rFonts w:ascii="Arial" w:cs="Arial" w:eastAsia="Arial" w:hAnsi="Arial"/>
          <w:sz w:val="19"/>
          <w:szCs w:val="19"/>
          <w:color w:val="auto"/>
        </w:rPr>
        <w:t>Each Lender acknowledges that it has,</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21"/>
          <w:szCs w:val="21"/>
          <w:b w:val="1"/>
          <w:bCs w:val="1"/>
          <w:color w:val="auto"/>
        </w:rPr>
        <w:t xml:space="preserve">Section 8.8 </w:t>
      </w:r>
      <w:r>
        <w:rPr>
          <w:rFonts w:ascii="Arial" w:cs="Arial" w:eastAsia="Arial" w:hAnsi="Arial"/>
          <w:sz w:val="21"/>
          <w:szCs w:val="21"/>
          <w:b w:val="1"/>
          <w:bCs w:val="1"/>
          <w:u w:val="single" w:color="auto"/>
          <w:color w:val="auto"/>
        </w:rPr>
        <w:t>No Other Duties, Etc</w:t>
      </w:r>
      <w:r>
        <w:rPr>
          <w:rFonts w:ascii="Arial" w:cs="Arial" w:eastAsia="Arial" w:hAnsi="Arial"/>
          <w:sz w:val="21"/>
          <w:szCs w:val="21"/>
          <w:b w:val="1"/>
          <w:bCs w:val="1"/>
          <w:color w:val="auto"/>
        </w:rPr>
        <w:t xml:space="preserve">. </w:t>
      </w:r>
      <w:r>
        <w:rPr>
          <w:rFonts w:ascii="Arial" w:cs="Arial" w:eastAsia="Arial" w:hAnsi="Arial"/>
          <w:sz w:val="21"/>
          <w:szCs w:val="21"/>
          <w:color w:val="auto"/>
        </w:rPr>
        <w:t>Anything herein to the contrary notwithstanding, none of the Lenders or the</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Administrative Agent named herein shall have any powers, duties or responsibilities under this Agreement or any of the other Loan Documents, except in its capacity, as applicable, as the Administrative Agent or a Lender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760"/>
          </w:cols>
          <w:pgMar w:left="900" w:top="604" w:right="239" w:bottom="1440" w:gutter="0" w:footer="0" w:header="0"/>
        </w:sectPr>
      </w:pPr>
    </w:p>
    <w:bookmarkStart w:id="132" w:name="page133"/>
    <w:bookmarkEnd w:id="132"/>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duly executed as of the day and year first</w:t>
      </w:r>
      <w:r>
        <w:rPr>
          <w:rFonts w:ascii="Arial" w:cs="Arial" w:eastAsia="Arial" w:hAnsi="Arial"/>
          <w:sz w:val="22"/>
          <w:szCs w:val="22"/>
          <w:b w:val="1"/>
          <w:bCs w:val="1"/>
          <w:color w:val="auto"/>
        </w:rPr>
        <w:t xml:space="preserve"> </w:t>
      </w:r>
      <w:r>
        <w:rPr>
          <w:rFonts w:ascii="Arial" w:cs="Arial" w:eastAsia="Arial" w:hAnsi="Arial"/>
          <w:sz w:val="22"/>
          <w:szCs w:val="22"/>
          <w:color w:val="auto"/>
        </w:rPr>
        <w:t>above written.</w:t>
      </w:r>
    </w:p>
    <w:p>
      <w:pPr>
        <w:spacing w:after="0" w:line="31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WESTLAKE CHEMICAL OPCO LP</w:t>
      </w:r>
    </w:p>
    <w:p>
      <w:pPr>
        <w:spacing w:after="0" w:line="21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 Westlake Chemical OpCo GP LLC, its general partner</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as Borrower</w:t>
      </w:r>
    </w:p>
    <w:p>
      <w:pPr>
        <w:spacing w:after="0" w:line="260" w:lineRule="exact"/>
        <w:rPr>
          <w:sz w:val="20"/>
          <w:szCs w:val="20"/>
          <w:color w:val="auto"/>
        </w:rPr>
      </w:pPr>
    </w:p>
    <w:tbl>
      <w:tblPr>
        <w:tblLayout w:type="fixed"/>
        <w:tblInd w:w="4960" w:type="dxa"/>
        <w:tblCellMar>
          <w:top w:w="0" w:type="dxa"/>
          <w:left w:w="0" w:type="dxa"/>
          <w:bottom w:w="0" w:type="dxa"/>
          <w:right w:w="0" w:type="dxa"/>
        </w:tblCellMar>
      </w:tblPr>
      <w:tr>
        <w:trPr>
          <w:trHeight w:val="275"/>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5240" w:type="dxa"/>
            <w:vAlign w:val="bottom"/>
          </w:tcPr>
          <w:p>
            <w:pPr>
              <w:ind w:left="1400"/>
              <w:spacing w:after="0"/>
              <w:rPr>
                <w:sz w:val="20"/>
                <w:szCs w:val="20"/>
                <w:color w:val="auto"/>
              </w:rPr>
            </w:pPr>
            <w:r>
              <w:rPr>
                <w:rFonts w:ascii="Arial" w:cs="Arial" w:eastAsia="Arial" w:hAnsi="Arial"/>
                <w:sz w:val="22"/>
                <w:szCs w:val="22"/>
                <w:color w:val="auto"/>
              </w:rPr>
              <w:t>/s/  LAWRENCE E. TEEL</w:t>
            </w:r>
          </w:p>
        </w:tc>
        <w:tc>
          <w:tcPr>
            <w:tcW w:w="0" w:type="dxa"/>
            <w:vAlign w:val="bottom"/>
          </w:tcPr>
          <w:p>
            <w:pPr>
              <w:spacing w:after="0"/>
              <w:rPr>
                <w:sz w:val="1"/>
                <w:szCs w:val="1"/>
                <w:color w:val="auto"/>
              </w:rPr>
            </w:pPr>
          </w:p>
        </w:tc>
      </w:tr>
      <w:tr>
        <w:trPr>
          <w:trHeight w:val="422"/>
        </w:trPr>
        <w:tc>
          <w:tcPr>
            <w:tcW w:w="12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22"/>
                <w:szCs w:val="22"/>
                <w:color w:val="auto"/>
              </w:rPr>
              <w:t>Lawrence E. Teel</w:t>
            </w:r>
          </w:p>
        </w:tc>
        <w:tc>
          <w:tcPr>
            <w:tcW w:w="0" w:type="dxa"/>
            <w:vAlign w:val="bottom"/>
          </w:tcPr>
          <w:p>
            <w:pPr>
              <w:spacing w:after="0"/>
              <w:rPr>
                <w:sz w:val="1"/>
                <w:szCs w:val="1"/>
                <w:color w:val="auto"/>
              </w:rPr>
            </w:pPr>
          </w:p>
        </w:tc>
      </w:tr>
      <w:tr>
        <w:trPr>
          <w:trHeight w:val="689"/>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5240" w:type="dxa"/>
            <w:vAlign w:val="bottom"/>
          </w:tcPr>
          <w:p>
            <w:pPr>
              <w:ind w:left="20"/>
              <w:spacing w:after="0"/>
              <w:rPr>
                <w:sz w:val="20"/>
                <w:szCs w:val="20"/>
                <w:color w:val="auto"/>
              </w:rPr>
            </w:pPr>
            <w:r>
              <w:rPr>
                <w:rFonts w:ascii="Arial" w:cs="Arial" w:eastAsia="Arial" w:hAnsi="Arial"/>
                <w:sz w:val="22"/>
                <w:szCs w:val="22"/>
                <w:color w:val="auto"/>
              </w:rPr>
              <w:t>Principal Operating Officer</w:t>
            </w:r>
          </w:p>
        </w:tc>
        <w:tc>
          <w:tcPr>
            <w:tcW w:w="0" w:type="dxa"/>
            <w:vAlign w:val="bottom"/>
          </w:tcPr>
          <w:p>
            <w:pPr>
              <w:spacing w:after="0"/>
              <w:rPr>
                <w:sz w:val="1"/>
                <w:szCs w:val="1"/>
                <w:color w:val="auto"/>
              </w:rPr>
            </w:pPr>
          </w:p>
        </w:tc>
      </w:tr>
      <w:tr>
        <w:trPr>
          <w:trHeight w:val="851"/>
        </w:trPr>
        <w:tc>
          <w:tcPr>
            <w:tcW w:w="6460" w:type="dxa"/>
            <w:vAlign w:val="bottom"/>
            <w:gridSpan w:val="2"/>
          </w:tcPr>
          <w:p>
            <w:pPr>
              <w:spacing w:after="0"/>
              <w:rPr>
                <w:sz w:val="20"/>
                <w:szCs w:val="20"/>
                <w:color w:val="auto"/>
              </w:rPr>
            </w:pPr>
            <w:r>
              <w:rPr>
                <w:rFonts w:ascii="Arial" w:cs="Arial" w:eastAsia="Arial" w:hAnsi="Arial"/>
                <w:sz w:val="22"/>
                <w:szCs w:val="22"/>
                <w:b w:val="1"/>
                <w:bCs w:val="1"/>
                <w:color w:val="auto"/>
              </w:rPr>
              <w:t>WESTLAKE DEVELOPMENT CORPORATION</w:t>
            </w:r>
          </w:p>
        </w:tc>
        <w:tc>
          <w:tcPr>
            <w:tcW w:w="0" w:type="dxa"/>
            <w:vAlign w:val="bottom"/>
          </w:tcPr>
          <w:p>
            <w:pPr>
              <w:spacing w:after="0"/>
              <w:rPr>
                <w:sz w:val="1"/>
                <w:szCs w:val="1"/>
                <w:color w:val="auto"/>
              </w:rPr>
            </w:pPr>
          </w:p>
        </w:tc>
      </w:tr>
      <w:tr>
        <w:trPr>
          <w:trHeight w:val="459"/>
        </w:trPr>
        <w:tc>
          <w:tcPr>
            <w:tcW w:w="1220" w:type="dxa"/>
            <w:vAlign w:val="bottom"/>
          </w:tcPr>
          <w:p>
            <w:pPr>
              <w:spacing w:after="0"/>
              <w:rPr>
                <w:sz w:val="20"/>
                <w:szCs w:val="20"/>
                <w:color w:val="auto"/>
              </w:rPr>
            </w:pPr>
            <w:r>
              <w:rPr>
                <w:rFonts w:ascii="Arial" w:cs="Arial" w:eastAsia="Arial" w:hAnsi="Arial"/>
                <w:sz w:val="22"/>
                <w:szCs w:val="22"/>
                <w:color w:val="auto"/>
              </w:rPr>
              <w:t>as Lender</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5240" w:type="dxa"/>
            <w:vAlign w:val="bottom"/>
          </w:tcPr>
          <w:p>
            <w:pPr>
              <w:ind w:left="1380"/>
              <w:spacing w:after="0"/>
              <w:rPr>
                <w:sz w:val="20"/>
                <w:szCs w:val="20"/>
                <w:color w:val="auto"/>
              </w:rPr>
            </w:pPr>
            <w:r>
              <w:rPr>
                <w:rFonts w:ascii="Arial" w:cs="Arial" w:eastAsia="Arial" w:hAnsi="Arial"/>
                <w:sz w:val="22"/>
                <w:szCs w:val="22"/>
                <w:color w:val="auto"/>
              </w:rPr>
              <w:t>/s/  M. STEVEN BENDER</w:t>
            </w:r>
          </w:p>
        </w:tc>
        <w:tc>
          <w:tcPr>
            <w:tcW w:w="0" w:type="dxa"/>
            <w:vAlign w:val="bottom"/>
          </w:tcPr>
          <w:p>
            <w:pPr>
              <w:spacing w:after="0"/>
              <w:rPr>
                <w:sz w:val="1"/>
                <w:szCs w:val="1"/>
                <w:color w:val="auto"/>
              </w:rPr>
            </w:pPr>
          </w:p>
        </w:tc>
      </w:tr>
      <w:tr>
        <w:trPr>
          <w:trHeight w:val="422"/>
        </w:trPr>
        <w:tc>
          <w:tcPr>
            <w:tcW w:w="12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22"/>
                <w:szCs w:val="22"/>
                <w:color w:val="auto"/>
              </w:rPr>
              <w:t>Mark Steven Bender</w:t>
            </w:r>
          </w:p>
        </w:tc>
        <w:tc>
          <w:tcPr>
            <w:tcW w:w="0" w:type="dxa"/>
            <w:vAlign w:val="bottom"/>
          </w:tcPr>
          <w:p>
            <w:pPr>
              <w:spacing w:after="0"/>
              <w:rPr>
                <w:sz w:val="1"/>
                <w:szCs w:val="1"/>
                <w:color w:val="auto"/>
              </w:rPr>
            </w:pPr>
          </w:p>
        </w:tc>
      </w:tr>
      <w:tr>
        <w:trPr>
          <w:trHeight w:val="702"/>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5240" w:type="dxa"/>
            <w:vAlign w:val="bottom"/>
          </w:tcPr>
          <w:p>
            <w:pPr>
              <w:ind w:left="20"/>
              <w:spacing w:after="0"/>
              <w:rPr>
                <w:sz w:val="20"/>
                <w:szCs w:val="20"/>
                <w:color w:val="auto"/>
              </w:rPr>
            </w:pPr>
            <w:r>
              <w:rPr>
                <w:rFonts w:ascii="Arial" w:cs="Arial" w:eastAsia="Arial" w:hAnsi="Arial"/>
                <w:sz w:val="22"/>
                <w:szCs w:val="22"/>
                <w:color w:val="auto"/>
              </w:rPr>
              <w:t>Senior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8" w:right="239" w:bottom="5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Amended and Restated Revolving Credit Agreement</w:t>
      </w:r>
    </w:p>
    <w:p>
      <w:pPr>
        <w:sectPr>
          <w:pgSz w:w="11900" w:h="16838" w:orient="portrait"/>
          <w:cols w:equalWidth="0" w:num="1">
            <w:col w:w="11420"/>
          </w:cols>
          <w:pgMar w:left="240" w:top="598" w:right="239" w:bottom="500" w:gutter="0" w:footer="0" w:header="0"/>
          <w:type w:val="continuous"/>
        </w:sectPr>
      </w:pPr>
    </w:p>
    <w:bookmarkStart w:id="133" w:name="page134"/>
    <w:bookmarkEnd w:id="133"/>
    <w:p>
      <w:pPr>
        <w:ind w:left="3760"/>
        <w:spacing w:after="0"/>
        <w:rPr>
          <w:sz w:val="20"/>
          <w:szCs w:val="20"/>
          <w:color w:val="auto"/>
        </w:rPr>
      </w:pPr>
      <w:r>
        <w:rPr>
          <w:rFonts w:ascii="Arial" w:cs="Arial" w:eastAsia="Arial" w:hAnsi="Arial"/>
          <w:sz w:val="22"/>
          <w:szCs w:val="22"/>
          <w:color w:val="auto"/>
        </w:rPr>
        <w:t>WESTLAKE POLYMERS LLC</w:t>
      </w:r>
    </w:p>
    <w:p>
      <w:pPr>
        <w:spacing w:after="0" w:line="206"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Administrative Agent</w:t>
      </w:r>
    </w:p>
    <w:p>
      <w:pPr>
        <w:spacing w:after="0" w:line="206"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 Westlake Chemical Investments, Inc., its Manager</w:t>
      </w:r>
    </w:p>
    <w:p>
      <w:pPr>
        <w:spacing w:after="0" w:line="44" w:lineRule="exact"/>
        <w:rPr>
          <w:sz w:val="20"/>
          <w:szCs w:val="20"/>
          <w:color w:val="auto"/>
        </w:rPr>
      </w:pPr>
    </w:p>
    <w:tbl>
      <w:tblPr>
        <w:tblLayout w:type="fixed"/>
        <w:tblInd w:w="3760" w:type="dxa"/>
        <w:tblCellMar>
          <w:top w:w="0" w:type="dxa"/>
          <w:left w:w="0" w:type="dxa"/>
          <w:bottom w:w="0" w:type="dxa"/>
          <w:right w:w="0" w:type="dxa"/>
        </w:tblCellMar>
      </w:tblPr>
      <w:tr>
        <w:trPr>
          <w:trHeight w:val="275"/>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5240" w:type="dxa"/>
            <w:vAlign w:val="bottom"/>
          </w:tcPr>
          <w:p>
            <w:pPr>
              <w:ind w:left="1380"/>
              <w:spacing w:after="0"/>
              <w:rPr>
                <w:sz w:val="20"/>
                <w:szCs w:val="20"/>
                <w:color w:val="auto"/>
              </w:rPr>
            </w:pPr>
            <w:r>
              <w:rPr>
                <w:rFonts w:ascii="Arial" w:cs="Arial" w:eastAsia="Arial" w:hAnsi="Arial"/>
                <w:sz w:val="22"/>
                <w:szCs w:val="22"/>
                <w:color w:val="auto"/>
              </w:rPr>
              <w:t>/s/  M. STEVEN BENDER</w:t>
            </w:r>
          </w:p>
        </w:tc>
        <w:tc>
          <w:tcPr>
            <w:tcW w:w="0" w:type="dxa"/>
            <w:vAlign w:val="bottom"/>
          </w:tcPr>
          <w:p>
            <w:pPr>
              <w:spacing w:after="0"/>
              <w:rPr>
                <w:sz w:val="1"/>
                <w:szCs w:val="1"/>
                <w:color w:val="auto"/>
              </w:rPr>
            </w:pPr>
          </w:p>
        </w:tc>
      </w:tr>
      <w:tr>
        <w:trPr>
          <w:trHeight w:val="422"/>
        </w:trPr>
        <w:tc>
          <w:tcPr>
            <w:tcW w:w="12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22"/>
                <w:szCs w:val="22"/>
                <w:color w:val="auto"/>
              </w:rPr>
              <w:t>Mark Steven Bender</w:t>
            </w:r>
          </w:p>
        </w:tc>
        <w:tc>
          <w:tcPr>
            <w:tcW w:w="0" w:type="dxa"/>
            <w:vAlign w:val="bottom"/>
          </w:tcPr>
          <w:p>
            <w:pPr>
              <w:spacing w:after="0"/>
              <w:rPr>
                <w:sz w:val="1"/>
                <w:szCs w:val="1"/>
                <w:color w:val="auto"/>
              </w:rPr>
            </w:pPr>
          </w:p>
        </w:tc>
      </w:tr>
      <w:tr>
        <w:trPr>
          <w:trHeight w:val="702"/>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5240" w:type="dxa"/>
            <w:vAlign w:val="bottom"/>
          </w:tcPr>
          <w:p>
            <w:pPr>
              <w:ind w:left="20"/>
              <w:spacing w:after="0"/>
              <w:rPr>
                <w:sz w:val="20"/>
                <w:szCs w:val="20"/>
                <w:color w:val="auto"/>
              </w:rPr>
            </w:pPr>
            <w:r>
              <w:rPr>
                <w:rFonts w:ascii="Arial" w:cs="Arial" w:eastAsia="Arial" w:hAnsi="Arial"/>
                <w:sz w:val="22"/>
                <w:szCs w:val="22"/>
                <w:color w:val="auto"/>
              </w:rPr>
              <w:t>Senior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80"/>
        <w:spacing w:after="0"/>
        <w:rPr>
          <w:sz w:val="20"/>
          <w:szCs w:val="20"/>
          <w:color w:val="auto"/>
        </w:rPr>
      </w:pPr>
      <w:r>
        <w:rPr>
          <w:rFonts w:ascii="Arial" w:cs="Arial" w:eastAsia="Arial" w:hAnsi="Arial"/>
          <w:sz w:val="22"/>
          <w:szCs w:val="22"/>
          <w:i w:val="1"/>
          <w:iCs w:val="1"/>
          <w:color w:val="auto"/>
        </w:rPr>
        <w:t>Signature Page to Amended and Restated Revolving Credit Agreement</w:t>
      </w:r>
    </w:p>
    <w:p>
      <w:pPr>
        <w:sectPr>
          <w:pgSz w:w="11900" w:h="16838" w:orient="portrait"/>
          <w:cols w:equalWidth="0" w:num="1">
            <w:col w:w="10220"/>
          </w:cols>
          <w:pgMar w:left="1440" w:top="753"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NOTICE OF BORROWING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Westlake Polymers LLC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Reference is made to that certain Amended and Restated Senior Unsecured Revolving Credit Agreement, dated as of June 1, 2017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by and among the lenders party hereto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Westlake Chemical OpCo LP, a Delaware limited partnership (the “</w:t>
      </w:r>
      <w:r>
        <w:rPr>
          <w:rFonts w:ascii="Arial" w:cs="Arial" w:eastAsia="Arial" w:hAnsi="Arial"/>
          <w:sz w:val="21"/>
          <w:szCs w:val="21"/>
          <w:u w:val="single" w:color="auto"/>
          <w:color w:val="auto"/>
        </w:rPr>
        <w:t>Borrower</w:t>
      </w:r>
      <w:r>
        <w:rPr>
          <w:rFonts w:ascii="Arial" w:cs="Arial" w:eastAsia="Arial" w:hAnsi="Arial"/>
          <w:sz w:val="21"/>
          <w:szCs w:val="21"/>
          <w:color w:val="auto"/>
        </w:rPr>
        <w:t>”) and Westlake Polymers LLC as administrative agent for the Lenders (in such capacity, together with its successors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Borrower hereby requests the following Loan under the Credit Agreement, and in that connection the Borrower specifies the following information with respect to such Loan:</w:t>
      </w:r>
    </w:p>
    <w:p>
      <w:pPr>
        <w:spacing w:after="0" w:line="175" w:lineRule="exact"/>
        <w:rPr>
          <w:sz w:val="20"/>
          <w:szCs w:val="20"/>
          <w:color w:val="auto"/>
        </w:rPr>
      </w:pPr>
    </w:p>
    <w:p>
      <w:pPr>
        <w:ind w:left="1300"/>
        <w:spacing w:after="0"/>
        <w:tabs>
          <w:tab w:leader="none" w:pos="1700" w:val="left"/>
          <w:tab w:leader="none" w:pos="3100" w:val="left"/>
        </w:tabs>
        <w:rPr>
          <w:sz w:val="20"/>
          <w:szCs w:val="20"/>
          <w:color w:val="auto"/>
        </w:rPr>
      </w:pPr>
      <w:r>
        <w:rPr>
          <w:rFonts w:ascii="Arial" w:cs="Arial" w:eastAsia="Arial" w:hAnsi="Arial"/>
          <w:sz w:val="22"/>
          <w:szCs w:val="22"/>
          <w:color w:val="auto"/>
        </w:rPr>
        <w:t>(a)</w:t>
        <w:tab/>
        <w:t>Tranche:</w:t>
      </w:r>
      <w:r>
        <w:rPr>
          <w:sz w:val="20"/>
          <w:szCs w:val="20"/>
          <w:color w:val="auto"/>
        </w:rPr>
        <w:tab/>
      </w:r>
      <w:r>
        <w:rPr>
          <w:rFonts w:ascii="Arial" w:cs="Arial" w:eastAsia="Arial" w:hAnsi="Arial"/>
          <w:sz w:val="19"/>
          <w:szCs w:val="19"/>
          <w:color w:val="auto"/>
        </w:rPr>
        <w:t>Tranche [A][B] Loan</w:t>
      </w:r>
    </w:p>
    <w:p>
      <w:pPr>
        <w:spacing w:after="0" w:line="233" w:lineRule="exact"/>
        <w:rPr>
          <w:sz w:val="20"/>
          <w:szCs w:val="20"/>
          <w:color w:val="auto"/>
        </w:rPr>
      </w:pPr>
    </w:p>
    <w:p>
      <w:pPr>
        <w:ind w:left="1740" w:hanging="435"/>
        <w:spacing w:after="0"/>
        <w:tabs>
          <w:tab w:leader="none" w:pos="17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Principal amount of Loan:   $[___________]</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Date of Loan:   [___________]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The Borrower hereby certifies that, at the time of and immediately after giving effect to the making of the requested Loan:</w:t>
      </w:r>
    </w:p>
    <w:p>
      <w:pPr>
        <w:spacing w:after="0" w:line="231" w:lineRule="exact"/>
        <w:rPr>
          <w:sz w:val="20"/>
          <w:szCs w:val="20"/>
          <w:color w:val="auto"/>
        </w:rPr>
      </w:pPr>
    </w:p>
    <w:p>
      <w:pPr>
        <w:ind w:left="1740" w:hanging="435"/>
        <w:spacing w:after="0"/>
        <w:tabs>
          <w:tab w:leader="none" w:pos="17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aggregate Outstanding Amount is not in excess of the Loan Commitment.</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No Default or Event of Default exists.</w:t>
      </w:r>
    </w:p>
    <w:p>
      <w:pPr>
        <w:spacing w:after="0" w:line="233" w:lineRule="exact"/>
        <w:rPr>
          <w:rFonts w:ascii="Arial" w:cs="Arial" w:eastAsia="Arial" w:hAnsi="Arial"/>
          <w:sz w:val="22"/>
          <w:szCs w:val="22"/>
          <w:color w:val="auto"/>
        </w:rPr>
      </w:pPr>
    </w:p>
    <w:p>
      <w:pPr>
        <w:ind w:left="1300" w:firstLine="5"/>
        <w:spacing w:after="0" w:line="276" w:lineRule="auto"/>
        <w:tabs>
          <w:tab w:leader="none" w:pos="1736" w:val="left"/>
        </w:tabs>
        <w:numPr>
          <w:ilvl w:val="0"/>
          <w:numId w:val="98"/>
        </w:numPr>
        <w:rPr>
          <w:rFonts w:ascii="Arial" w:cs="Arial" w:eastAsia="Arial" w:hAnsi="Arial"/>
          <w:sz w:val="22"/>
          <w:szCs w:val="22"/>
          <w:color w:val="auto"/>
        </w:rPr>
      </w:pPr>
      <w:r>
        <w:rPr>
          <w:rFonts w:ascii="Arial" w:cs="Arial" w:eastAsia="Arial" w:hAnsi="Arial"/>
          <w:sz w:val="22"/>
          <w:szCs w:val="22"/>
          <w:color w:val="auto"/>
        </w:rPr>
        <w:t>All representations and warranties of the Borrower set forth in the Loan Documents are true and correct in all material respects on and as of such date.</w:t>
      </w:r>
    </w:p>
    <w:p>
      <w:pPr>
        <w:sectPr>
          <w:pgSz w:w="11900" w:h="16838" w:orient="portrait"/>
          <w:cols w:equalWidth="0" w:num="1">
            <w:col w:w="11420"/>
          </w:cols>
          <w:pgMar w:left="240" w:top="598" w:right="2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has caused this Notice of Borrowing to be executed on the date first written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3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WESTLAKE CHEMICAL OPCO LP</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____________________________________</w:t>
      </w:r>
    </w:p>
    <w:p>
      <w:pPr>
        <w:spacing w:after="0" w:line="200" w:lineRule="exact"/>
        <w:rPr>
          <w:sz w:val="20"/>
          <w:szCs w:val="20"/>
          <w:color w:val="auto"/>
        </w:rPr>
      </w:pPr>
    </w:p>
    <w:p>
      <w:pPr>
        <w:spacing w:after="0" w:line="24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4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598" w:right="23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22"/>
          <w:szCs w:val="22"/>
          <w:b w:val="1"/>
          <w:bCs w:val="1"/>
          <w:u w:val="single" w:color="auto"/>
          <w:color w:val="auto"/>
        </w:rPr>
        <w:t>SCHEDULE 1</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 LOAN COMMITMENTS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 w:type="dxa"/>
            <w:vAlign w:val="bottom"/>
            <w:tcBorders>
              <w:top w:val="single" w:sz="8" w:color="00000A"/>
              <w:left w:val="single" w:sz="8" w:color="00000A"/>
            </w:tcBorders>
            <w:shd w:val="clear" w:color="auto" w:fill="D9D9D9"/>
          </w:tcPr>
          <w:p>
            <w:pPr>
              <w:spacing w:after="0"/>
              <w:rPr>
                <w:sz w:val="21"/>
                <w:szCs w:val="21"/>
                <w:color w:val="auto"/>
              </w:rPr>
            </w:pPr>
          </w:p>
        </w:tc>
        <w:tc>
          <w:tcPr>
            <w:tcW w:w="6700" w:type="dxa"/>
            <w:vAlign w:val="bottom"/>
            <w:tcBorders>
              <w:top w:val="single" w:sz="8" w:color="00000A"/>
              <w:right w:val="single" w:sz="8" w:color="00000A"/>
            </w:tcBorders>
            <w:gridSpan w:val="2"/>
            <w:shd w:val="clear" w:color="auto" w:fill="D9D9D9"/>
          </w:tcPr>
          <w:p>
            <w:pPr>
              <w:spacing w:after="0" w:line="243" w:lineRule="exact"/>
              <w:rPr>
                <w:sz w:val="20"/>
                <w:szCs w:val="20"/>
                <w:color w:val="auto"/>
              </w:rPr>
            </w:pPr>
            <w:r>
              <w:rPr>
                <w:rFonts w:ascii="Arial" w:cs="Arial" w:eastAsia="Arial" w:hAnsi="Arial"/>
                <w:sz w:val="22"/>
                <w:szCs w:val="22"/>
                <w:b w:val="1"/>
                <w:bCs w:val="1"/>
                <w:color w:val="auto"/>
              </w:rPr>
              <w:t>Lender</w:t>
            </w:r>
          </w:p>
        </w:tc>
        <w:tc>
          <w:tcPr>
            <w:tcW w:w="20" w:type="dxa"/>
            <w:vAlign w:val="bottom"/>
            <w:tcBorders>
              <w:top w:val="single" w:sz="8" w:color="00000A"/>
            </w:tcBorders>
            <w:shd w:val="clear" w:color="auto" w:fill="D9D9D9"/>
          </w:tcPr>
          <w:p>
            <w:pPr>
              <w:spacing w:after="0"/>
              <w:rPr>
                <w:sz w:val="21"/>
                <w:szCs w:val="21"/>
                <w:color w:val="auto"/>
              </w:rPr>
            </w:pPr>
          </w:p>
        </w:tc>
        <w:tc>
          <w:tcPr>
            <w:tcW w:w="3140" w:type="dxa"/>
            <w:vAlign w:val="bottom"/>
            <w:tcBorders>
              <w:top w:val="single" w:sz="8" w:color="00000A"/>
              <w:right w:val="single" w:sz="8" w:color="00000A"/>
            </w:tcBorders>
            <w:gridSpan w:val="2"/>
            <w:shd w:val="clear" w:color="auto" w:fill="D9D9D9"/>
          </w:tcPr>
          <w:p>
            <w:pPr>
              <w:spacing w:after="0" w:line="243" w:lineRule="exact"/>
              <w:rPr>
                <w:sz w:val="20"/>
                <w:szCs w:val="20"/>
                <w:color w:val="auto"/>
              </w:rPr>
            </w:pPr>
            <w:r>
              <w:rPr>
                <w:rFonts w:ascii="Arial" w:cs="Arial" w:eastAsia="Arial" w:hAnsi="Arial"/>
                <w:sz w:val="22"/>
                <w:szCs w:val="22"/>
                <w:b w:val="1"/>
                <w:bCs w:val="1"/>
                <w:color w:val="auto"/>
              </w:rPr>
              <w:t>Loan Commitment</w:t>
            </w:r>
          </w:p>
        </w:tc>
      </w:tr>
      <w:tr>
        <w:trPr>
          <w:trHeight w:val="75"/>
        </w:trPr>
        <w:tc>
          <w:tcPr>
            <w:tcW w:w="40" w:type="dxa"/>
            <w:vAlign w:val="bottom"/>
            <w:tcBorders>
              <w:top w:val="single" w:sz="8" w:color="D9D9D9"/>
              <w:left w:val="single" w:sz="8" w:color="00000A"/>
              <w:bottom w:val="single" w:sz="8" w:color="00000A"/>
            </w:tcBorders>
            <w:shd w:val="clear" w:color="auto" w:fill="D9D9D9"/>
          </w:tcPr>
          <w:p>
            <w:pPr>
              <w:spacing w:after="0"/>
              <w:rPr>
                <w:sz w:val="6"/>
                <w:szCs w:val="6"/>
                <w:color w:val="auto"/>
              </w:rPr>
            </w:pPr>
          </w:p>
        </w:tc>
        <w:tc>
          <w:tcPr>
            <w:tcW w:w="680" w:type="dxa"/>
            <w:vAlign w:val="bottom"/>
            <w:tcBorders>
              <w:top w:val="single" w:sz="8" w:color="auto"/>
              <w:bottom w:val="single" w:sz="8" w:color="00000A"/>
            </w:tcBorders>
            <w:shd w:val="clear" w:color="auto" w:fill="D9D9D9"/>
          </w:tcPr>
          <w:p>
            <w:pPr>
              <w:spacing w:after="0"/>
              <w:rPr>
                <w:sz w:val="6"/>
                <w:szCs w:val="6"/>
                <w:color w:val="auto"/>
              </w:rPr>
            </w:pPr>
          </w:p>
        </w:tc>
        <w:tc>
          <w:tcPr>
            <w:tcW w:w="6020" w:type="dxa"/>
            <w:vAlign w:val="bottom"/>
            <w:tcBorders>
              <w:top w:val="single" w:sz="8" w:color="D9D9D9"/>
              <w:bottom w:val="single" w:sz="8" w:color="00000A"/>
              <w:right w:val="single" w:sz="8" w:color="00000A"/>
            </w:tcBorders>
            <w:shd w:val="clear" w:color="auto" w:fill="D9D9D9"/>
          </w:tcPr>
          <w:p>
            <w:pPr>
              <w:spacing w:after="0"/>
              <w:rPr>
                <w:sz w:val="6"/>
                <w:szCs w:val="6"/>
                <w:color w:val="auto"/>
              </w:rPr>
            </w:pPr>
          </w:p>
        </w:tc>
        <w:tc>
          <w:tcPr>
            <w:tcW w:w="20" w:type="dxa"/>
            <w:vAlign w:val="bottom"/>
            <w:tcBorders>
              <w:top w:val="single" w:sz="8" w:color="D9D9D9"/>
              <w:bottom w:val="single" w:sz="8" w:color="00000A"/>
            </w:tcBorders>
            <w:shd w:val="clear" w:color="auto" w:fill="D9D9D9"/>
          </w:tcPr>
          <w:p>
            <w:pPr>
              <w:spacing w:after="0"/>
              <w:rPr>
                <w:sz w:val="6"/>
                <w:szCs w:val="6"/>
                <w:color w:val="auto"/>
              </w:rPr>
            </w:pPr>
          </w:p>
        </w:tc>
        <w:tc>
          <w:tcPr>
            <w:tcW w:w="1760" w:type="dxa"/>
            <w:vAlign w:val="bottom"/>
            <w:tcBorders>
              <w:top w:val="single" w:sz="8" w:color="auto"/>
              <w:bottom w:val="single" w:sz="8" w:color="00000A"/>
            </w:tcBorders>
            <w:shd w:val="clear" w:color="auto" w:fill="D9D9D9"/>
          </w:tcPr>
          <w:p>
            <w:pPr>
              <w:spacing w:after="0"/>
              <w:rPr>
                <w:sz w:val="6"/>
                <w:szCs w:val="6"/>
                <w:color w:val="auto"/>
              </w:rPr>
            </w:pPr>
          </w:p>
        </w:tc>
        <w:tc>
          <w:tcPr>
            <w:tcW w:w="1380" w:type="dxa"/>
            <w:vAlign w:val="bottom"/>
            <w:tcBorders>
              <w:top w:val="single" w:sz="8" w:color="D9D9D9"/>
              <w:bottom w:val="single" w:sz="8" w:color="00000A"/>
              <w:right w:val="single" w:sz="8" w:color="00000A"/>
            </w:tcBorders>
            <w:shd w:val="clear" w:color="auto" w:fill="D9D9D9"/>
          </w:tcPr>
          <w:p>
            <w:pPr>
              <w:spacing w:after="0"/>
              <w:rPr>
                <w:sz w:val="6"/>
                <w:szCs w:val="6"/>
                <w:color w:val="auto"/>
              </w:rPr>
            </w:pPr>
          </w:p>
        </w:tc>
      </w:tr>
      <w:tr>
        <w:trPr>
          <w:trHeight w:val="284"/>
        </w:trPr>
        <w:tc>
          <w:tcPr>
            <w:tcW w:w="40" w:type="dxa"/>
            <w:vAlign w:val="bottom"/>
            <w:tcBorders>
              <w:left w:val="single" w:sz="8" w:color="00000A"/>
              <w:bottom w:val="single" w:sz="8" w:color="00000A"/>
            </w:tcBorders>
          </w:tcPr>
          <w:p>
            <w:pPr>
              <w:spacing w:after="0"/>
              <w:rPr>
                <w:sz w:val="24"/>
                <w:szCs w:val="24"/>
                <w:color w:val="auto"/>
              </w:rPr>
            </w:pPr>
          </w:p>
        </w:tc>
        <w:tc>
          <w:tcPr>
            <w:tcW w:w="670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Westlake Development Corporation</w:t>
            </w:r>
          </w:p>
        </w:tc>
        <w:tc>
          <w:tcPr>
            <w:tcW w:w="178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$600,000,000</w:t>
            </w:r>
          </w:p>
        </w:tc>
        <w:tc>
          <w:tcPr>
            <w:tcW w:w="1380" w:type="dxa"/>
            <w:vAlign w:val="bottom"/>
            <w:tcBorders>
              <w:bottom w:val="single" w:sz="8" w:color="00000A"/>
              <w:right w:val="single" w:sz="8" w:color="00000A"/>
            </w:tcBorders>
          </w:tcPr>
          <w:p>
            <w:pPr>
              <w:spacing w:after="0"/>
              <w:rPr>
                <w:sz w:val="24"/>
                <w:szCs w:val="24"/>
                <w:color w:val="auto"/>
              </w:rPr>
            </w:pPr>
          </w:p>
        </w:tc>
      </w:tr>
    </w:tbl>
    <w:p>
      <w:pPr>
        <w:sectPr>
          <w:pgSz w:w="11900" w:h="16838" w:orient="portrait"/>
          <w:cols w:equalWidth="0" w:num="1">
            <w:col w:w="9880"/>
          </w:cols>
          <w:pgMar w:left="1020" w:top="598" w:right="9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WESTLAKE CHEMICAL PARTNERS LP</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Units Representing Limited Partner Interests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Having an Aggregate Offering Price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 to $50,000,000</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EQUITY DISTRIBUTION AGREEMENT</w:t>
      </w:r>
    </w:p>
    <w:p>
      <w:pPr>
        <w:spacing w:after="0" w:line="266" w:lineRule="exact"/>
        <w:rPr>
          <w:sz w:val="20"/>
          <w:szCs w:val="20"/>
          <w:color w:val="auto"/>
        </w:rPr>
      </w:pPr>
    </w:p>
    <w:p>
      <w:pPr>
        <w:ind w:left="9820"/>
        <w:spacing w:after="0"/>
        <w:rPr>
          <w:sz w:val="20"/>
          <w:szCs w:val="20"/>
          <w:color w:val="auto"/>
        </w:rPr>
      </w:pPr>
      <w:r>
        <w:rPr>
          <w:rFonts w:ascii="Arial" w:cs="Arial" w:eastAsia="Arial" w:hAnsi="Arial"/>
          <w:sz w:val="19"/>
          <w:szCs w:val="19"/>
          <w:color w:val="auto"/>
        </w:rPr>
        <w:t>February 28, 2020</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UBS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BARCLAYS CAPITAL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DEUTSCHE BANK SECURITIES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RBC CAPITAL MARKETS,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WELLS FARGO SECURITIES, LLC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 UBS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1285 Avenue of the Americas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10019</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First Amendment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to the Equity Distribution Agreement, dated as of October 4, 2018 (the “</w:t>
      </w:r>
      <w:r>
        <w:rPr>
          <w:rFonts w:ascii="Arial" w:cs="Arial" w:eastAsia="Arial" w:hAnsi="Arial"/>
          <w:sz w:val="19"/>
          <w:szCs w:val="19"/>
          <w:b w:val="1"/>
          <w:bCs w:val="1"/>
          <w:i w:val="1"/>
          <w:iCs w:val="1"/>
          <w:color w:val="auto"/>
        </w:rPr>
        <w:t>Equity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Distribution Agreement</w:t>
      </w:r>
      <w:r>
        <w:rPr>
          <w:rFonts w:ascii="Arial" w:cs="Arial" w:eastAsia="Arial" w:hAnsi="Arial"/>
          <w:sz w:val="19"/>
          <w:szCs w:val="19"/>
          <w:color w:val="auto"/>
        </w:rPr>
        <w:t>”), by and among Westlake Chemical Partners LP, a Delaware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Westlake Chemical Partners GP LLC, a Delaware limited liability company and the sole general partner of the Partnership (the “</w:t>
      </w:r>
      <w:r>
        <w:rPr>
          <w:rFonts w:ascii="Arial" w:cs="Arial" w:eastAsia="Arial" w:hAnsi="Arial"/>
          <w:sz w:val="19"/>
          <w:szCs w:val="19"/>
          <w:b w:val="1"/>
          <w:bCs w:val="1"/>
          <w:i w:val="1"/>
          <w:iCs w:val="1"/>
          <w:color w:val="auto"/>
        </w:rPr>
        <w:t>General Partner</w:t>
      </w:r>
      <w:r>
        <w:rPr>
          <w:rFonts w:ascii="Arial" w:cs="Arial" w:eastAsia="Arial" w:hAnsi="Arial"/>
          <w:sz w:val="19"/>
          <w:szCs w:val="19"/>
          <w:color w:val="auto"/>
        </w:rPr>
        <w:t>” and, together with the Partnership, the “</w:t>
      </w:r>
      <w:r>
        <w:rPr>
          <w:rFonts w:ascii="Arial" w:cs="Arial" w:eastAsia="Arial" w:hAnsi="Arial"/>
          <w:sz w:val="19"/>
          <w:szCs w:val="19"/>
          <w:b w:val="1"/>
          <w:bCs w:val="1"/>
          <w:i w:val="1"/>
          <w:iCs w:val="1"/>
          <w:color w:val="auto"/>
        </w:rPr>
        <w:t>Partnership Parties</w:t>
      </w:r>
      <w:r>
        <w:rPr>
          <w:rFonts w:ascii="Arial" w:cs="Arial" w:eastAsia="Arial" w:hAnsi="Arial"/>
          <w:sz w:val="19"/>
          <w:szCs w:val="19"/>
          <w:color w:val="auto"/>
        </w:rPr>
        <w:t>”), UBS Securities LLC, Barclays Capital Inc., BofA Securities, Inc., Citigroup Global Markets Inc., Deutsche Bank Securities Inc., RBC Capital Markets, LLC and Wells Fargo Securities, LLC (each, a “</w:t>
      </w:r>
      <w:r>
        <w:rPr>
          <w:rFonts w:ascii="Arial" w:cs="Arial" w:eastAsia="Arial" w:hAnsi="Arial"/>
          <w:sz w:val="19"/>
          <w:szCs w:val="19"/>
          <w:b w:val="1"/>
          <w:bCs w:val="1"/>
          <w:i w:val="1"/>
          <w:iCs w:val="1"/>
          <w:color w:val="auto"/>
        </w:rPr>
        <w:t>Manager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Managers</w:t>
      </w:r>
      <w:r>
        <w:rPr>
          <w:rFonts w:ascii="Arial" w:cs="Arial" w:eastAsia="Arial" w:hAnsi="Arial"/>
          <w:sz w:val="19"/>
          <w:szCs w:val="19"/>
          <w:color w:val="auto"/>
        </w:rPr>
        <w:t>”), is being made and entered into as of the date first set forth above by the Partnership Parties and the Managers. Capitalized terms used but not otherwise defined herein shall have the respective meanings ascribed to them in the Equity Distribution Agreement.</w:t>
      </w:r>
    </w:p>
    <w:p>
      <w:pPr>
        <w:spacing w:after="0" w:line="15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each of the Partnership Parties and the Managers, by executing this agreement, hereby consent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of the Equity Distribution Agreement, on the terms and conditions set forth herein.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promises contained herein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is hereby acknowledged, each of the Partnership Parties and the Managers agree as follows:</w:t>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94" w:right="239" w:bottom="1440" w:gutter="0" w:footer="0" w:header="0"/>
        </w:sectPr>
      </w:pPr>
    </w:p>
    <w:bookmarkStart w:id="138" w:name="page139"/>
    <w:bookmarkEnd w:id="138"/>
    <w:p>
      <w:pPr>
        <w:spacing w:after="0"/>
        <w:tabs>
          <w:tab w:leader="none" w:pos="2400" w:val="left"/>
        </w:tabs>
        <w:rPr>
          <w:sz w:val="20"/>
          <w:szCs w:val="20"/>
          <w:color w:val="auto"/>
        </w:rPr>
      </w:pPr>
      <w:r>
        <w:rPr>
          <w:rFonts w:ascii="Arial" w:cs="Arial" w:eastAsia="Arial" w:hAnsi="Arial"/>
          <w:sz w:val="22"/>
          <w:szCs w:val="22"/>
          <w:color w:val="010000"/>
        </w:rPr>
        <w:t>SECTION 1.</w:t>
      </w:r>
      <w:r>
        <w:rPr>
          <w:sz w:val="20"/>
          <w:szCs w:val="20"/>
          <w:color w:val="auto"/>
        </w:rPr>
        <w:tab/>
      </w:r>
      <w:r>
        <w:rPr>
          <w:rFonts w:ascii="Arial" w:cs="Arial" w:eastAsia="Arial" w:hAnsi="Arial"/>
          <w:sz w:val="19"/>
          <w:szCs w:val="19"/>
          <w:i w:val="1"/>
          <w:iCs w:val="1"/>
          <w:color w:val="auto"/>
        </w:rPr>
        <w:t>Amendment to Equity Distribution Agreement</w:t>
      </w:r>
      <w:r>
        <w:rPr>
          <w:rFonts w:ascii="Arial" w:cs="Arial" w:eastAsia="Arial" w:hAnsi="Arial"/>
          <w:sz w:val="19"/>
          <w:szCs w:val="19"/>
          <w:color w:val="auto"/>
        </w:rPr>
        <w:t>.</w:t>
      </w:r>
    </w:p>
    <w:p>
      <w:pPr>
        <w:spacing w:after="0" w:line="206" w:lineRule="exact"/>
        <w:rPr>
          <w:sz w:val="20"/>
          <w:szCs w:val="20"/>
          <w:color w:val="auto"/>
        </w:rPr>
      </w:pPr>
    </w:p>
    <w:p>
      <w:pPr>
        <w:ind w:right="20" w:firstLine="645"/>
        <w:spacing w:after="0" w:line="276" w:lineRule="auto"/>
        <w:tabs>
          <w:tab w:leader="none" w:pos="1217"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The third sentence of the first paragraph of Section 2(a) of the Equity Distribution Agreement is hereby amended and restated in its entirety as follows:</w:t>
      </w:r>
    </w:p>
    <w:p>
      <w:pPr>
        <w:spacing w:after="0" w:line="161" w:lineRule="exact"/>
        <w:rPr>
          <w:sz w:val="20"/>
          <w:szCs w:val="20"/>
          <w:color w:val="auto"/>
        </w:rPr>
      </w:pPr>
    </w:p>
    <w:p>
      <w:pPr>
        <w:jc w:val="both"/>
        <w:ind w:left="640"/>
        <w:spacing w:after="0" w:line="288" w:lineRule="auto"/>
        <w:rPr>
          <w:sz w:val="20"/>
          <w:szCs w:val="20"/>
          <w:color w:val="auto"/>
        </w:rPr>
      </w:pPr>
      <w:r>
        <w:rPr>
          <w:rFonts w:ascii="Arial" w:cs="Arial" w:eastAsia="Arial" w:hAnsi="Arial"/>
          <w:sz w:val="19"/>
          <w:szCs w:val="19"/>
          <w:color w:val="auto"/>
        </w:rPr>
        <w:t>“Except where the context otherwise requires,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xml:space="preserve">,” as used herein, means the registration statement, as amended at the time of such registration statement’s effectiveness for purposes of Section 11 of the Securities Act, as such section applies to the Managers, including (1) all documents filed as a part thereof or incorporated or deemed to be incorporated by reference therein, (2) any information contained or incorporated by reference in a prospectus filed with the Commission pursuant to Rule 424(b) under the Securities Act, to the extent such information is deemed, pursuant to Rule 430B or Rule 430C under the Securities Act, to be part of the registration statement at the time of such registration statement’s effectiveness for purposes of Section 11 of the Securities Act, as such section applies to the Managers, (3) any registration statement filed to register the offer and sale of Units pursuant to Rule 462(b) under the Securities Act and (4) any new registration statement as may have been filed and taken effective pursuant to </w:t>
      </w:r>
      <w:r>
        <w:rPr>
          <w:rFonts w:ascii="Arial" w:cs="Arial" w:eastAsia="Arial" w:hAnsi="Arial"/>
          <w:sz w:val="19"/>
          <w:szCs w:val="19"/>
          <w:u w:val="single" w:color="auto"/>
          <w:color w:val="auto"/>
        </w:rPr>
        <w:t>Section 4(bb)</w:t>
      </w:r>
      <w:r>
        <w:rPr>
          <w:rFonts w:ascii="Arial" w:cs="Arial" w:eastAsia="Arial" w:hAnsi="Arial"/>
          <w:sz w:val="19"/>
          <w:szCs w:val="19"/>
          <w:color w:val="auto"/>
        </w:rPr>
        <w:t xml:space="preserve"> of this Agreement.”</w:t>
      </w:r>
    </w:p>
    <w:p>
      <w:pPr>
        <w:spacing w:after="0" w:line="160" w:lineRule="exact"/>
        <w:rPr>
          <w:sz w:val="20"/>
          <w:szCs w:val="20"/>
          <w:color w:val="auto"/>
        </w:rPr>
      </w:pPr>
    </w:p>
    <w:p>
      <w:pPr>
        <w:ind w:firstLine="645"/>
        <w:spacing w:after="0" w:line="276" w:lineRule="auto"/>
        <w:tabs>
          <w:tab w:leader="none" w:pos="1202"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The eighth sentence of the first paragraph of Section 2(a) of the Equity Distribution Agreement is hereby amended and restated in its entirety as follows:</w:t>
      </w:r>
    </w:p>
    <w:p>
      <w:pPr>
        <w:spacing w:after="0" w:line="161" w:lineRule="exact"/>
        <w:rPr>
          <w:sz w:val="20"/>
          <w:szCs w:val="20"/>
          <w:color w:val="auto"/>
        </w:rPr>
      </w:pPr>
    </w:p>
    <w:p>
      <w:pPr>
        <w:jc w:val="both"/>
        <w:ind w:left="640"/>
        <w:spacing w:after="0" w:line="290" w:lineRule="auto"/>
        <w:rPr>
          <w:sz w:val="20"/>
          <w:szCs w:val="20"/>
          <w:color w:val="auto"/>
        </w:rPr>
      </w:pPr>
      <w:r>
        <w:rPr>
          <w:rFonts w:ascii="Arial" w:cs="Arial" w:eastAsia="Arial" w:hAnsi="Arial"/>
          <w:sz w:val="19"/>
          <w:szCs w:val="19"/>
          <w:color w:val="auto"/>
        </w:rPr>
        <w:t>“Notwithstanding the foregoing, if any revised registration statement, base prospectus, prospectus supplement or prospectus shall be provided to the Managers by the Partnership for use in connection with the offering and sale of the Units that differs from the Registration Statement, Base Prospectus, Prospectus Supplement or Prospectus, as the case may be (whether or not such revised registration statement, base prospectus, prospectus supplement or prospectus is required to be filed by the Partnership pursuant to Rule 424(b) under the Securities Act), the terms “Registration Statement,” “Base Prospectus,” “Prospectus Supplement” and “Prospectus” shall refer to such revised registration statement, base prospectus, prospectus supplement or prospectus, as the case may be, from and after the time it is first provided to the Managers for such use.”</w:t>
      </w:r>
    </w:p>
    <w:p>
      <w:pPr>
        <w:spacing w:after="0" w:line="157" w:lineRule="exact"/>
        <w:rPr>
          <w:sz w:val="20"/>
          <w:szCs w:val="20"/>
          <w:color w:val="auto"/>
        </w:rPr>
      </w:pPr>
    </w:p>
    <w:p>
      <w:pPr>
        <w:ind w:left="1100" w:hanging="455"/>
        <w:spacing w:after="0"/>
        <w:tabs>
          <w:tab w:leader="none" w:pos="1100"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Section 4 of the Equity Distribution Agreement is hereby amended and supplemented by adding the following</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u w:val="single" w:color="auto"/>
          <w:color w:val="auto"/>
        </w:rPr>
        <w:t>clause (bb)</w:t>
      </w:r>
      <w:r>
        <w:rPr>
          <w:rFonts w:ascii="Arial" w:cs="Arial" w:eastAsia="Arial" w:hAnsi="Arial"/>
          <w:sz w:val="22"/>
          <w:szCs w:val="22"/>
          <w:color w:val="auto"/>
        </w:rPr>
        <w:t>:</w:t>
      </w:r>
    </w:p>
    <w:p>
      <w:pPr>
        <w:spacing w:after="0" w:line="215" w:lineRule="exact"/>
        <w:rPr>
          <w:sz w:val="20"/>
          <w:szCs w:val="20"/>
          <w:color w:val="auto"/>
        </w:rPr>
      </w:pPr>
    </w:p>
    <w:p>
      <w:pPr>
        <w:jc w:val="both"/>
        <w:ind w:left="640"/>
        <w:spacing w:after="0" w:line="294" w:lineRule="auto"/>
        <w:rPr>
          <w:sz w:val="20"/>
          <w:szCs w:val="20"/>
          <w:color w:val="auto"/>
        </w:rPr>
      </w:pPr>
      <w:r>
        <w:rPr>
          <w:rFonts w:ascii="Arial" w:cs="Arial" w:eastAsia="Arial" w:hAnsi="Arial"/>
          <w:sz w:val="19"/>
          <w:szCs w:val="19"/>
          <w:color w:val="auto"/>
        </w:rPr>
        <w:t xml:space="preserve">“(bb) </w:t>
      </w:r>
      <w:r>
        <w:rPr>
          <w:rFonts w:ascii="Arial" w:cs="Arial" w:eastAsia="Arial" w:hAnsi="Arial"/>
          <w:sz w:val="19"/>
          <w:szCs w:val="19"/>
          <w:i w:val="1"/>
          <w:iCs w:val="1"/>
          <w:color w:val="auto"/>
        </w:rPr>
        <w:t>Renewal of Registration Statement</w:t>
      </w:r>
      <w:r>
        <w:rPr>
          <w:rFonts w:ascii="Arial" w:cs="Arial" w:eastAsia="Arial" w:hAnsi="Arial"/>
          <w:sz w:val="19"/>
          <w:szCs w:val="19"/>
          <w:color w:val="auto"/>
        </w:rPr>
        <w:t>. If, prior to the third anniversary (the “</w:t>
      </w:r>
      <w:r>
        <w:rPr>
          <w:rFonts w:ascii="Arial" w:cs="Arial" w:eastAsia="Arial" w:hAnsi="Arial"/>
          <w:sz w:val="19"/>
          <w:szCs w:val="19"/>
          <w:b w:val="1"/>
          <w:bCs w:val="1"/>
          <w:i w:val="1"/>
          <w:iCs w:val="1"/>
          <w:color w:val="auto"/>
        </w:rPr>
        <w:t>Renewal Deadline</w:t>
      </w:r>
      <w:r>
        <w:rPr>
          <w:rFonts w:ascii="Arial" w:cs="Arial" w:eastAsia="Arial" w:hAnsi="Arial"/>
          <w:sz w:val="19"/>
          <w:szCs w:val="19"/>
          <w:color w:val="auto"/>
        </w:rPr>
        <w:t>”) of the initial effective date of the Registration Statement, any of the Units remain unsold by the Managers, the Partnership may, in its sole discretion, file, prior to the Renewal Deadline, and cause to become effective a new shelf registration statement relating to, among other things, the Units, and file, following the effectiveness of such new shelf registration statement, a new prospectus supplement relating to the Units, in each case in a form reasonably satisfactory to the Managers. For avoidance of doubt, references herein to the “Registration</w:t>
      </w:r>
    </w:p>
    <w:p>
      <w:pPr>
        <w:spacing w:after="0" w:line="36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321" w:right="239" w:bottom="1440" w:gutter="0" w:footer="0" w:header="0"/>
        </w:sectPr>
      </w:pPr>
    </w:p>
    <w:bookmarkStart w:id="139" w:name="page140"/>
    <w:bookmarkEnd w:id="139"/>
    <w:p>
      <w:pPr>
        <w:ind w:left="1300"/>
        <w:spacing w:after="0" w:line="263" w:lineRule="auto"/>
        <w:rPr>
          <w:sz w:val="20"/>
          <w:szCs w:val="20"/>
          <w:color w:val="auto"/>
        </w:rPr>
      </w:pPr>
      <w:r>
        <w:rPr>
          <w:rFonts w:ascii="Arial" w:cs="Arial" w:eastAsia="Arial" w:hAnsi="Arial"/>
          <w:sz w:val="22"/>
          <w:szCs w:val="22"/>
          <w:color w:val="auto"/>
        </w:rPr>
        <w:t>Statement” shall include such new shelf registration statement and references herein to the “Prospectus Supplement” shall include such new prospectus supplement.”</w:t>
      </w:r>
    </w:p>
    <w:p>
      <w:pPr>
        <w:spacing w:after="0" w:line="175" w:lineRule="exact"/>
        <w:rPr>
          <w:sz w:val="20"/>
          <w:szCs w:val="20"/>
          <w:color w:val="auto"/>
        </w:rPr>
      </w:pPr>
    </w:p>
    <w:p>
      <w:pPr>
        <w:ind w:left="1300" w:right="160" w:firstLine="5"/>
        <w:spacing w:after="0" w:line="454" w:lineRule="auto"/>
        <w:tabs>
          <w:tab w:leader="none" w:pos="1732"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 xml:space="preserve">The following Section 24 is hereby added immediately after Section 23 of the Equity Distribution Agreement: “24. </w:t>
      </w:r>
      <w:r>
        <w:rPr>
          <w:rFonts w:ascii="Arial" w:cs="Arial" w:eastAsia="Arial" w:hAnsi="Arial"/>
          <w:sz w:val="22"/>
          <w:szCs w:val="22"/>
          <w:i w:val="1"/>
          <w:iCs w:val="1"/>
          <w:color w:val="auto"/>
        </w:rPr>
        <w:t>Recognition of the U.S. Special Resolution Regimes</w:t>
      </w:r>
      <w:r>
        <w:rPr>
          <w:rFonts w:ascii="Arial" w:cs="Arial" w:eastAsia="Arial" w:hAnsi="Arial"/>
          <w:sz w:val="22"/>
          <w:szCs w:val="22"/>
          <w:color w:val="auto"/>
        </w:rPr>
        <w:t>.</w:t>
      </w:r>
    </w:p>
    <w:p>
      <w:pPr>
        <w:spacing w:after="0" w:line="1" w:lineRule="exact"/>
        <w:rPr>
          <w:rFonts w:ascii="Arial" w:cs="Arial" w:eastAsia="Arial" w:hAnsi="Arial"/>
          <w:sz w:val="22"/>
          <w:szCs w:val="22"/>
          <w:color w:val="010000"/>
        </w:rPr>
      </w:pPr>
    </w:p>
    <w:p>
      <w:pPr>
        <w:jc w:val="both"/>
        <w:ind w:left="1300" w:firstLine="653"/>
        <w:spacing w:after="0" w:line="248" w:lineRule="auto"/>
        <w:tabs>
          <w:tab w:leader="none" w:pos="2268" w:val="left"/>
        </w:tabs>
        <w:numPr>
          <w:ilvl w:val="1"/>
          <w:numId w:val="102"/>
        </w:numPr>
        <w:rPr>
          <w:rFonts w:ascii="Arial" w:cs="Arial" w:eastAsia="Arial" w:hAnsi="Arial"/>
          <w:sz w:val="22"/>
          <w:szCs w:val="22"/>
          <w:color w:val="auto"/>
        </w:rPr>
      </w:pPr>
      <w:r>
        <w:rPr>
          <w:rFonts w:ascii="Arial" w:cs="Arial" w:eastAsia="Arial" w:hAnsi="Arial"/>
          <w:sz w:val="22"/>
          <w:szCs w:val="22"/>
          <w:color w:val="auto"/>
        </w:rPr>
        <w:t>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92" w:lineRule="exact"/>
        <w:rPr>
          <w:rFonts w:ascii="Arial" w:cs="Arial" w:eastAsia="Arial" w:hAnsi="Arial"/>
          <w:sz w:val="22"/>
          <w:szCs w:val="22"/>
          <w:color w:val="auto"/>
        </w:rPr>
      </w:pPr>
    </w:p>
    <w:p>
      <w:pPr>
        <w:jc w:val="both"/>
        <w:ind w:left="1300" w:firstLine="653"/>
        <w:spacing w:after="0" w:line="248" w:lineRule="auto"/>
        <w:tabs>
          <w:tab w:leader="none" w:pos="22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92" w:lineRule="exact"/>
        <w:rPr>
          <w:sz w:val="20"/>
          <w:szCs w:val="20"/>
          <w:color w:val="auto"/>
        </w:rPr>
      </w:pPr>
    </w:p>
    <w:p>
      <w:pPr>
        <w:jc w:val="both"/>
        <w:ind w:left="1300"/>
        <w:spacing w:after="0" w:line="259" w:lineRule="auto"/>
        <w:rPr>
          <w:sz w:val="20"/>
          <w:szCs w:val="20"/>
          <w:color w:val="auto"/>
        </w:rPr>
      </w:pPr>
      <w:r>
        <w:rPr>
          <w:rFonts w:ascii="Arial" w:cs="Arial" w:eastAsia="Arial" w:hAnsi="Arial"/>
          <w:sz w:val="21"/>
          <w:szCs w:val="21"/>
          <w:color w:val="auto"/>
        </w:rPr>
        <w:t>As used in this Section 24, “</w:t>
      </w:r>
      <w:r>
        <w:rPr>
          <w:rFonts w:ascii="Arial" w:cs="Arial" w:eastAsia="Arial" w:hAnsi="Arial"/>
          <w:sz w:val="21"/>
          <w:szCs w:val="21"/>
          <w:b w:val="1"/>
          <w:bCs w:val="1"/>
          <w:i w:val="1"/>
          <w:iCs w:val="1"/>
          <w:color w:val="auto"/>
        </w:rPr>
        <w:t>BHC Act Affiliate</w:t>
      </w:r>
      <w:r>
        <w:rPr>
          <w:rFonts w:ascii="Arial" w:cs="Arial" w:eastAsia="Arial" w:hAnsi="Arial"/>
          <w:sz w:val="21"/>
          <w:szCs w:val="21"/>
          <w:color w:val="auto"/>
        </w:rPr>
        <w:t>” has the meaning assigned to the term “affiliate” in, and shall be interpreted in accordance with, 12 U.S.C. § 1841(k); “</w:t>
      </w:r>
      <w:r>
        <w:rPr>
          <w:rFonts w:ascii="Arial" w:cs="Arial" w:eastAsia="Arial" w:hAnsi="Arial"/>
          <w:sz w:val="21"/>
          <w:szCs w:val="21"/>
          <w:b w:val="1"/>
          <w:bCs w:val="1"/>
          <w:i w:val="1"/>
          <w:iCs w:val="1"/>
          <w:color w:val="auto"/>
        </w:rPr>
        <w:t>Covered Entity</w:t>
      </w:r>
      <w:r>
        <w:rPr>
          <w:rFonts w:ascii="Arial" w:cs="Arial" w:eastAsia="Arial" w:hAnsi="Arial"/>
          <w:sz w:val="21"/>
          <w:szCs w:val="21"/>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21"/>
          <w:szCs w:val="21"/>
          <w:b w:val="1"/>
          <w:bCs w:val="1"/>
          <w:i w:val="1"/>
          <w:iCs w:val="1"/>
          <w:color w:val="auto"/>
        </w:rPr>
        <w:t>Default Right</w:t>
      </w:r>
      <w:r>
        <w:rPr>
          <w:rFonts w:ascii="Arial" w:cs="Arial" w:eastAsia="Arial" w:hAnsi="Arial"/>
          <w:sz w:val="21"/>
          <w:szCs w:val="21"/>
          <w:color w:val="auto"/>
        </w:rPr>
        <w:t>” has the meaning assigned to that term in, and shall be interpreted in accordance with, 12 C.F.R. §§ 252.81, 47.2 or 382.1, as applicable; and “</w:t>
      </w:r>
      <w:r>
        <w:rPr>
          <w:rFonts w:ascii="Arial" w:cs="Arial" w:eastAsia="Arial" w:hAnsi="Arial"/>
          <w:sz w:val="21"/>
          <w:szCs w:val="21"/>
          <w:b w:val="1"/>
          <w:bCs w:val="1"/>
          <w:i w:val="1"/>
          <w:iCs w:val="1"/>
          <w:color w:val="auto"/>
        </w:rPr>
        <w:t>U.S.</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Special Resolution Regime</w:t>
      </w:r>
      <w:r>
        <w:rPr>
          <w:rFonts w:ascii="Arial" w:cs="Arial" w:eastAsia="Arial" w:hAnsi="Arial"/>
          <w:sz w:val="21"/>
          <w:szCs w:val="21"/>
          <w:color w:val="auto"/>
        </w:rPr>
        <w:t>” means each of (i) the Federal Deposit Insurance Act and the regulations promulgated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thereunder and (ii) Title II of the Dodd-Frank Wall Street Reform and Consumer Protection Act and the regulations promulgated thereunder.”</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SECTION 2. </w:t>
      </w:r>
      <w:r>
        <w:rPr>
          <w:rFonts w:ascii="Arial" w:cs="Arial" w:eastAsia="Arial" w:hAnsi="Arial"/>
          <w:sz w:val="22"/>
          <w:szCs w:val="22"/>
          <w:i w:val="1"/>
          <w:iCs w:val="1"/>
          <w:color w:val="000000"/>
        </w:rPr>
        <w:t>Counterparts</w:t>
      </w:r>
      <w:r>
        <w:rPr>
          <w:rFonts w:ascii="Arial" w:cs="Arial" w:eastAsia="Arial" w:hAnsi="Arial"/>
          <w:sz w:val="22"/>
          <w:szCs w:val="22"/>
          <w:color w:val="000000"/>
        </w:rPr>
        <w:t>. This Amendment may be signed by the parties in one or more counterparts which together</w:t>
      </w:r>
      <w:r>
        <w:rPr>
          <w:rFonts w:ascii="Arial" w:cs="Arial" w:eastAsia="Arial" w:hAnsi="Arial"/>
          <w:sz w:val="22"/>
          <w:szCs w:val="22"/>
          <w:color w:val="010000"/>
        </w:rPr>
        <w:t xml:space="preserve"> </w:t>
      </w:r>
      <w:r>
        <w:rPr>
          <w:rFonts w:ascii="Arial" w:cs="Arial" w:eastAsia="Arial" w:hAnsi="Arial"/>
          <w:sz w:val="22"/>
          <w:szCs w:val="22"/>
          <w:color w:val="000000"/>
        </w:rPr>
        <w:t>shall constitute one and the same agreement among the parties.</w:t>
      </w:r>
    </w:p>
    <w:p>
      <w:pPr>
        <w:spacing w:after="0" w:line="16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010000"/>
        </w:rPr>
        <w:t xml:space="preserve">SECTION 3. </w:t>
      </w:r>
      <w:r>
        <w:rPr>
          <w:rFonts w:ascii="Arial" w:cs="Arial" w:eastAsia="Arial" w:hAnsi="Arial"/>
          <w:sz w:val="19"/>
          <w:szCs w:val="19"/>
          <w:i w:val="1"/>
          <w:iCs w:val="1"/>
          <w:color w:val="000000"/>
        </w:rPr>
        <w:t>Effect on Agreement</w:t>
      </w:r>
      <w:r>
        <w:rPr>
          <w:rFonts w:ascii="Arial" w:cs="Arial" w:eastAsia="Arial" w:hAnsi="Arial"/>
          <w:sz w:val="19"/>
          <w:szCs w:val="19"/>
          <w:color w:val="000000"/>
        </w:rPr>
        <w:t>. Except as specifically modified herein, the Equity Distribution Agreement shall</w:t>
      </w:r>
      <w:r>
        <w:rPr>
          <w:rFonts w:ascii="Arial" w:cs="Arial" w:eastAsia="Arial" w:hAnsi="Arial"/>
          <w:sz w:val="19"/>
          <w:szCs w:val="19"/>
          <w:color w:val="010000"/>
        </w:rPr>
        <w:t xml:space="preserve"> </w:t>
      </w:r>
      <w:r>
        <w:rPr>
          <w:rFonts w:ascii="Arial" w:cs="Arial" w:eastAsia="Arial" w:hAnsi="Arial"/>
          <w:sz w:val="19"/>
          <w:szCs w:val="19"/>
          <w:color w:val="000000"/>
        </w:rPr>
        <w:t>continue to be in full force and effect. The execution and delivery of this Amendment shall not, except as expressly provided herein, operate as a waiver of any right, power or remedy of any party thereto. From and after the date hereof, all references in the Equity Distribution Agreement to the “Agreement” shall mean the Equity Distribution Agreement as modified by this Amendment.</w:t>
      </w:r>
    </w:p>
    <w:p>
      <w:pPr>
        <w:spacing w:after="0" w:line="35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48" w:right="239" w:bottom="1440" w:gutter="0" w:footer="0" w:header="0"/>
        </w:sectPr>
      </w:pPr>
    </w:p>
    <w:bookmarkStart w:id="140" w:name="page141"/>
    <w:bookmarkEnd w:id="140"/>
    <w:p>
      <w:pPr>
        <w:ind w:firstLine="648"/>
        <w:spacing w:after="0" w:line="276" w:lineRule="auto"/>
        <w:rPr>
          <w:sz w:val="20"/>
          <w:szCs w:val="20"/>
          <w:color w:val="auto"/>
        </w:rPr>
      </w:pPr>
      <w:r>
        <w:rPr>
          <w:rFonts w:ascii="Arial" w:cs="Arial" w:eastAsia="Arial" w:hAnsi="Arial"/>
          <w:sz w:val="22"/>
          <w:szCs w:val="22"/>
          <w:color w:val="010000"/>
        </w:rPr>
        <w:t xml:space="preserve">SECTION 4. </w:t>
      </w:r>
      <w:r>
        <w:rPr>
          <w:rFonts w:ascii="Arial" w:cs="Arial" w:eastAsia="Arial" w:hAnsi="Arial"/>
          <w:sz w:val="22"/>
          <w:szCs w:val="22"/>
          <w:i w:val="1"/>
          <w:iCs w:val="1"/>
          <w:color w:val="000000"/>
        </w:rPr>
        <w:t>Other Miscellaneous Terms</w:t>
      </w:r>
      <w:r>
        <w:rPr>
          <w:rFonts w:ascii="Arial" w:cs="Arial" w:eastAsia="Arial" w:hAnsi="Arial"/>
          <w:sz w:val="22"/>
          <w:szCs w:val="22"/>
          <w:color w:val="000000"/>
        </w:rPr>
        <w:t>. The provisions of Sections 10 and 18-21 of the Equity Distribution Agreement</w:t>
      </w:r>
      <w:r>
        <w:rPr>
          <w:rFonts w:ascii="Arial" w:cs="Arial" w:eastAsia="Arial" w:hAnsi="Arial"/>
          <w:sz w:val="22"/>
          <w:szCs w:val="22"/>
          <w:color w:val="010000"/>
        </w:rPr>
        <w:t xml:space="preserve"> </w:t>
      </w:r>
      <w:r>
        <w:rPr>
          <w:rFonts w:ascii="Arial" w:cs="Arial" w:eastAsia="Arial" w:hAnsi="Arial"/>
          <w:sz w:val="22"/>
          <w:szCs w:val="22"/>
          <w:color w:val="000000"/>
        </w:rPr>
        <w:t xml:space="preserve">shall apply </w:t>
      </w:r>
      <w:r>
        <w:rPr>
          <w:rFonts w:ascii="Arial" w:cs="Arial" w:eastAsia="Arial" w:hAnsi="Arial"/>
          <w:sz w:val="22"/>
          <w:szCs w:val="22"/>
          <w:i w:val="1"/>
          <w:iCs w:val="1"/>
          <w:color w:val="000000"/>
        </w:rPr>
        <w:t>mutatis mutandis</w:t>
      </w:r>
      <w:r>
        <w:rPr>
          <w:rFonts w:ascii="Arial" w:cs="Arial" w:eastAsia="Arial" w:hAnsi="Arial"/>
          <w:sz w:val="22"/>
          <w:szCs w:val="22"/>
          <w:color w:val="000000"/>
        </w:rPr>
        <w:t xml:space="preserve"> to this Amendment.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48" w:right="239" w:bottom="1440" w:gutter="0" w:footer="0" w:header="0"/>
        </w:sectPr>
      </w:pPr>
    </w:p>
    <w:bookmarkStart w:id="141" w:name="page142"/>
    <w:bookmarkEnd w:id="141"/>
    <w:p>
      <w:pPr>
        <w:jc w:val="both"/>
        <w:ind w:firstLine="648"/>
        <w:spacing w:after="0" w:line="253" w:lineRule="auto"/>
        <w:rPr>
          <w:sz w:val="20"/>
          <w:szCs w:val="20"/>
          <w:color w:val="auto"/>
        </w:rPr>
      </w:pPr>
      <w:r>
        <w:rPr>
          <w:rFonts w:ascii="Arial" w:cs="Arial" w:eastAsia="Arial" w:hAnsi="Arial"/>
          <w:sz w:val="22"/>
          <w:szCs w:val="22"/>
          <w:color w:val="auto"/>
        </w:rPr>
        <w:t>If the foregoing correctly sets forth the understanding among the Partnership Parties and the Managers, please so indicate in the space provided below for that purpose, whereupon this Amendment and your acceptance shall constitute a binding agreement among the Partnership Parties and the Managers.</w:t>
      </w:r>
    </w:p>
    <w:p>
      <w:pPr>
        <w:spacing w:after="0" w:line="18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WESTLAKE CHEMICAL PARTNERS GP LLC</w:t>
      </w:r>
    </w:p>
    <w:p>
      <w:pPr>
        <w:spacing w:after="0" w:line="314" w:lineRule="exact"/>
        <w:rPr>
          <w:sz w:val="20"/>
          <w:szCs w:val="20"/>
          <w:color w:val="auto"/>
        </w:rPr>
      </w:pPr>
    </w:p>
    <w:tbl>
      <w:tblPr>
        <w:tblLayout w:type="fixed"/>
        <w:tblInd w:w="4320" w:type="dxa"/>
        <w:tblCellMar>
          <w:top w:w="0" w:type="dxa"/>
          <w:left w:w="0" w:type="dxa"/>
          <w:bottom w:w="0" w:type="dxa"/>
          <w:right w:w="0" w:type="dxa"/>
        </w:tblCellMar>
      </w:tblPr>
      <w:tr>
        <w:trPr>
          <w:trHeight w:val="28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63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 Steven Bender</w:t>
            </w:r>
          </w:p>
        </w:tc>
      </w:tr>
      <w:tr>
        <w:trPr>
          <w:trHeight w:val="280"/>
        </w:trPr>
        <w:tc>
          <w:tcPr>
            <w:tcW w:w="760" w:type="dxa"/>
            <w:vAlign w:val="bottom"/>
          </w:tcPr>
          <w:p>
            <w:pPr>
              <w:spacing w:after="0"/>
              <w:rPr>
                <w:sz w:val="24"/>
                <w:szCs w:val="24"/>
                <w:color w:val="auto"/>
              </w:rPr>
            </w:pPr>
          </w:p>
        </w:tc>
        <w:tc>
          <w:tcPr>
            <w:tcW w:w="6340" w:type="dxa"/>
            <w:vAlign w:val="bottom"/>
          </w:tcPr>
          <w:p>
            <w:pPr>
              <w:ind w:left="40"/>
              <w:spacing w:after="0"/>
              <w:rPr>
                <w:sz w:val="20"/>
                <w:szCs w:val="20"/>
                <w:color w:val="auto"/>
              </w:rPr>
            </w:pPr>
            <w:r>
              <w:rPr>
                <w:rFonts w:ascii="Arial" w:cs="Arial" w:eastAsia="Arial" w:hAnsi="Arial"/>
                <w:sz w:val="22"/>
                <w:szCs w:val="22"/>
                <w:color w:val="auto"/>
              </w:rPr>
              <w:t>Name: M. Steven Bender</w:t>
            </w:r>
          </w:p>
        </w:tc>
      </w:tr>
      <w:tr>
        <w:trPr>
          <w:trHeight w:val="297"/>
        </w:trPr>
        <w:tc>
          <w:tcPr>
            <w:tcW w:w="760" w:type="dxa"/>
            <w:vAlign w:val="bottom"/>
          </w:tcPr>
          <w:p>
            <w:pPr>
              <w:spacing w:after="0"/>
              <w:rPr>
                <w:sz w:val="24"/>
                <w:szCs w:val="24"/>
                <w:color w:val="auto"/>
              </w:rPr>
            </w:pPr>
          </w:p>
        </w:tc>
        <w:tc>
          <w:tcPr>
            <w:tcW w:w="6340" w:type="dxa"/>
            <w:vAlign w:val="bottom"/>
          </w:tcPr>
          <w:p>
            <w:pPr>
              <w:ind w:left="40"/>
              <w:spacing w:after="0"/>
              <w:rPr>
                <w:sz w:val="20"/>
                <w:szCs w:val="20"/>
                <w:color w:val="auto"/>
              </w:rPr>
            </w:pPr>
            <w:r>
              <w:rPr>
                <w:rFonts w:ascii="Arial" w:cs="Arial" w:eastAsia="Arial" w:hAnsi="Arial"/>
                <w:sz w:val="22"/>
                <w:szCs w:val="22"/>
                <w:color w:val="auto"/>
              </w:rPr>
              <w:t>Title:  Senior Vice President and Chief Financial</w:t>
            </w:r>
          </w:p>
        </w:tc>
      </w:tr>
      <w:tr>
        <w:trPr>
          <w:trHeight w:val="297"/>
        </w:trPr>
        <w:tc>
          <w:tcPr>
            <w:tcW w:w="760" w:type="dxa"/>
            <w:vAlign w:val="bottom"/>
          </w:tcPr>
          <w:p>
            <w:pPr>
              <w:spacing w:after="0"/>
              <w:rPr>
                <w:sz w:val="24"/>
                <w:szCs w:val="24"/>
                <w:color w:val="auto"/>
              </w:rPr>
            </w:pPr>
          </w:p>
        </w:tc>
        <w:tc>
          <w:tcPr>
            <w:tcW w:w="6340" w:type="dxa"/>
            <w:vAlign w:val="bottom"/>
          </w:tcPr>
          <w:p>
            <w:pPr>
              <w:ind w:left="680"/>
              <w:spacing w:after="0"/>
              <w:rPr>
                <w:sz w:val="20"/>
                <w:szCs w:val="20"/>
                <w:color w:val="auto"/>
              </w:rPr>
            </w:pPr>
            <w:r>
              <w:rPr>
                <w:rFonts w:ascii="Arial" w:cs="Arial" w:eastAsia="Arial" w:hAnsi="Arial"/>
                <w:sz w:val="22"/>
                <w:szCs w:val="22"/>
                <w:color w:val="auto"/>
              </w:rPr>
              <w:t>Officer</w:t>
            </w:r>
          </w:p>
        </w:tc>
      </w:tr>
      <w:tr>
        <w:trPr>
          <w:trHeight w:val="567"/>
        </w:trPr>
        <w:tc>
          <w:tcPr>
            <w:tcW w:w="7100" w:type="dxa"/>
            <w:vAlign w:val="bottom"/>
            <w:gridSpan w:val="2"/>
          </w:tcPr>
          <w:p>
            <w:pPr>
              <w:spacing w:after="0"/>
              <w:rPr>
                <w:sz w:val="20"/>
                <w:szCs w:val="20"/>
                <w:color w:val="auto"/>
              </w:rPr>
            </w:pPr>
            <w:r>
              <w:rPr>
                <w:rFonts w:ascii="Arial" w:cs="Arial" w:eastAsia="Arial" w:hAnsi="Arial"/>
                <w:sz w:val="22"/>
                <w:szCs w:val="22"/>
                <w:color w:val="auto"/>
              </w:rPr>
              <w:t>WESTLAKE CHEMICAL PARTNERS LP</w:t>
            </w:r>
          </w:p>
        </w:tc>
      </w:tr>
      <w:tr>
        <w:trPr>
          <w:trHeight w:val="567"/>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6340" w:type="dxa"/>
            <w:vAlign w:val="bottom"/>
          </w:tcPr>
          <w:p>
            <w:pPr>
              <w:ind w:left="40"/>
              <w:spacing w:after="0"/>
              <w:rPr>
                <w:sz w:val="20"/>
                <w:szCs w:val="20"/>
                <w:color w:val="auto"/>
              </w:rPr>
            </w:pPr>
            <w:r>
              <w:rPr>
                <w:rFonts w:ascii="Arial" w:cs="Arial" w:eastAsia="Arial" w:hAnsi="Arial"/>
                <w:sz w:val="22"/>
                <w:szCs w:val="22"/>
                <w:color w:val="auto"/>
              </w:rPr>
              <w:t>Westlake Chemical Partners GP LLC, its general partner</w:t>
            </w:r>
          </w:p>
        </w:tc>
      </w:tr>
      <w:tr>
        <w:trPr>
          <w:trHeight w:val="578"/>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63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 Steven Bender</w:t>
            </w:r>
          </w:p>
        </w:tc>
      </w:tr>
      <w:tr>
        <w:trPr>
          <w:trHeight w:val="280"/>
        </w:trPr>
        <w:tc>
          <w:tcPr>
            <w:tcW w:w="760" w:type="dxa"/>
            <w:vAlign w:val="bottom"/>
          </w:tcPr>
          <w:p>
            <w:pPr>
              <w:spacing w:after="0"/>
              <w:rPr>
                <w:sz w:val="24"/>
                <w:szCs w:val="24"/>
                <w:color w:val="auto"/>
              </w:rPr>
            </w:pPr>
          </w:p>
        </w:tc>
        <w:tc>
          <w:tcPr>
            <w:tcW w:w="6340" w:type="dxa"/>
            <w:vAlign w:val="bottom"/>
          </w:tcPr>
          <w:p>
            <w:pPr>
              <w:ind w:left="40"/>
              <w:spacing w:after="0"/>
              <w:rPr>
                <w:sz w:val="20"/>
                <w:szCs w:val="20"/>
                <w:color w:val="auto"/>
              </w:rPr>
            </w:pPr>
            <w:r>
              <w:rPr>
                <w:rFonts w:ascii="Arial" w:cs="Arial" w:eastAsia="Arial" w:hAnsi="Arial"/>
                <w:sz w:val="22"/>
                <w:szCs w:val="22"/>
                <w:color w:val="auto"/>
              </w:rPr>
              <w:t>Name: M. Steven Bender</w:t>
            </w:r>
          </w:p>
        </w:tc>
      </w:tr>
      <w:tr>
        <w:trPr>
          <w:trHeight w:val="297"/>
        </w:trPr>
        <w:tc>
          <w:tcPr>
            <w:tcW w:w="760" w:type="dxa"/>
            <w:vAlign w:val="bottom"/>
          </w:tcPr>
          <w:p>
            <w:pPr>
              <w:spacing w:after="0"/>
              <w:rPr>
                <w:sz w:val="24"/>
                <w:szCs w:val="24"/>
                <w:color w:val="auto"/>
              </w:rPr>
            </w:pPr>
          </w:p>
        </w:tc>
        <w:tc>
          <w:tcPr>
            <w:tcW w:w="6340" w:type="dxa"/>
            <w:vAlign w:val="bottom"/>
          </w:tcPr>
          <w:p>
            <w:pPr>
              <w:ind w:left="40"/>
              <w:spacing w:after="0"/>
              <w:rPr>
                <w:sz w:val="20"/>
                <w:szCs w:val="20"/>
                <w:color w:val="auto"/>
              </w:rPr>
            </w:pPr>
            <w:r>
              <w:rPr>
                <w:rFonts w:ascii="Arial" w:cs="Arial" w:eastAsia="Arial" w:hAnsi="Arial"/>
                <w:sz w:val="22"/>
                <w:szCs w:val="22"/>
                <w:color w:val="auto"/>
              </w:rPr>
              <w:t>Title:  Senior Vice President and Chief Financial</w:t>
            </w:r>
          </w:p>
        </w:tc>
      </w:tr>
      <w:tr>
        <w:trPr>
          <w:trHeight w:val="297"/>
        </w:trPr>
        <w:tc>
          <w:tcPr>
            <w:tcW w:w="760" w:type="dxa"/>
            <w:vAlign w:val="bottom"/>
          </w:tcPr>
          <w:p>
            <w:pPr>
              <w:spacing w:after="0"/>
              <w:rPr>
                <w:sz w:val="24"/>
                <w:szCs w:val="24"/>
                <w:color w:val="auto"/>
              </w:rPr>
            </w:pPr>
          </w:p>
        </w:tc>
        <w:tc>
          <w:tcPr>
            <w:tcW w:w="6340" w:type="dxa"/>
            <w:vAlign w:val="bottom"/>
          </w:tcPr>
          <w:p>
            <w:pPr>
              <w:ind w:left="680"/>
              <w:spacing w:after="0"/>
              <w:rPr>
                <w:sz w:val="20"/>
                <w:szCs w:val="20"/>
                <w:color w:val="auto"/>
              </w:rPr>
            </w:pPr>
            <w:r>
              <w:rPr>
                <w:rFonts w:ascii="Arial" w:cs="Arial" w:eastAsia="Arial" w:hAnsi="Arial"/>
                <w:sz w:val="22"/>
                <w:szCs w:val="22"/>
                <w:color w:val="auto"/>
              </w:rPr>
              <w:t>Officer</w:t>
            </w:r>
          </w:p>
        </w:tc>
      </w:tr>
    </w:tbl>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Signature Page to First Amendment to Equity Distribution Agreement</w:t>
      </w:r>
    </w:p>
    <w:p>
      <w:pPr>
        <w:sectPr>
          <w:pgSz w:w="11900" w:h="16838" w:orient="portrait"/>
          <w:cols w:equalWidth="0" w:num="1">
            <w:col w:w="11420"/>
          </w:cols>
          <w:pgMar w:left="240" w:top="348" w:right="23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t>ACCEPTED as of the date first above written.</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22"/>
          <w:szCs w:val="22"/>
          <w:color w:val="auto"/>
        </w:rPr>
        <w:t>UBS SECURITIES LLC</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61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Anthony Faria</w:t>
            </w:r>
          </w:p>
        </w:tc>
      </w:tr>
      <w:tr>
        <w:trPr>
          <w:trHeight w:val="280"/>
        </w:trPr>
        <w:tc>
          <w:tcPr>
            <w:tcW w:w="6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Name:</w:t>
            </w:r>
          </w:p>
        </w:tc>
        <w:tc>
          <w:tcPr>
            <w:tcW w:w="5300" w:type="dxa"/>
            <w:vAlign w:val="bottom"/>
          </w:tcPr>
          <w:p>
            <w:pPr>
              <w:ind w:left="260"/>
              <w:spacing w:after="0"/>
              <w:rPr>
                <w:sz w:val="20"/>
                <w:szCs w:val="20"/>
                <w:color w:val="auto"/>
              </w:rPr>
            </w:pPr>
            <w:r>
              <w:rPr>
                <w:rFonts w:ascii="Arial" w:cs="Arial" w:eastAsia="Arial" w:hAnsi="Arial"/>
                <w:sz w:val="22"/>
                <w:szCs w:val="22"/>
                <w:color w:val="auto"/>
              </w:rPr>
              <w:t>Anthony Faria</w:t>
            </w:r>
          </w:p>
        </w:tc>
      </w:tr>
      <w:tr>
        <w:trPr>
          <w:trHeight w:val="297"/>
        </w:trPr>
        <w:tc>
          <w:tcPr>
            <w:tcW w:w="6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5300" w:type="dxa"/>
            <w:vAlign w:val="bottom"/>
          </w:tcPr>
          <w:p>
            <w:pPr>
              <w:ind w:left="260"/>
              <w:spacing w:after="0"/>
              <w:rPr>
                <w:sz w:val="20"/>
                <w:szCs w:val="20"/>
                <w:color w:val="auto"/>
              </w:rPr>
            </w:pPr>
            <w:r>
              <w:rPr>
                <w:rFonts w:ascii="Arial" w:cs="Arial" w:eastAsia="Arial" w:hAnsi="Arial"/>
                <w:sz w:val="22"/>
                <w:szCs w:val="22"/>
                <w:color w:val="auto"/>
              </w:rPr>
              <w:t>Director</w:t>
            </w:r>
          </w:p>
        </w:tc>
      </w:tr>
      <w:tr>
        <w:trPr>
          <w:trHeight w:val="64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61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Jesse O’Neill</w:t>
            </w:r>
          </w:p>
        </w:tc>
      </w:tr>
      <w:tr>
        <w:trPr>
          <w:trHeight w:val="280"/>
        </w:trPr>
        <w:tc>
          <w:tcPr>
            <w:tcW w:w="6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Name:</w:t>
            </w:r>
          </w:p>
        </w:tc>
        <w:tc>
          <w:tcPr>
            <w:tcW w:w="5300" w:type="dxa"/>
            <w:vAlign w:val="bottom"/>
          </w:tcPr>
          <w:p>
            <w:pPr>
              <w:ind w:left="260"/>
              <w:spacing w:after="0"/>
              <w:rPr>
                <w:sz w:val="20"/>
                <w:szCs w:val="20"/>
                <w:color w:val="auto"/>
              </w:rPr>
            </w:pPr>
            <w:r>
              <w:rPr>
                <w:rFonts w:ascii="Arial" w:cs="Arial" w:eastAsia="Arial" w:hAnsi="Arial"/>
                <w:sz w:val="22"/>
                <w:szCs w:val="22"/>
                <w:color w:val="auto"/>
              </w:rPr>
              <w:t>Jesse O’Neill</w:t>
            </w:r>
          </w:p>
        </w:tc>
      </w:tr>
      <w:tr>
        <w:trPr>
          <w:trHeight w:val="297"/>
        </w:trPr>
        <w:tc>
          <w:tcPr>
            <w:tcW w:w="6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5300" w:type="dxa"/>
            <w:vAlign w:val="bottom"/>
          </w:tcPr>
          <w:p>
            <w:pPr>
              <w:ind w:left="260"/>
              <w:spacing w:after="0"/>
              <w:rPr>
                <w:sz w:val="20"/>
                <w:szCs w:val="20"/>
                <w:color w:val="auto"/>
              </w:rPr>
            </w:pPr>
            <w:r>
              <w:rPr>
                <w:rFonts w:ascii="Arial" w:cs="Arial" w:eastAsia="Arial" w:hAnsi="Arial"/>
                <w:sz w:val="22"/>
                <w:szCs w:val="22"/>
                <w:color w:val="auto"/>
              </w:rPr>
              <w:t>Executive Director</w:t>
            </w:r>
          </w:p>
        </w:tc>
      </w:tr>
    </w:tbl>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Signature Page to First Amendment to Equity Distribution Agreement</w:t>
      </w:r>
    </w:p>
    <w:p>
      <w:pPr>
        <w:sectPr>
          <w:pgSz w:w="11900" w:h="16838" w:orient="portrait"/>
          <w:cols w:equalWidth="0" w:num="1">
            <w:col w:w="10260"/>
          </w:cols>
          <w:pgMar w:left="240" w:top="1077" w:right="139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color w:val="auto"/>
        </w:rPr>
        <w:t>BARCLAYS CAPITAL INC.</w:t>
      </w:r>
    </w:p>
    <w:p>
      <w:pPr>
        <w:spacing w:after="0" w:line="3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Robert Jeffries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24765</wp:posOffset>
            </wp:positionV>
            <wp:extent cx="4116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3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Robert Jeffries</w:t>
      </w:r>
    </w:p>
    <w:p>
      <w:pPr>
        <w:spacing w:after="0" w:line="4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Chairman &amp; Global Head of Chemicals</w:t>
      </w:r>
    </w:p>
    <w:p>
      <w:pPr>
        <w:spacing w:after="0" w:line="247" w:lineRule="exact"/>
        <w:rPr>
          <w:sz w:val="20"/>
          <w:szCs w:val="20"/>
          <w:color w:val="auto"/>
        </w:rPr>
      </w:pPr>
    </w:p>
    <w:p>
      <w:pPr>
        <w:ind w:left="4180"/>
        <w:spacing w:after="0"/>
        <w:rPr>
          <w:sz w:val="20"/>
          <w:szCs w:val="20"/>
          <w:color w:val="auto"/>
        </w:rPr>
      </w:pPr>
      <w:r>
        <w:rPr>
          <w:rFonts w:ascii="Arial" w:cs="Arial" w:eastAsia="Arial" w:hAnsi="Arial"/>
          <w:sz w:val="19"/>
          <w:szCs w:val="19"/>
          <w:i w:val="1"/>
          <w:iCs w:val="1"/>
          <w:color w:val="auto"/>
        </w:rPr>
        <w:t>Signature Page to First Amendment to Equity Distribution Agreement</w:t>
      </w:r>
    </w:p>
    <w:p>
      <w:pPr>
        <w:sectPr>
          <w:pgSz w:w="11900" w:h="16838" w:orient="portrait"/>
          <w:cols w:equalWidth="0" w:num="1">
            <w:col w:w="10220"/>
          </w:cols>
          <w:pgMar w:left="280" w:top="753" w:right="139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BOFA SECURITIES, INC.</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63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 John Griffith</w:t>
            </w:r>
          </w:p>
        </w:tc>
      </w:tr>
      <w:tr>
        <w:trPr>
          <w:trHeight w:val="280"/>
        </w:trPr>
        <w:tc>
          <w:tcPr>
            <w:tcW w:w="68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22"/>
                <w:szCs w:val="22"/>
                <w:color w:val="auto"/>
              </w:rPr>
              <w:t>Name:</w:t>
            </w:r>
          </w:p>
        </w:tc>
        <w:tc>
          <w:tcPr>
            <w:tcW w:w="5500" w:type="dxa"/>
            <w:vAlign w:val="bottom"/>
          </w:tcPr>
          <w:p>
            <w:pPr>
              <w:ind w:left="220"/>
              <w:spacing w:after="0"/>
              <w:rPr>
                <w:sz w:val="20"/>
                <w:szCs w:val="20"/>
                <w:color w:val="auto"/>
              </w:rPr>
            </w:pPr>
            <w:r>
              <w:rPr>
                <w:rFonts w:ascii="Arial" w:cs="Arial" w:eastAsia="Arial" w:hAnsi="Arial"/>
                <w:sz w:val="22"/>
                <w:szCs w:val="22"/>
                <w:color w:val="auto"/>
              </w:rPr>
              <w:t>John Griffith</w:t>
            </w:r>
          </w:p>
        </w:tc>
      </w:tr>
      <w:tr>
        <w:trPr>
          <w:trHeight w:val="297"/>
        </w:trPr>
        <w:tc>
          <w:tcPr>
            <w:tcW w:w="68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22"/>
                <w:szCs w:val="22"/>
                <w:color w:val="auto"/>
              </w:rPr>
              <w:t>Title:</w:t>
            </w:r>
          </w:p>
        </w:tc>
        <w:tc>
          <w:tcPr>
            <w:tcW w:w="5500" w:type="dxa"/>
            <w:vAlign w:val="bottom"/>
          </w:tcPr>
          <w:p>
            <w:pPr>
              <w:ind w:left="2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Signature Page to First Amendment to Equity Distribution Agreement</w:t>
      </w:r>
    </w:p>
    <w:p>
      <w:pPr>
        <w:sectPr>
          <w:pgSz w:w="11900" w:h="16838" w:orient="portrait"/>
          <w:cols w:equalWidth="0" w:num="1">
            <w:col w:w="10220"/>
          </w:cols>
          <w:pgMar w:left="280" w:top="1050" w:right="139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CITIGROUP GLOBAL MARKETS INC.</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61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Nick Regas</w:t>
            </w:r>
          </w:p>
        </w:tc>
      </w:tr>
      <w:tr>
        <w:trPr>
          <w:trHeight w:val="280"/>
        </w:trPr>
        <w:tc>
          <w:tcPr>
            <w:tcW w:w="7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5340" w:type="dxa"/>
            <w:vAlign w:val="bottom"/>
          </w:tcPr>
          <w:p>
            <w:pPr>
              <w:ind w:left="220"/>
              <w:spacing w:after="0"/>
              <w:rPr>
                <w:sz w:val="20"/>
                <w:szCs w:val="20"/>
                <w:color w:val="auto"/>
              </w:rPr>
            </w:pPr>
            <w:r>
              <w:rPr>
                <w:rFonts w:ascii="Arial" w:cs="Arial" w:eastAsia="Arial" w:hAnsi="Arial"/>
                <w:sz w:val="22"/>
                <w:szCs w:val="22"/>
                <w:color w:val="auto"/>
              </w:rPr>
              <w:t>Nick Regas</w:t>
            </w:r>
          </w:p>
        </w:tc>
      </w:tr>
      <w:tr>
        <w:trPr>
          <w:trHeight w:val="297"/>
        </w:trPr>
        <w:tc>
          <w:tcPr>
            <w:tcW w:w="7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Title:</w:t>
            </w:r>
          </w:p>
        </w:tc>
        <w:tc>
          <w:tcPr>
            <w:tcW w:w="5340" w:type="dxa"/>
            <w:vAlign w:val="bottom"/>
          </w:tcPr>
          <w:p>
            <w:pPr>
              <w:ind w:left="220"/>
              <w:spacing w:after="0"/>
              <w:rPr>
                <w:sz w:val="20"/>
                <w:szCs w:val="20"/>
                <w:color w:val="auto"/>
              </w:rPr>
            </w:pPr>
            <w:r>
              <w:rPr>
                <w:rFonts w:ascii="Arial" w:cs="Arial" w:eastAsia="Arial" w:hAnsi="Arial"/>
                <w:sz w:val="22"/>
                <w:szCs w:val="22"/>
                <w:color w:val="auto"/>
              </w:rPr>
              <w:t>Managing Director</w:t>
            </w:r>
          </w:p>
        </w:tc>
      </w:tr>
    </w:tbl>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Signature Page to First Amendment to Equity Distribution Agreement</w:t>
      </w:r>
    </w:p>
    <w:p>
      <w:pPr>
        <w:sectPr>
          <w:pgSz w:w="11900" w:h="16838" w:orient="portrait"/>
          <w:cols w:equalWidth="0" w:num="1">
            <w:col w:w="10220"/>
          </w:cols>
          <w:pgMar w:left="280" w:top="1050" w:right="139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DEUTSCHE BANK SECURITIES INC.</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61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Samir Abu-Khadra</w:t>
            </w:r>
          </w:p>
        </w:tc>
      </w:tr>
      <w:tr>
        <w:trPr>
          <w:trHeight w:val="280"/>
        </w:trPr>
        <w:tc>
          <w:tcPr>
            <w:tcW w:w="7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5340" w:type="dxa"/>
            <w:vAlign w:val="bottom"/>
          </w:tcPr>
          <w:p>
            <w:pPr>
              <w:ind w:left="220"/>
              <w:spacing w:after="0"/>
              <w:rPr>
                <w:sz w:val="20"/>
                <w:szCs w:val="20"/>
                <w:color w:val="auto"/>
              </w:rPr>
            </w:pPr>
            <w:r>
              <w:rPr>
                <w:rFonts w:ascii="Arial" w:cs="Arial" w:eastAsia="Arial" w:hAnsi="Arial"/>
                <w:sz w:val="22"/>
                <w:szCs w:val="22"/>
                <w:color w:val="auto"/>
              </w:rPr>
              <w:t>Samir Abu-Khadra</w:t>
            </w:r>
          </w:p>
        </w:tc>
      </w:tr>
      <w:tr>
        <w:trPr>
          <w:trHeight w:val="297"/>
        </w:trPr>
        <w:tc>
          <w:tcPr>
            <w:tcW w:w="7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Title:</w:t>
            </w:r>
          </w:p>
        </w:tc>
        <w:tc>
          <w:tcPr>
            <w:tcW w:w="5340" w:type="dxa"/>
            <w:vAlign w:val="bottom"/>
          </w:tcPr>
          <w:p>
            <w:pPr>
              <w:ind w:left="220"/>
              <w:spacing w:after="0"/>
              <w:rPr>
                <w:sz w:val="20"/>
                <w:szCs w:val="20"/>
                <w:color w:val="auto"/>
              </w:rPr>
            </w:pPr>
            <w:r>
              <w:rPr>
                <w:rFonts w:ascii="Arial" w:cs="Arial" w:eastAsia="Arial" w:hAnsi="Arial"/>
                <w:sz w:val="22"/>
                <w:szCs w:val="22"/>
                <w:color w:val="auto"/>
              </w:rPr>
              <w:t>Director</w:t>
            </w:r>
          </w:p>
        </w:tc>
      </w:tr>
      <w:tr>
        <w:trPr>
          <w:trHeight w:val="578"/>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61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Ben Darsney</w:t>
            </w:r>
          </w:p>
        </w:tc>
      </w:tr>
      <w:tr>
        <w:trPr>
          <w:trHeight w:val="280"/>
        </w:trPr>
        <w:tc>
          <w:tcPr>
            <w:tcW w:w="7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5340" w:type="dxa"/>
            <w:vAlign w:val="bottom"/>
          </w:tcPr>
          <w:p>
            <w:pPr>
              <w:ind w:left="220"/>
              <w:spacing w:after="0"/>
              <w:rPr>
                <w:sz w:val="20"/>
                <w:szCs w:val="20"/>
                <w:color w:val="auto"/>
              </w:rPr>
            </w:pPr>
            <w:r>
              <w:rPr>
                <w:rFonts w:ascii="Arial" w:cs="Arial" w:eastAsia="Arial" w:hAnsi="Arial"/>
                <w:sz w:val="22"/>
                <w:szCs w:val="22"/>
                <w:color w:val="auto"/>
              </w:rPr>
              <w:t>Ben Darsney</w:t>
            </w:r>
          </w:p>
        </w:tc>
      </w:tr>
      <w:tr>
        <w:trPr>
          <w:trHeight w:val="297"/>
        </w:trPr>
        <w:tc>
          <w:tcPr>
            <w:tcW w:w="7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Title:</w:t>
            </w:r>
          </w:p>
        </w:tc>
        <w:tc>
          <w:tcPr>
            <w:tcW w:w="5340" w:type="dxa"/>
            <w:vAlign w:val="bottom"/>
          </w:tcPr>
          <w:p>
            <w:pPr>
              <w:ind w:left="220"/>
              <w:spacing w:after="0"/>
              <w:rPr>
                <w:sz w:val="20"/>
                <w:szCs w:val="20"/>
                <w:color w:val="auto"/>
              </w:rPr>
            </w:pPr>
            <w:r>
              <w:rPr>
                <w:rFonts w:ascii="Arial" w:cs="Arial" w:eastAsia="Arial" w:hAnsi="Arial"/>
                <w:sz w:val="22"/>
                <w:szCs w:val="22"/>
                <w:color w:val="auto"/>
              </w:rPr>
              <w:t>Director</w:t>
            </w:r>
          </w:p>
        </w:tc>
      </w:tr>
    </w:tbl>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Signature Page to First Amendment to Equity Distribution Agreement</w:t>
      </w:r>
    </w:p>
    <w:p>
      <w:pPr>
        <w:sectPr>
          <w:pgSz w:w="11900" w:h="16838" w:orient="portrait"/>
          <w:cols w:equalWidth="0" w:num="1">
            <w:col w:w="10220"/>
          </w:cols>
          <w:pgMar w:left="280" w:top="1050" w:right="139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RBC CAPITAL MARKETS, LLC</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61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Michael Davis</w:t>
            </w:r>
          </w:p>
        </w:tc>
      </w:tr>
      <w:tr>
        <w:trPr>
          <w:trHeight w:val="280"/>
        </w:trPr>
        <w:tc>
          <w:tcPr>
            <w:tcW w:w="7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Name:</w:t>
            </w:r>
          </w:p>
        </w:tc>
        <w:tc>
          <w:tcPr>
            <w:tcW w:w="5340" w:type="dxa"/>
            <w:vAlign w:val="bottom"/>
          </w:tcPr>
          <w:p>
            <w:pPr>
              <w:ind w:left="220"/>
              <w:spacing w:after="0"/>
              <w:rPr>
                <w:sz w:val="20"/>
                <w:szCs w:val="20"/>
                <w:color w:val="auto"/>
              </w:rPr>
            </w:pPr>
            <w:r>
              <w:rPr>
                <w:rFonts w:ascii="Arial" w:cs="Arial" w:eastAsia="Arial" w:hAnsi="Arial"/>
                <w:sz w:val="22"/>
                <w:szCs w:val="22"/>
                <w:color w:val="auto"/>
              </w:rPr>
              <w:t>Michael Davis</w:t>
            </w:r>
          </w:p>
        </w:tc>
      </w:tr>
      <w:tr>
        <w:trPr>
          <w:trHeight w:val="297"/>
        </w:trPr>
        <w:tc>
          <w:tcPr>
            <w:tcW w:w="7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22"/>
                <w:szCs w:val="22"/>
                <w:color w:val="auto"/>
              </w:rPr>
              <w:t>Title:</w:t>
            </w:r>
          </w:p>
        </w:tc>
        <w:tc>
          <w:tcPr>
            <w:tcW w:w="5340" w:type="dxa"/>
            <w:vAlign w:val="bottom"/>
          </w:tcPr>
          <w:p>
            <w:pPr>
              <w:ind w:left="220"/>
              <w:spacing w:after="0"/>
              <w:rPr>
                <w:sz w:val="20"/>
                <w:szCs w:val="20"/>
                <w:color w:val="auto"/>
              </w:rPr>
            </w:pPr>
            <w:r>
              <w:rPr>
                <w:rFonts w:ascii="Arial" w:cs="Arial" w:eastAsia="Arial" w:hAnsi="Arial"/>
                <w:sz w:val="22"/>
                <w:szCs w:val="22"/>
                <w:color w:val="auto"/>
              </w:rPr>
              <w:t>Managing Director</w:t>
            </w:r>
          </w:p>
        </w:tc>
      </w:tr>
    </w:tbl>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Signature Page to First Amendment to Equity Distribution Agreement</w:t>
      </w:r>
    </w:p>
    <w:p>
      <w:pPr>
        <w:sectPr>
          <w:pgSz w:w="11900" w:h="16838" w:orient="portrait"/>
          <w:cols w:equalWidth="0" w:num="1">
            <w:col w:w="10220"/>
          </w:cols>
          <w:pgMar w:left="280" w:top="1050" w:right="139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WELLS FARGO SECURITIES, LLC</w:t>
      </w:r>
    </w:p>
    <w:p>
      <w:pPr>
        <w:spacing w:after="0" w:line="31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Micahel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3858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Name: Michael Tiedemann</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Signature Page to First Amendment to Equity Distribution Agreement</w:t>
      </w:r>
    </w:p>
    <w:p>
      <w:pPr>
        <w:sectPr>
          <w:pgSz w:w="11900" w:h="16838" w:orient="portrait"/>
          <w:cols w:equalWidth="0" w:num="1">
            <w:col w:w="10220"/>
          </w:cols>
          <w:pgMar w:left="280" w:top="1050" w:right="139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21.1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SUBSIDIARIES OF WESTLAKE CHEMICAL PARTNERS LP</w:t>
            </w:r>
          </w:p>
        </w:tc>
      </w:tr>
      <w:tr>
        <w:trPr>
          <w:trHeight w:val="810"/>
        </w:trPr>
        <w:tc>
          <w:tcPr>
            <w:tcW w:w="2900" w:type="dxa"/>
            <w:vAlign w:val="bottom"/>
          </w:tcPr>
          <w:p>
            <w:pPr>
              <w:ind w:left="180"/>
              <w:spacing w:after="0"/>
              <w:rPr>
                <w:sz w:val="20"/>
                <w:szCs w:val="20"/>
                <w:color w:val="auto"/>
              </w:rPr>
            </w:pPr>
            <w:r>
              <w:rPr>
                <w:rFonts w:ascii="Arial" w:cs="Arial" w:eastAsia="Arial" w:hAnsi="Arial"/>
                <w:sz w:val="18"/>
                <w:szCs w:val="18"/>
                <w:b w:val="1"/>
                <w:bCs w:val="1"/>
                <w:color w:val="auto"/>
              </w:rPr>
              <w:t>Name of Subsidiary</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290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358"/>
        </w:trPr>
        <w:tc>
          <w:tcPr>
            <w:tcW w:w="2900" w:type="dxa"/>
            <w:vAlign w:val="bottom"/>
          </w:tcPr>
          <w:p>
            <w:pPr>
              <w:ind w:left="40"/>
              <w:spacing w:after="0"/>
              <w:rPr>
                <w:sz w:val="20"/>
                <w:szCs w:val="20"/>
                <w:color w:val="auto"/>
              </w:rPr>
            </w:pPr>
            <w:r>
              <w:rPr>
                <w:rFonts w:ascii="Arial" w:cs="Arial" w:eastAsia="Arial" w:hAnsi="Arial"/>
                <w:sz w:val="18"/>
                <w:szCs w:val="18"/>
                <w:color w:val="auto"/>
              </w:rPr>
              <w:t>Westlake Chemical OpCo GP LLC</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92"/>
        </w:trPr>
        <w:tc>
          <w:tcPr>
            <w:tcW w:w="2900" w:type="dxa"/>
            <w:vAlign w:val="bottom"/>
          </w:tcPr>
          <w:p>
            <w:pPr>
              <w:ind w:left="40"/>
              <w:spacing w:after="0"/>
              <w:rPr>
                <w:sz w:val="20"/>
                <w:szCs w:val="20"/>
                <w:color w:val="auto"/>
              </w:rPr>
            </w:pPr>
            <w:r>
              <w:rPr>
                <w:rFonts w:ascii="Arial" w:cs="Arial" w:eastAsia="Arial" w:hAnsi="Arial"/>
                <w:sz w:val="18"/>
                <w:szCs w:val="18"/>
                <w:color w:val="auto"/>
              </w:rPr>
              <w:t>Westlake Chemical OpCo LP</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553"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333-216617 and 333-230611) and Form S-8 (No. 333-198233) of Westlake Chemical Partners LP of our report dated February 28, 2020 relating to the financial statements and the effectiveness of internal control over financial reporting, which appears in this Form 10-K.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553"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225"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56"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20" w:hanging="644"/>
        <w:spacing w:after="0" w:line="250"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644"/>
        <w:spacing w:after="0" w:line="250"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380" w:hanging="644"/>
        <w:spacing w:after="0" w:line="281" w:lineRule="auto"/>
        <w:tabs>
          <w:tab w:leader="none" w:pos="13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644"/>
        <w:spacing w:after="0" w:line="255"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hanging="652"/>
        <w:spacing w:after="0" w:line="274"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81" w:lineRule="auto"/>
        <w:tabs>
          <w:tab w:leader="none" w:pos="13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644"/>
        <w:spacing w:after="0" w:line="261"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2020</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53"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225"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20" w:hanging="652"/>
        <w:spacing w:after="0" w:line="256"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20" w:hanging="644"/>
        <w:spacing w:after="0" w:line="250"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644"/>
        <w:spacing w:after="0" w:line="250"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380" w:hanging="644"/>
        <w:spacing w:after="0" w:line="281" w:lineRule="auto"/>
        <w:tabs>
          <w:tab w:leader="none" w:pos="13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644"/>
        <w:spacing w:after="0" w:line="255"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hanging="652"/>
        <w:spacing w:after="0" w:line="274"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81" w:lineRule="auto"/>
        <w:tabs>
          <w:tab w:leader="none" w:pos="13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644"/>
        <w:spacing w:after="0" w:line="261"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2020</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M. Steven Bender</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6520"/>
        <w:spacing w:after="0" w:line="22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53"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connection with the Annual Report on Form 10-K of Westlake Chemical Partners LP (the "Partnership"), as filed with the Securities and Exchange Commission on the date hereof (the "Report"), Albert Chao, President, Chief Executive Officer and Director of the general partner of the Partnership, and M. Steven Bender, Senior Vice President, Chief Financial Officer, and Director of the general partner of the Partnership, each certify, pursuant to 18 U.S.C. Section 1350, as adopted pursuant to Section 906 of the Sarbanes-Oxley Act of 2002, that, to his knowledge:</w:t>
      </w:r>
    </w:p>
    <w:p>
      <w:pPr>
        <w:spacing w:after="0" w:line="171"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500" w:hanging="644"/>
        <w:spacing w:after="0" w:line="277"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2020</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2020</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M. Steven Bender</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6520"/>
        <w:spacing w:after="0" w:line="22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1)"/>
      <w:numFmt w:val="decimal"/>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lvl w:ilvl="1">
      <w:lvlJc w:val="left"/>
      <w:lvlText w:val="(%2)"/>
      <w:numFmt w:val="decimal"/>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21">
    <w:nsid w:val="579BE4F1"/>
    <w:multiLevelType w:val="hybridMultilevel"/>
    <w:lvl w:ilvl="0">
      <w:lvlJc w:val="left"/>
      <w:lvlText w:val="(%1)"/>
      <w:numFmt w:val="decimal"/>
      <w:start w:val="4"/>
    </w:lvl>
    <w:lvl w:ilvl="1">
      <w:lvlJc w:val="left"/>
      <w:lvlText w:val="%2"/>
      <w:numFmt w:val="decimal"/>
      <w:start w:val="1"/>
    </w:lvl>
    <w:lvl w:ilvl="2">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1."/>
      <w:numFmt w:val="decimal"/>
      <w:start w:val="16"/>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1)"/>
      <w:numFmt w:val="decimal"/>
      <w:start w:val="1"/>
    </w:lvl>
  </w:abstractNum>
  <w:abstractNum w:abstractNumId="34">
    <w:nsid w:val="5F5E7FD0"/>
    <w:multiLevelType w:val="hybridMultilevel"/>
    <w:lvl w:ilvl="0">
      <w:lvlJc w:val="left"/>
      <w:lvlText w:val="(%1)"/>
      <w:numFmt w:val="decimal"/>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1)"/>
      <w:numFmt w:val="decimal"/>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1)"/>
      <w:numFmt w:val="decimal"/>
      <w:start w:val="1"/>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1)"/>
      <w:numFmt w:val="decimal"/>
      <w:start w:val="1"/>
    </w:lvl>
  </w:abstractNum>
  <w:abstractNum w:abstractNumId="43">
    <w:nsid w:val="540A471C"/>
    <w:multiLevelType w:val="hybridMultilevel"/>
    <w:lvl w:ilvl="0">
      <w:lvlJc w:val="left"/>
      <w:lvlText w:val="%1"/>
      <w:numFmt w:val="decimal"/>
      <w:start w:val="104"/>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1"/>
    </w:lvl>
  </w:abstractNum>
  <w:abstractNum w:abstractNumId="77">
    <w:nsid w:val="4A2AC315"/>
    <w:multiLevelType w:val="hybridMultilevel"/>
    <w:lvl w:ilvl="0">
      <w:lvlJc w:val="left"/>
      <w:lvlText w:val="(%1)"/>
      <w:numFmt w:val="lowerLetter"/>
      <w:start w:val="1"/>
    </w:lvl>
  </w:abstractNum>
  <w:abstractNum w:abstractNumId="78">
    <w:nsid w:val="39EE015C"/>
    <w:multiLevelType w:val="hybridMultilevel"/>
    <w:lvl w:ilvl="0">
      <w:lvlJc w:val="left"/>
      <w:lvlText w:val="(%1)"/>
      <w:numFmt w:val="lowerLetter"/>
      <w:start w:val="2"/>
    </w:lvl>
  </w:abstractNum>
  <w:abstractNum w:abstractNumId="79">
    <w:nsid w:val="57FC4FBB"/>
    <w:multiLevelType w:val="hybridMultilevel"/>
    <w:lvl w:ilvl="0">
      <w:lvlJc w:val="left"/>
      <w:lvlText w:val="(%1)"/>
      <w:numFmt w:val="lowerLetter"/>
      <w:start w:val="2"/>
    </w:lvl>
  </w:abstractNum>
  <w:abstractNum w:abstractNumId="80">
    <w:nsid w:val="CC1016F"/>
    <w:multiLevelType w:val="hybridMultilevel"/>
    <w:lvl w:ilvl="0">
      <w:lvlJc w:val="left"/>
      <w:lvlText w:val="(%1)"/>
      <w:numFmt w:val="lowerLetter"/>
      <w:start w:val="2"/>
    </w:lvl>
  </w:abstractNum>
  <w:abstractNum w:abstractNumId="81">
    <w:nsid w:val="43F18422"/>
    <w:multiLevelType w:val="hybridMultilevel"/>
    <w:lvl w:ilvl="0">
      <w:lvlJc w:val="left"/>
      <w:lvlText w:val="(%1)"/>
      <w:numFmt w:val="lowerLetter"/>
      <w:start w:val="1"/>
    </w:lvl>
  </w:abstractNum>
  <w:abstractNum w:abstractNumId="82">
    <w:nsid w:val="60EF0119"/>
    <w:multiLevelType w:val="hybridMultilevel"/>
    <w:lvl w:ilvl="0">
      <w:lvlJc w:val="left"/>
      <w:lvlText w:val="(%1)"/>
      <w:numFmt w:val="lowerLetter"/>
      <w:start w:val="3"/>
    </w:lvl>
  </w:abstractNum>
  <w:abstractNum w:abstractNumId="83">
    <w:nsid w:val="26F324BA"/>
    <w:multiLevelType w:val="hybridMultilevel"/>
    <w:lvl w:ilvl="0">
      <w:lvlJc w:val="left"/>
      <w:lvlText w:val="(%1)"/>
      <w:numFmt w:val="lowerLetter"/>
      <w:start w:val="1"/>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lowerLetter"/>
      <w:start w:val="3"/>
    </w:lvl>
  </w:abstractNum>
  <w:abstractNum w:abstractNumId="86">
    <w:nsid w:val="7055A5F5"/>
    <w:multiLevelType w:val="hybridMultilevel"/>
    <w:lvl w:ilvl="0">
      <w:lvlJc w:val="left"/>
      <w:lvlText w:val="(%1)"/>
      <w:numFmt w:val="lowerLetter"/>
      <w:start w:val="22"/>
    </w:lvl>
  </w:abstractNum>
  <w:abstractNum w:abstractNumId="87">
    <w:nsid w:val="5FB8370B"/>
    <w:multiLevelType w:val="hybridMultilevel"/>
    <w:lvl w:ilvl="0">
      <w:lvlJc w:val="left"/>
      <w:lvlText w:val="(%1)"/>
      <w:numFmt w:val="lowerLetter"/>
      <w:start w:val="1"/>
    </w:lvl>
  </w:abstractNum>
  <w:abstractNum w:abstractNumId="88">
    <w:nsid w:val="50801EE1"/>
    <w:multiLevelType w:val="hybridMultilevel"/>
    <w:lvl w:ilvl="0">
      <w:lvlJc w:val="left"/>
      <w:lvlText w:val="(%1)"/>
      <w:numFmt w:val="lowerLetter"/>
      <w:start w:val="2"/>
    </w:lvl>
  </w:abstractNum>
  <w:abstractNum w:abstractNumId="89">
    <w:nsid w:val="488AC1A"/>
    <w:multiLevelType w:val="hybridMultilevel"/>
    <w:lvl w:ilvl="0">
      <w:lvlJc w:val="left"/>
      <w:lvlText w:val="(%1)"/>
      <w:numFmt w:val="lowerLetter"/>
      <w:start w:val="1"/>
    </w:lvl>
  </w:abstractNum>
  <w:abstractNum w:abstractNumId="90">
    <w:nsid w:val="5FB8011C"/>
    <w:multiLevelType w:val="hybridMultilevel"/>
    <w:lvl w:ilvl="0">
      <w:lvlJc w:val="left"/>
      <w:lvlText w:val="(%1)"/>
      <w:numFmt w:val="lowerLetter"/>
      <w:start w:val="5"/>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lowerLetter"/>
      <w:start w:val="4"/>
    </w:lvl>
  </w:abstractNum>
  <w:abstractNum w:abstractNumId="93">
    <w:nsid w:val="6FC75AF8"/>
    <w:multiLevelType w:val="hybridMultilevel"/>
    <w:lvl w:ilvl="0">
      <w:lvlJc w:val="left"/>
      <w:lvlText w:val="(%1)"/>
      <w:numFmt w:val="lowerLetter"/>
      <w:start w:val="1"/>
    </w:lvl>
  </w:abstractNum>
  <w:abstractNum w:abstractNumId="94">
    <w:nsid w:val="6A5F7029"/>
    <w:multiLevelType w:val="hybridMultilevel"/>
    <w:lvl w:ilvl="0">
      <w:lvlJc w:val="left"/>
      <w:lvlText w:val="(%1)"/>
      <w:numFmt w:val="lowerLetter"/>
      <w:start w:val="1"/>
    </w:lvl>
  </w:abstractNum>
  <w:abstractNum w:abstractNumId="95">
    <w:nsid w:val="7D5E18F8"/>
    <w:multiLevelType w:val="hybridMultilevel"/>
    <w:lvl w:ilvl="0">
      <w:lvlJc w:val="left"/>
      <w:lvlText w:val="%1"/>
      <w:numFmt w:val="upperLetter"/>
      <w:start w:val="61"/>
    </w:lvl>
  </w:abstractNum>
  <w:abstractNum w:abstractNumId="96">
    <w:nsid w:val="5F3534A4"/>
    <w:multiLevelType w:val="hybridMultilevel"/>
    <w:lvl w:ilvl="0">
      <w:lvlJc w:val="left"/>
      <w:lvlText w:val="(%1)"/>
      <w:numFmt w:val="lowerLetter"/>
      <w:start w:val="2"/>
    </w:lvl>
  </w:abstractNum>
  <w:abstractNum w:abstractNumId="97">
    <w:nsid w:val="73A1821B"/>
    <w:multiLevelType w:val="hybridMultilevel"/>
    <w:lvl w:ilvl="0">
      <w:lvlJc w:val="left"/>
      <w:lvlText w:val="(%1)"/>
      <w:numFmt w:val="lowerLetter"/>
      <w:start w:val="4"/>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lowerLetter"/>
      <w:start w:val="2"/>
    </w:lvl>
  </w:abstractNum>
  <w:abstractNum w:abstractNumId="100">
    <w:nsid w:val="3FA62ACA"/>
    <w:multiLevelType w:val="hybridMultilevel"/>
    <w:lvl w:ilvl="0">
      <w:lvlJc w:val="left"/>
      <w:lvlText w:val="(%1)"/>
      <w:numFmt w:val="lowerLetter"/>
      <w:start w:val="3"/>
    </w:lvl>
  </w:abstractNum>
  <w:abstractNum w:abstractNumId="101">
    <w:nsid w:val="14FCE74E"/>
    <w:multiLevelType w:val="hybridMultilevel"/>
    <w:lvl w:ilvl="0">
      <w:lvlJc w:val="left"/>
      <w:lvlText w:val="(%1)"/>
      <w:numFmt w:val="lowerLetter"/>
      <w:start w:val="4"/>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78" Type="http://schemas.openxmlformats.org/officeDocument/2006/relationships/image" Target="media/image28.png"/><Relationship Id="rId79" Type="http://schemas.openxmlformats.org/officeDocument/2006/relationships/image" Target="media/image29.png"/><Relationship Id="rId80" Type="http://schemas.openxmlformats.org/officeDocument/2006/relationships/image" Target="media/image30.png"/><Relationship Id="rId81" Type="http://schemas.openxmlformats.org/officeDocument/2006/relationships/image" Target="media/image31.png"/><Relationship Id="rId82" Type="http://schemas.openxmlformats.org/officeDocument/2006/relationships/image" Target="media/image32.png"/><Relationship Id="rId83" Type="http://schemas.openxmlformats.org/officeDocument/2006/relationships/image" Target="media/image33.png"/><Relationship Id="rId84" Type="http://schemas.openxmlformats.org/officeDocument/2006/relationships/image" Target="media/image34.png"/><Relationship Id="rId85" Type="http://schemas.openxmlformats.org/officeDocument/2006/relationships/image" Target="media/image35.png"/><Relationship Id="rId86" Type="http://schemas.openxmlformats.org/officeDocument/2006/relationships/image" Target="media/image36.png"/><Relationship Id="rId35" Type="http://schemas.openxmlformats.org/officeDocument/2006/relationships/hyperlink" Target="http://www.sec.gov/Archives/edgar/data/1604665/000119312515162335/d919736dex21.htm" TargetMode="External"/><Relationship Id="rId36" Type="http://schemas.openxmlformats.org/officeDocument/2006/relationships/hyperlink" Target="http://www.sec.gov/Archives/edgar/data/1604665/000119312517294448/d420558dex21.htm" TargetMode="External"/><Relationship Id="rId37" Type="http://schemas.openxmlformats.org/officeDocument/2006/relationships/hyperlink" Target="http://www.sec.gov/Archives/edgar/data/0001604665/000119312519087399/d929398dex21.htm" TargetMode="External"/><Relationship Id="rId38" Type="http://schemas.openxmlformats.org/officeDocument/2006/relationships/hyperlink" Target="http://www.sec.gov/Archives/edgar/data/1604665/000119312514164760/d715499dex31.htm" TargetMode="External"/><Relationship Id="rId39" Type="http://schemas.openxmlformats.org/officeDocument/2006/relationships/hyperlink" Target="http://www.sec.gov/Archives/edgar/data/1604665/000119312514303305/d756630dex31.htm" TargetMode="External"/><Relationship Id="rId40" Type="http://schemas.openxmlformats.org/officeDocument/2006/relationships/hyperlink" Target="http://www.sec.gov/Archives/edgar/data/1604665/000119312517345554/d493400dex31.htm" TargetMode="External"/><Relationship Id="rId41" Type="http://schemas.openxmlformats.org/officeDocument/2006/relationships/hyperlink" Target="http://www.sec.gov/Archives/edgar/data/1604665/000160466518000007/ex3412311710k.htm" TargetMode="External"/><Relationship Id="rId42" Type="http://schemas.openxmlformats.org/officeDocument/2006/relationships/hyperlink" Target="http://www.sec.gov/Archives/edgar/data/1604665/000119312518231463/d583758dex31.htm" TargetMode="External"/><Relationship Id="rId43" Type="http://schemas.openxmlformats.org/officeDocument/2006/relationships/hyperlink" Target="http://www.sec.gov/Archives/edgar/data/1262823/000119312506005830/dex41.htm" TargetMode="External"/><Relationship Id="rId44" Type="http://schemas.openxmlformats.org/officeDocument/2006/relationships/hyperlink" Target="http://www.sec.gov/Archives/edgar/data/1262823/000119312510155766/dex42.htm" TargetMode="External"/><Relationship Id="rId45" Type="http://schemas.openxmlformats.org/officeDocument/2006/relationships/hyperlink" Target="http://www.sec.gov/Archives/edgar/data/1262823/000119312510276447/dex42.htm" TargetMode="External"/><Relationship Id="rId46" Type="http://schemas.openxmlformats.org/officeDocument/2006/relationships/hyperlink" Target="http://www.sec.gov/Archives/edgar/data/1262823/000119312510276447/dex43.htm" TargetMode="External"/><Relationship Id="rId47" Type="http://schemas.openxmlformats.org/officeDocument/2006/relationships/hyperlink" Target="http://www.sec.gov/Archives/edgar/data/1262823/000119312508034397/dex47.htm" TargetMode="External"/><Relationship Id="rId48" Type="http://schemas.openxmlformats.org/officeDocument/2006/relationships/hyperlink" Target="http://www.sec.gov/Archives/edgar/data/1262823/000119312512303588/d381139dex42.htm" TargetMode="External"/><Relationship Id="rId49" Type="http://schemas.openxmlformats.org/officeDocument/2006/relationships/hyperlink" Target="http://www.sec.gov/Archives/edgar/data/1262823/000126282313000007/exhibit41612311210k.htm" TargetMode="External"/><Relationship Id="rId50" Type="http://schemas.openxmlformats.org/officeDocument/2006/relationships/hyperlink" Target="http://www.sec.gov/Archives/edgar/data/1262823/000119312516678207/d235680dex42.htm" TargetMode="External"/><Relationship Id="rId51" Type="http://schemas.openxmlformats.org/officeDocument/2006/relationships/hyperlink" Target="http://www.sec.gov/Archives/edgar/data/1262823/000119312516703435/d271644dex42.htm" TargetMode="External"/><Relationship Id="rId52" Type="http://schemas.openxmlformats.org/officeDocument/2006/relationships/hyperlink" Target="http://www.sec.gov/Archives/edgar/data/1262823/000119312517353189/d499857dex42.htm" TargetMode="External"/><Relationship Id="rId53" Type="http://schemas.openxmlformats.org/officeDocument/2006/relationships/hyperlink" Target="http://www.sec.gov/Archives/edgar/data/1262823/000119312517353189/d499857dex43.htm" TargetMode="External"/><Relationship Id="rId54" Type="http://schemas.openxmlformats.org/officeDocument/2006/relationships/hyperlink" Target="http://www.sec.gov/Archives/edgar/data/1262823/000126282318000008/exhibit41912311710-k.htm" TargetMode="External"/><Relationship Id="rId55" Type="http://schemas.openxmlformats.org/officeDocument/2006/relationships/hyperlink" Target="http://www.sec.gov/Archives/edgar/data/1604665/000119312519092653/d728262dex41.htm" TargetMode="External"/><Relationship Id="rId56" Type="http://schemas.openxmlformats.org/officeDocument/2006/relationships/hyperlink" Target="http://www.sec.gov/Archives/edgar/data/1262823/000119312519195643/d770084dex42.htm" TargetMode="External"/><Relationship Id="rId57" Type="http://schemas.openxmlformats.org/officeDocument/2006/relationships/hyperlink" Target="http://www.sec.gov/Archives/edgar/data/1262823/000119312519195643/d770084dex44.htm" TargetMode="External"/><Relationship Id="rId58" Type="http://schemas.openxmlformats.org/officeDocument/2006/relationships/hyperlink" Target="http://www.sec.gov/Archives/edgar/data/1604665/000119312514303305/d756630dex101.htm" TargetMode="External"/><Relationship Id="rId59" Type="http://schemas.openxmlformats.org/officeDocument/2006/relationships/hyperlink" Target="http://www.sec.gov/Archives/edgar/data/1604665/000119312514303305/d756630dex102.htm" TargetMode="External"/><Relationship Id="rId60" Type="http://schemas.openxmlformats.org/officeDocument/2006/relationships/hyperlink" Target="http://www.sec.gov/Archives/edgar/data/1604665/000119312514303305/d756630dex103.htm" TargetMode="External"/><Relationship Id="rId61" Type="http://schemas.openxmlformats.org/officeDocument/2006/relationships/hyperlink" Target="http://www.sec.gov/Archives/edgar/data/1604665/000119312514303305/d756630dex104.htm" TargetMode="External"/><Relationship Id="rId62" Type="http://schemas.openxmlformats.org/officeDocument/2006/relationships/hyperlink" Target="http://www.sec.gov/Archives/edgar/data/1604665/000119312514303305/d756630dex105.htm" TargetMode="External"/><Relationship Id="rId63" Type="http://schemas.openxmlformats.org/officeDocument/2006/relationships/hyperlink" Target="http://www.sec.gov/Archives/edgar/data/1604665/000119312514303305/d756630dex106.htm" TargetMode="External"/><Relationship Id="rId64" Type="http://schemas.openxmlformats.org/officeDocument/2006/relationships/hyperlink" Target="http://www.sec.gov/Archives/edgar/data/1604665/000119312514303305/d756630dex107.htm" TargetMode="External"/><Relationship Id="rId65" Type="http://schemas.openxmlformats.org/officeDocument/2006/relationships/hyperlink" Target="http://www.sec.gov/Archives/edgar/data/1604665/000119312514303305/d756630dex109.htm" TargetMode="External"/><Relationship Id="rId66" Type="http://schemas.openxmlformats.org/officeDocument/2006/relationships/hyperlink" Target="http://www.sec.gov/Archives/edgar/data/1604665/000119312514303305/d756630dex108.htm" TargetMode="External"/><Relationship Id="rId67" Type="http://schemas.openxmlformats.org/officeDocument/2006/relationships/hyperlink" Target="http://www.sec.gov/Archives/edgar/data/1604665/000119312515162335/d919736dex101.htm" TargetMode="External"/><Relationship Id="rId68" Type="http://schemas.openxmlformats.org/officeDocument/2006/relationships/hyperlink" Target="http://www.sec.gov/Archives/edgar/data/1262823/000126282316000049/exhibit103_20160930.htm" TargetMode="External"/><Relationship Id="rId69" Type="http://schemas.openxmlformats.org/officeDocument/2006/relationships/hyperlink" Target="http://www.sec.gov/Archives/edgar/data/1604665/000160466516000044/exhibit101_20160630.htm" TargetMode="External"/><Relationship Id="rId70" Type="http://schemas.openxmlformats.org/officeDocument/2006/relationships/hyperlink" Target="http://www.sec.gov/Archives/edgar/data/1604665/000160466517000008/ex102012311610k.htm" TargetMode="External"/><Relationship Id="rId71" Type="http://schemas.openxmlformats.org/officeDocument/2006/relationships/hyperlink" Target="http://www.sec.gov/Archives/edgar/data/1604665/000160466517000033/exhibit101_20170930.htm" TargetMode="External"/><Relationship Id="rId72" Type="http://schemas.openxmlformats.org/officeDocument/2006/relationships/hyperlink" Target="http://www.sec.gov/Archives/edgar/data/1604665/000160466517000025/exhibit101_20170630.htm" TargetMode="External"/><Relationship Id="rId73" Type="http://schemas.openxmlformats.org/officeDocument/2006/relationships/hyperlink" Target="http://www.sec.gov/Archives/edgar/data/1604665/000160466518000007/ex102412311710k.htm" TargetMode="External"/><Relationship Id="rId74" Type="http://schemas.openxmlformats.org/officeDocument/2006/relationships/hyperlink" Target="http://www.sec.gov/Archives/edgar/data/1604665/000160466518000007/ex101212311710k.htm" TargetMode="External"/><Relationship Id="rId75" Type="http://schemas.openxmlformats.org/officeDocument/2006/relationships/hyperlink" Target="http://www.sec.gov/Archives/edgar/data/1604665/000119312518294123/d633576dex11.htm" TargetMode="External"/><Relationship Id="rId76" Type="http://schemas.openxmlformats.org/officeDocument/2006/relationships/hyperlink" Target="http://www.sec.gov/Archives/edgar/data/1604665/000160466518000027/exhibit101_20180930.htm" TargetMode="External"/><Relationship Id="rId77" Type="http://schemas.openxmlformats.org/officeDocument/2006/relationships/hyperlink" Target="http://www.sec.gov/Archives/edgar/data/1604665/000160466518000027/exhibit102_2018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2020-02-28T11:35:41Z</dcterms:created>
  <dcterms:modified xsi:type="dcterms:W3CDTF">2020-02-28T11:35:41Z</dcterms:modified>
</cp:coreProperties>
</file>