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90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001-36567</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Westlake Chemical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gridSpan w:val="3"/>
          </w:tcPr>
          <w:p>
            <w:pPr>
              <w:jc w:val="center"/>
              <w:ind w:left="301"/>
              <w:spacing w:after="0"/>
              <w:rPr>
                <w:sz w:val="20"/>
                <w:szCs w:val="20"/>
                <w:color w:val="auto"/>
              </w:rPr>
            </w:pPr>
            <w:r>
              <w:rPr>
                <w:rFonts w:ascii="Arial" w:cs="Arial" w:eastAsia="Arial" w:hAnsi="Arial"/>
                <w:sz w:val="18"/>
                <w:szCs w:val="18"/>
                <w:b w:val="1"/>
                <w:bCs w:val="1"/>
                <w:color w:val="auto"/>
                <w:w w:val="91"/>
              </w:rPr>
              <w:t>32-0436529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2"/>
              </w:rPr>
              <w:t>(State or other jurisdiction of</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3"/>
              </w:rPr>
              <w:t>incorporation or organization)</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4"/>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9"/>
              </w:rPr>
              <w:t>2801 Post Oak Boulevard, Suite 600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7"/>
              </w:rPr>
              <w:t>Houston, Texas 77056</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gridSpan w:val="2"/>
          </w:tcPr>
          <w:p>
            <w:pPr>
              <w:jc w:val="center"/>
              <w:ind w:left="3557"/>
              <w:spacing w:after="0"/>
              <w:rPr>
                <w:sz w:val="20"/>
                <w:szCs w:val="20"/>
                <w:color w:val="auto"/>
              </w:rPr>
            </w:pPr>
            <w:r>
              <w:rPr>
                <w:rFonts w:ascii="Arial" w:cs="Arial" w:eastAsia="Arial" w:hAnsi="Arial"/>
                <w:sz w:val="18"/>
                <w:szCs w:val="18"/>
                <w:b w:val="1"/>
                <w:bCs w:val="1"/>
                <w:color w:val="auto"/>
                <w:w w:val="90"/>
              </w:rPr>
              <w:t>(713) 585-2900</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4320" w:type="dxa"/>
            <w:vAlign w:val="bottom"/>
          </w:tcPr>
          <w:p>
            <w:pPr>
              <w:jc w:val="center"/>
              <w:ind w:left="91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640" w:type="dxa"/>
            <w:vAlign w:val="bottom"/>
          </w:tcPr>
          <w:p>
            <w:pPr>
              <w:spacing w:after="0"/>
              <w:rPr>
                <w:sz w:val="24"/>
                <w:szCs w:val="24"/>
                <w:color w:val="auto"/>
              </w:rPr>
            </w:pPr>
          </w:p>
        </w:tc>
        <w:tc>
          <w:tcPr>
            <w:tcW w:w="5980" w:type="dxa"/>
            <w:vAlign w:val="bottom"/>
            <w:gridSpan w:val="3"/>
          </w:tcPr>
          <w:p>
            <w:pPr>
              <w:ind w:left="48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960" w:type="dxa"/>
            <w:vAlign w:val="bottom"/>
            <w:gridSpan w:val="2"/>
          </w:tcPr>
          <w:p>
            <w:pPr>
              <w:jc w:val="center"/>
              <w:ind w:right="2076"/>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5"/>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0"/>
              </w:rPr>
              <w:t>Common units representing limited partner interests</w:t>
            </w:r>
          </w:p>
        </w:tc>
        <w:tc>
          <w:tcPr>
            <w:tcW w:w="29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New York Stock Exchange, Inc.</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6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86" w:gutter="0" w:footer="0" w:header="0"/>
        </w:sectPr>
      </w:pPr>
    </w:p>
    <w:p>
      <w:pPr>
        <w:spacing w:after="0" w:line="15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5">
            <w:col w:w="2080" w:space="100"/>
            <w:col w:w="620" w:space="720"/>
            <w:col w:w="2000" w:space="720"/>
            <w:col w:w="1940" w:space="720"/>
            <w:col w:w="2520"/>
          </w:cols>
          <w:pgMar w:left="240" w:top="229" w:right="239" w:bottom="86" w:gutter="0" w:footer="0" w:header="0"/>
          <w:type w:val="continuous"/>
        </w:sectPr>
      </w:pPr>
    </w:p>
    <w:p>
      <w:pPr>
        <w:jc w:val="center"/>
        <w:ind w:left="2780"/>
        <w:spacing w:after="0"/>
        <w:rPr>
          <w:sz w:val="20"/>
          <w:szCs w:val="20"/>
          <w:color w:val="auto"/>
        </w:rPr>
      </w:pPr>
      <w:r>
        <w:rPr>
          <w:rFonts w:ascii="Arial" w:cs="Arial" w:eastAsia="Arial" w:hAnsi="Arial"/>
          <w:sz w:val="16"/>
          <w:szCs w:val="16"/>
          <w:color w:val="auto"/>
        </w:rPr>
        <w:t>(Do not check if a smaller</w:t>
      </w:r>
    </w:p>
    <w:p>
      <w:pPr>
        <w:spacing w:after="0" w:line="46" w:lineRule="exact"/>
        <w:rPr>
          <w:sz w:val="24"/>
          <w:szCs w:val="24"/>
          <w:color w:val="auto"/>
        </w:rPr>
      </w:pPr>
    </w:p>
    <w:p>
      <w:pPr>
        <w:jc w:val="center"/>
        <w:ind w:left="2780"/>
        <w:spacing w:after="0"/>
        <w:rPr>
          <w:sz w:val="20"/>
          <w:szCs w:val="20"/>
          <w:color w:val="auto"/>
        </w:rPr>
      </w:pPr>
      <w:r>
        <w:rPr>
          <w:rFonts w:ascii="Arial" w:cs="Arial" w:eastAsia="Arial" w:hAnsi="Arial"/>
          <w:sz w:val="18"/>
          <w:szCs w:val="18"/>
          <w:color w:val="auto"/>
        </w:rPr>
        <w:t>reporting company)</w:t>
      </w:r>
    </w:p>
    <w:p>
      <w:pPr>
        <w:sectPr>
          <w:pgSz w:w="11900" w:h="16838" w:orient="portrait"/>
          <w:cols w:equalWidth="0" w:num="1">
            <w:col w:w="11420"/>
          </w:cols>
          <w:pgMar w:left="240" w:top="229" w:right="239" w:bottom="86" w:gutter="0" w:footer="0" w:header="0"/>
          <w:type w:val="continuous"/>
        </w:sectPr>
      </w:pPr>
    </w:p>
    <w:p>
      <w:pPr>
        <w:spacing w:after="0" w:line="13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5">
            <w:col w:w="7840" w:space="160"/>
            <w:col w:w="280" w:space="80"/>
            <w:col w:w="160" w:space="180"/>
            <w:col w:w="220" w:space="100"/>
            <w:col w:w="2400"/>
          </w:cols>
          <w:pgMar w:left="240" w:top="229" w:right="239" w:bottom="86" w:gutter="0" w:footer="0" w:header="0"/>
          <w:type w:val="continuous"/>
        </w:sectPr>
      </w:pPr>
    </w:p>
    <w:p>
      <w:pPr>
        <w:ind w:firstLine="405"/>
        <w:spacing w:after="0" w:line="279" w:lineRule="auto"/>
        <w:rPr>
          <w:sz w:val="20"/>
          <w:szCs w:val="20"/>
          <w:color w:val="auto"/>
        </w:rPr>
      </w:pPr>
      <w:r>
        <w:rPr>
          <w:rFonts w:ascii="Arial" w:cs="Arial" w:eastAsia="Arial" w:hAnsi="Arial"/>
          <w:sz w:val="17"/>
          <w:szCs w:val="17"/>
          <w:color w:val="auto"/>
        </w:rPr>
        <w:t>The aggregate market value of registrant's common units held by non-affiliates of the registrant on June 30, 2016, the end of the registrant's most recently completed second fiscal quarter, based on the closing price on June 30, 2016 of $19.98 on the New York Stock Exchange, was approximately $253.6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pacing w:after="0" w:line="117"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March 2, 2017, the registrant had 14,373,615 common units and 12,686,115 subordinated units outstanding.</w:t>
      </w:r>
    </w:p>
    <w:p>
      <w:pPr>
        <w:sectPr>
          <w:pgSz w:w="11900" w:h="16838" w:orient="portrait"/>
          <w:cols w:equalWidth="0" w:num="1">
            <w:col w:w="11420"/>
          </w:cols>
          <w:pgMar w:left="240" w:top="229" w:right="239" w:bottom="86"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88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880" w:type="dxa"/>
            <w:vAlign w:val="bottom"/>
            <w:vMerge w:val="restart"/>
          </w:tcPr>
          <w:p>
            <w:pPr>
              <w:jc w:val="center"/>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9880" w:type="dxa"/>
            <w:vAlign w:val="bottom"/>
          </w:tcPr>
          <w:p>
            <w:pPr>
              <w:ind w:left="10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1A)</w:t>
              </w:r>
            </w:hyperlink>
          </w:p>
        </w:tc>
        <w:tc>
          <w:tcPr>
            <w:tcW w:w="9880" w:type="dxa"/>
            <w:vAlign w:val="bottom"/>
          </w:tcPr>
          <w:p>
            <w:pPr>
              <w:ind w:left="100"/>
              <w:spacing w:after="0"/>
              <w:rPr>
                <w:rFonts w:ascii="Arial" w:cs="Arial" w:eastAsia="Arial" w:hAnsi="Arial"/>
                <w:sz w:val="18"/>
                <w:szCs w:val="18"/>
                <w:color w:val="auto"/>
              </w:rPr>
            </w:pPr>
            <w:hyperlink w:anchor="page10">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1B)</w:t>
              </w:r>
            </w:hyperlink>
          </w:p>
        </w:tc>
        <w:tc>
          <w:tcPr>
            <w:tcW w:w="9880" w:type="dxa"/>
            <w:vAlign w:val="bottom"/>
          </w:tcPr>
          <w:p>
            <w:pPr>
              <w:ind w:left="100"/>
              <w:spacing w:after="0"/>
              <w:rPr>
                <w:rFonts w:ascii="Arial" w:cs="Arial" w:eastAsia="Arial" w:hAnsi="Arial"/>
                <w:sz w:val="18"/>
                <w:szCs w:val="18"/>
                <w:color w:val="auto"/>
              </w:rPr>
            </w:pPr>
            <w:hyperlink w:anchor="page26">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w:t>
              </w:r>
            </w:hyperlink>
          </w:p>
        </w:tc>
        <w:tc>
          <w:tcPr>
            <w:tcW w:w="9880" w:type="dxa"/>
            <w:vAlign w:val="bottom"/>
          </w:tcPr>
          <w:p>
            <w:pPr>
              <w:ind w:left="100"/>
              <w:spacing w:after="0"/>
              <w:rPr>
                <w:rFonts w:ascii="Arial" w:cs="Arial" w:eastAsia="Arial" w:hAnsi="Arial"/>
                <w:sz w:val="18"/>
                <w:szCs w:val="18"/>
                <w:color w:val="auto"/>
              </w:rPr>
            </w:pPr>
            <w:hyperlink w:anchor="page26">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3)</w:t>
              </w:r>
            </w:hyperlink>
          </w:p>
        </w:tc>
        <w:tc>
          <w:tcPr>
            <w:tcW w:w="9880" w:type="dxa"/>
            <w:vAlign w:val="bottom"/>
          </w:tcPr>
          <w:p>
            <w:pPr>
              <w:ind w:left="100"/>
              <w:spacing w:after="0"/>
              <w:rPr>
                <w:rFonts w:ascii="Arial" w:cs="Arial" w:eastAsia="Arial" w:hAnsi="Arial"/>
                <w:sz w:val="18"/>
                <w:szCs w:val="18"/>
                <w:color w:val="auto"/>
              </w:rPr>
            </w:pPr>
            <w:hyperlink w:anchor="page26">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4)</w:t>
              </w:r>
            </w:hyperlink>
          </w:p>
        </w:tc>
        <w:tc>
          <w:tcPr>
            <w:tcW w:w="9880" w:type="dxa"/>
            <w:vAlign w:val="bottom"/>
          </w:tcPr>
          <w:p>
            <w:pPr>
              <w:ind w:left="100"/>
              <w:spacing w:after="0"/>
              <w:rPr>
                <w:rFonts w:ascii="Arial" w:cs="Arial" w:eastAsia="Arial" w:hAnsi="Arial"/>
                <w:sz w:val="18"/>
                <w:szCs w:val="18"/>
                <w:color w:val="auto"/>
              </w:rPr>
            </w:pPr>
            <w:hyperlink w:anchor="page26">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5)</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880" w:type="dxa"/>
            <w:vAlign w:val="bottom"/>
          </w:tcPr>
          <w:p>
            <w:pPr>
              <w:ind w:left="240"/>
              <w:spacing w:after="0"/>
              <w:rPr>
                <w:rFonts w:ascii="Arial" w:cs="Arial" w:eastAsia="Arial" w:hAnsi="Arial"/>
                <w:sz w:val="18"/>
                <w:szCs w:val="18"/>
                <w:color w:val="auto"/>
              </w:rPr>
            </w:pPr>
            <w:hyperlink w:anchor="page27">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6)</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 xml:space="preserve">Selected Financial </w:t>
              </w:r>
            </w:hyperlink>
            <w:r>
              <w:rPr>
                <w:rFonts w:ascii="Arial" w:cs="Arial" w:eastAsia="Arial" w:hAnsi="Arial"/>
                <w:sz w:val="18"/>
                <w:szCs w:val="18"/>
                <w:color w:val="auto"/>
              </w:rPr>
              <w:t>Data</w:t>
            </w:r>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7)</w:t>
              </w:r>
            </w:hyperlink>
          </w:p>
        </w:tc>
        <w:tc>
          <w:tcPr>
            <w:tcW w:w="9880" w:type="dxa"/>
            <w:vAlign w:val="bottom"/>
          </w:tcPr>
          <w:p>
            <w:pPr>
              <w:ind w:left="100"/>
              <w:spacing w:after="0"/>
              <w:rPr>
                <w:rFonts w:ascii="Arial" w:cs="Arial" w:eastAsia="Arial" w:hAnsi="Arial"/>
                <w:sz w:val="18"/>
                <w:szCs w:val="18"/>
                <w:color w:val="auto"/>
              </w:rPr>
            </w:pPr>
            <w:hyperlink w:anchor="page32">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7A)</w:t>
              </w:r>
            </w:hyperlink>
          </w:p>
        </w:tc>
        <w:tc>
          <w:tcPr>
            <w:tcW w:w="9880" w:type="dxa"/>
            <w:vAlign w:val="bottom"/>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8)</w:t>
              </w:r>
            </w:hyperlink>
          </w:p>
        </w:tc>
        <w:tc>
          <w:tcPr>
            <w:tcW w:w="9880" w:type="dxa"/>
            <w:vAlign w:val="bottom"/>
          </w:tcPr>
          <w:p>
            <w:pPr>
              <w:ind w:left="100"/>
              <w:spacing w:after="0"/>
              <w:rPr>
                <w:rFonts w:ascii="Arial" w:cs="Arial" w:eastAsia="Arial" w:hAnsi="Arial"/>
                <w:sz w:val="18"/>
                <w:szCs w:val="18"/>
                <w:color w:val="auto"/>
              </w:rPr>
            </w:pPr>
            <w:hyperlink w:anchor="page45">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w:t>
              </w:r>
            </w:hyperlink>
          </w:p>
        </w:tc>
        <w:tc>
          <w:tcPr>
            <w:tcW w:w="9880" w:type="dxa"/>
            <w:vAlign w:val="bottom"/>
          </w:tcPr>
          <w:p>
            <w:pPr>
              <w:ind w:left="100"/>
              <w:spacing w:after="0"/>
              <w:rPr>
                <w:rFonts w:ascii="Arial" w:cs="Arial" w:eastAsia="Arial" w:hAnsi="Arial"/>
                <w:sz w:val="18"/>
                <w:szCs w:val="18"/>
                <w:color w:val="auto"/>
              </w:rPr>
            </w:pPr>
            <w:hyperlink w:anchor="page75">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9A)</w:t>
              </w:r>
            </w:hyperlink>
          </w:p>
        </w:tc>
        <w:tc>
          <w:tcPr>
            <w:tcW w:w="9880" w:type="dxa"/>
            <w:vAlign w:val="bottom"/>
          </w:tcPr>
          <w:p>
            <w:pPr>
              <w:ind w:left="100"/>
              <w:spacing w:after="0"/>
              <w:rPr>
                <w:rFonts w:ascii="Arial" w:cs="Arial" w:eastAsia="Arial" w:hAnsi="Arial"/>
                <w:sz w:val="18"/>
                <w:szCs w:val="18"/>
                <w:color w:val="auto"/>
              </w:rPr>
            </w:pPr>
            <w:hyperlink w:anchor="page75">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9B)</w:t>
              </w:r>
            </w:hyperlink>
          </w:p>
        </w:tc>
        <w:tc>
          <w:tcPr>
            <w:tcW w:w="9880" w:type="dxa"/>
            <w:vAlign w:val="bottom"/>
          </w:tcPr>
          <w:p>
            <w:pPr>
              <w:ind w:left="100"/>
              <w:spacing w:after="0"/>
              <w:rPr>
                <w:rFonts w:ascii="Arial" w:cs="Arial" w:eastAsia="Arial" w:hAnsi="Arial"/>
                <w:sz w:val="18"/>
                <w:szCs w:val="18"/>
                <w:color w:val="auto"/>
              </w:rPr>
            </w:pPr>
            <w:hyperlink w:anchor="page75">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76">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10)</w:t>
              </w:r>
            </w:hyperlink>
          </w:p>
        </w:tc>
        <w:tc>
          <w:tcPr>
            <w:tcW w:w="9880" w:type="dxa"/>
            <w:vAlign w:val="bottom"/>
          </w:tcPr>
          <w:p>
            <w:pPr>
              <w:ind w:left="100"/>
              <w:spacing w:after="0"/>
              <w:rPr>
                <w:rFonts w:ascii="Arial" w:cs="Arial" w:eastAsia="Arial" w:hAnsi="Arial"/>
                <w:sz w:val="18"/>
                <w:szCs w:val="18"/>
                <w:color w:val="auto"/>
              </w:rPr>
            </w:pPr>
            <w:hyperlink w:anchor="page76">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11)</w:t>
              </w:r>
            </w:hyperlink>
          </w:p>
        </w:tc>
        <w:tc>
          <w:tcPr>
            <w:tcW w:w="9880" w:type="dxa"/>
            <w:vAlign w:val="bottom"/>
          </w:tcPr>
          <w:p>
            <w:pPr>
              <w:ind w:left="100"/>
              <w:spacing w:after="0"/>
              <w:rPr>
                <w:rFonts w:ascii="Arial" w:cs="Arial" w:eastAsia="Arial" w:hAnsi="Arial"/>
                <w:sz w:val="18"/>
                <w:szCs w:val="18"/>
                <w:color w:val="auto"/>
              </w:rPr>
            </w:pPr>
            <w:hyperlink w:anchor="page80">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12)</w:t>
              </w:r>
            </w:hyperlink>
          </w:p>
        </w:tc>
        <w:tc>
          <w:tcPr>
            <w:tcW w:w="9880" w:type="dxa"/>
            <w:vAlign w:val="bottom"/>
          </w:tcPr>
          <w:p>
            <w:pPr>
              <w:ind w:left="100"/>
              <w:spacing w:after="0"/>
              <w:rPr>
                <w:rFonts w:ascii="Arial" w:cs="Arial" w:eastAsia="Arial" w:hAnsi="Arial"/>
                <w:sz w:val="18"/>
                <w:szCs w:val="18"/>
                <w:color w:val="auto"/>
              </w:rPr>
            </w:pPr>
            <w:hyperlink w:anchor="page85">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13)</w:t>
              </w:r>
            </w:hyperlink>
          </w:p>
        </w:tc>
        <w:tc>
          <w:tcPr>
            <w:tcW w:w="9880" w:type="dxa"/>
            <w:vAlign w:val="bottom"/>
          </w:tcPr>
          <w:p>
            <w:pPr>
              <w:ind w:left="100"/>
              <w:spacing w:after="0"/>
              <w:rPr>
                <w:rFonts w:ascii="Arial" w:cs="Arial" w:eastAsia="Arial" w:hAnsi="Arial"/>
                <w:sz w:val="18"/>
                <w:szCs w:val="18"/>
                <w:color w:val="auto"/>
              </w:rPr>
            </w:pPr>
            <w:hyperlink w:anchor="page87">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14)</w:t>
              </w:r>
            </w:hyperlink>
          </w:p>
        </w:tc>
        <w:tc>
          <w:tcPr>
            <w:tcW w:w="9880" w:type="dxa"/>
            <w:vAlign w:val="bottom"/>
          </w:tcPr>
          <w:p>
            <w:pPr>
              <w:ind w:left="100"/>
              <w:spacing w:after="0"/>
              <w:rPr>
                <w:rFonts w:ascii="Arial" w:cs="Arial" w:eastAsia="Arial" w:hAnsi="Arial"/>
                <w:sz w:val="18"/>
                <w:szCs w:val="18"/>
                <w:color w:val="auto"/>
              </w:rPr>
            </w:pPr>
            <w:hyperlink w:anchor="page89">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91">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15)</w:t>
              </w:r>
            </w:hyperlink>
          </w:p>
        </w:tc>
        <w:tc>
          <w:tcPr>
            <w:tcW w:w="9880" w:type="dxa"/>
            <w:vAlign w:val="bottom"/>
          </w:tcPr>
          <w:p>
            <w:pPr>
              <w:ind w:left="100"/>
              <w:spacing w:after="0"/>
              <w:rPr>
                <w:rFonts w:ascii="Arial" w:cs="Arial" w:eastAsia="Arial" w:hAnsi="Arial"/>
                <w:sz w:val="18"/>
                <w:szCs w:val="18"/>
                <w:color w:val="auto"/>
              </w:rPr>
            </w:pPr>
            <w:hyperlink w:anchor="page91">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August 4, 2014, Westlake Chemical Partners LP completed an initial public offering (the "IPO"). Unless otherwise indicated, references in this Annual Report on Form 10-K (this "report") to "we," "our," "us" or like terms used in the present tense or prospectively, or in reference to the period subsequent to the IPO, refer to Westlake Chemical Partners LP ("Westlake Chemical Partners LP" or the "Partnership"), Westlake Chemical OpCo LP ("OpCo") and Westlake Chemical OpCo GP LLC ("OpCo GP"). Unless the context otherwise requires, references in this report to the "Predecessor" refer to Westlake Chemical Partners LP Predecessor, our predecessor for accounting purposes, and refer to the time periods prior to the IPO. References to "Westlake" refer to Westlake Chemical Corporation and its consolidated subsidiaries other than the Partnership, OpCo GP and OpCo. References to our "board of directors" or our "directors" refer to the board of directors of our general partner and such board's directors, respectively. See Note 2 to our consolidated and combined financial statements for information regarding the closing of the IPO.</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increase the ethylene capacity of the ethylene production facility at Calvert City Olefins;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229" w:lineRule="exact"/>
        <w:rPr>
          <w:sz w:val="20"/>
          <w:szCs w:val="20"/>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10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Chemical and Chemical Data, Inc.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2016.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a Delaware limited partnership formed by Westlake in March 2014 to operate, acquire and develop ethylene production facilities and related assets. On August 4, 2014, we completed our IPO of 12,937,500 common units representing limited partner interests.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Our business and operations are conducted through OpCo. Because we own OpCo's general partner, we have control over all of OpCo's assets and operations. As of December 31, 2016, Westlake held a 86.7% limited partner interest in OpCo and held a 52.2% limited partner interest in us (consisting of 1,436,115 common units and all of the subordinated units), our general partner interest and our incentive distribution rights.</w:t>
      </w:r>
    </w:p>
    <w:p>
      <w:pPr>
        <w:spacing w:after="0" w:line="124"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6"/>
          <w:szCs w:val="16"/>
          <w:color w:val="auto"/>
        </w:rPr>
        <w:t>OpCo's assets are comprised of three ethylene production facilities, which primarily convert ethane into ethylene and have an aggregate annual capacity of approximately 3.4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13.3% limited partner interest in OpCo.</w:t>
      </w:r>
    </w:p>
    <w:p>
      <w:pPr>
        <w:spacing w:after="0" w:line="119"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all of the ethane (and any other feedstocks) required for OpCo to produce ethylene under the Ethylene Sales Agreement (the "Feedstock Supply Agreement").</w:t>
      </w:r>
    </w:p>
    <w:p>
      <w:pPr>
        <w:spacing w:after="0" w:line="10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OpCo primarily uses ethane (a component of natural gas liquids, or NGLs) to produce ethylene. OpCo completed an upgrade and capacity expansion of its Petro 1 ethylene unit at our Lake Charles site in the third quarter of 2016. The Petro 1 expansion project increased OpCo's ethylene capacity by approximately 250 million pounds annually. In January 2016, we announced an expansion project to increase the ethylene capacity at our Calvert City facility. The expansion, along with other initiatives, is expected to increase ethylene capacity by approximately 100 million pounds annually and is targeted for completion during the first half of 2017. The total ethylene capacity at Calvert City Olefins is expected to increase to 730 million pounds annually at the completion of this project.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simplified diagram depicts our organizational structure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5848985" cy="471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71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CEEFF"/>
          </w:tcPr>
          <w:p>
            <w:pPr>
              <w:spacing w:after="0"/>
              <w:rPr>
                <w:sz w:val="23"/>
                <w:szCs w:val="23"/>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Interests of Westlake: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380"/>
              <w:spacing w:after="0"/>
              <w:rPr>
                <w:sz w:val="20"/>
                <w:szCs w:val="20"/>
                <w:color w:val="auto"/>
              </w:rPr>
            </w:pPr>
            <w:r>
              <w:rPr>
                <w:rFonts w:ascii="Arial" w:cs="Arial" w:eastAsia="Arial" w:hAnsi="Arial"/>
                <w:sz w:val="18"/>
                <w:szCs w:val="18"/>
                <w:color w:val="auto"/>
              </w:rPr>
              <w:t>Subordinated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Non-Economic General Partner Interest</w:t>
            </w:r>
          </w:p>
        </w:tc>
        <w:tc>
          <w:tcPr>
            <w:tcW w:w="19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r>
      <w:tr>
        <w:trPr>
          <w:trHeight w:val="270"/>
        </w:trPr>
        <w:tc>
          <w:tcPr>
            <w:tcW w:w="952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1900" w:type="dxa"/>
            <w:vAlign w:val="bottom"/>
            <w:gridSpan w:val="2"/>
          </w:tcPr>
          <w:p>
            <w:pPr>
              <w:ind w:left="1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69"/>
        </w:trPr>
        <w:tc>
          <w:tcPr>
            <w:tcW w:w="95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sole revenue generating asset is our 13.3% limited partner interest in OpCo. We also own the general partner interest of OpCo. OpCo owns:</w:t>
      </w:r>
    </w:p>
    <w:p>
      <w:pPr>
        <w:spacing w:after="0" w:line="102" w:lineRule="exact"/>
        <w:rPr>
          <w:sz w:val="20"/>
          <w:szCs w:val="20"/>
          <w:color w:val="auto"/>
        </w:rPr>
      </w:pPr>
    </w:p>
    <w:p>
      <w:pPr>
        <w:ind w:left="660" w:right="5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630 million pounds; and</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Ethylene Production Facilities</w:t>
      </w:r>
      <w:r>
        <w:rPr>
          <w:rFonts w:ascii="Arial" w:cs="Arial" w:eastAsia="Arial" w:hAnsi="Arial"/>
          <w:sz w:val="18"/>
          <w:szCs w:val="18"/>
          <w:color w:val="auto"/>
        </w:rPr>
        <w:t>. OpCo operates three ethylene production facilities that are situated on real property leased to OpCo by Westlake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Production</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10"/>
              <w:spacing w:after="0" w:line="149" w:lineRule="exact"/>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Primary Uses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(millions of</w:t>
            </w:r>
          </w:p>
        </w:tc>
        <w:tc>
          <w:tcPr>
            <w:tcW w:w="100" w:type="dxa"/>
            <w:vAlign w:val="bottom"/>
          </w:tcPr>
          <w:p>
            <w:pPr>
              <w:spacing w:after="0"/>
              <w:rPr>
                <w:sz w:val="12"/>
                <w:szCs w:val="12"/>
                <w:color w:val="auto"/>
              </w:rPr>
            </w:pPr>
          </w:p>
        </w:tc>
        <w:tc>
          <w:tcPr>
            <w:tcW w:w="3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 (Petro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Ethane, ethane/propane mix, propane,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Lake Charles, Louisiana (Petro 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butane or naphtha</w:t>
            </w:r>
          </w:p>
        </w:tc>
        <w:tc>
          <w:tcPr>
            <w:tcW w:w="1480" w:type="dxa"/>
            <w:vAlign w:val="bottom"/>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Calvert City, Kentucky (Calvert City Olefins)</w:t>
            </w: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or propane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 which includes the additional annual capacity of 250 million resulting from the Lake Charles Petro 1 expansion project that was completed during 2016.</w:t>
      </w:r>
    </w:p>
    <w:p>
      <w:pPr>
        <w:spacing w:after="0" w:line="11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facility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One of OpCo's ethylene production facilities is located at Westlake's Calvert City site, which we refer to as Calvert City Olefins. The capacity of Calvert City Olefins is 630 million pounds per year. We completed a project in early 2014 at Calvert City Olefins to convert its feedstock from propane to ethane and increase its ethylene capacity by approximately 180 million pounds annually. This conversion enabled OpCo to access low-cost ethane produced from the Marcellus Shale versus higher cost propane historically utilized by Calvert City Olefins as a feedstock. In January 2016, we announced an expansion project to increase the ethylene capacity at our Calvert City facility. The expansion, along with other initiatives, is expected to increase ethylene capacity by approximately 100 million pounds annually and is targeted for completion during the first half of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ethylene capacity at Calvert City Olefins is expected to increase to 730 million pounds annually at the completion of this project. This expansion is expected to be funded through borrowings from Westlake.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w:t>
      </w:r>
    </w:p>
    <w:p>
      <w:pPr>
        <w:spacing w:after="0" w:line="4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agrees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OpCo and Westlake entered into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entered into the Omnibus Agreement with Westlake and OpCo,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7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OpCo and Westlake entered into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countries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 operating costs. Pursuant to our arrangement with Westlake, Westlake will indemnify us for liabilities that occurred or existed (in connection with compliance with such laws and regulations) prior to August 4, 2014.</w:t>
      </w:r>
    </w:p>
    <w:p>
      <w:pPr>
        <w:spacing w:after="0" w:line="139"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2016, OpCo incurred capital expenditures of $10.0 million related to environmental compliance. We estimate that OpCo will make capital expenditures of approximately $5.0 million in 2017 and $6.0 million in 2018, respectively, related to environmental compliance.</w:t>
      </w:r>
    </w:p>
    <w:p>
      <w:pPr>
        <w:spacing w:after="0" w:line="13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See the discussion of our environmental matters contained in Item 1A. "Risk Factors" below, Item 3—Legal Proceedings below and in Note 18— Commitments and Contingencies, to the consolidated and combined financial statements within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2016, 141 employees were seconded to OpCo. Of these, 21 are covered by collective bargaining agreements that expire on November 1, 2019. There have been no strikes or lockouts, and neither OpCo nor Westlake has experienced any work stoppages throughout its history. We believe that Westlake's relationship with the local union officials and bargaining committees is open and positive.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ind w:right="360" w:firstLine="405"/>
        <w:spacing w:after="0" w:line="312" w:lineRule="auto"/>
        <w:rPr>
          <w:sz w:val="20"/>
          <w:szCs w:val="20"/>
          <w:color w:val="auto"/>
        </w:rPr>
      </w:pPr>
      <w:r>
        <w:rPr>
          <w:rFonts w:ascii="Arial" w:cs="Arial" w:eastAsia="Arial" w:hAnsi="Arial"/>
          <w:sz w:val="16"/>
          <w:szCs w:val="16"/>
          <w:color w:val="auto"/>
        </w:rPr>
        <w:t>Due to the Ethylene Sales Agreement and integration with Westlake, OpCo does not directly compete with other ethylene producers for 95% of the planned volumes it produces. It is only on the 5% of planned ethylene volumes not sold to Westlake where OpCo competes with other regional merchant ethylene producers, including LyondellBasell Industries, N.V., Royal Dutch Shell, Williams Companies, BASF Corporation and Flint Hills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 xml:space="preserve">We file annual, quarterly and current reports and other documents with the SEC under the Securities Exchange Act of 1934 (the "Exchange Act"). You may read and copy any materials we file with the SEC at the SEC's Public Reference Room at 100 F Street, NE, Washington, DC 20549. You may obtain information on the operations of the Public Reference Room by calling the SEC at (800) SEC-0330. In addition, the SEC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and other information regarding issuers that file electronically with the SEC.</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 xml:space="preserve">We also make available free of charge our Annual Reports on Form 10-K, Quarterly Reports on Form 10-Q, Current Reports on Form 8-K and any amendments to those reports filed or furnished pursuant to Section 13(a) or 15(d) of the Exchange Act, simultaneously with or as soon as reasonably practicable after filing such materials with, or furnishing such materials to, the SEC, and on or through our website, </w:t>
      </w:r>
      <w:r>
        <w:rPr>
          <w:rFonts w:ascii="Arial" w:cs="Arial" w:eastAsia="Arial" w:hAnsi="Arial"/>
          <w:sz w:val="17"/>
          <w:szCs w:val="17"/>
          <w:i w:val="1"/>
          <w:iCs w:val="1"/>
          <w:color w:val="auto"/>
        </w:rPr>
        <w:t>www.wlkpartners.com</w:t>
      </w:r>
      <w:r>
        <w:rPr>
          <w:rFonts w:ascii="Arial" w:cs="Arial" w:eastAsia="Arial" w:hAnsi="Arial"/>
          <w:sz w:val="17"/>
          <w:szCs w:val="17"/>
          <w:color w:val="auto"/>
        </w:rPr>
        <w:t>. The information on our website, or information about us on any other website, is not incorporated by reference into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(which occur approximately every five years) other than under certain circumstances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relating to the occurrence of force majeure. We expect that each of OpCo's facilities will have a turnaround once every five years and will not operate for typically between 25 and 45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3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since the third quarter of 2014 and continuing through 2016 (as of December 31, 2016, approximately 49% lower than their 2014 peak levels)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34" w:lineRule="exact"/>
        <w:rPr>
          <w:sz w:val="20"/>
          <w:szCs w:val="20"/>
          <w:color w:val="auto"/>
        </w:rPr>
      </w:pPr>
    </w:p>
    <w:p>
      <w:pPr>
        <w:ind w:left="660" w:right="2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OpCo's ability to meet minimum volume requirements, yield standards and ethylene quality requirements in the Ethylene Sales Agreement;</w:t>
      </w:r>
    </w:p>
    <w:p>
      <w:pPr>
        <w:spacing w:after="0" w:line="101"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35" w:lineRule="exact"/>
        <w:rPr>
          <w:rFonts w:ascii="Arial" w:cs="Arial" w:eastAsia="Arial" w:hAnsi="Arial"/>
          <w:sz w:val="18"/>
          <w:szCs w:val="18"/>
          <w:color w:val="auto"/>
        </w:rPr>
      </w:pPr>
    </w:p>
    <w:p>
      <w:pPr>
        <w:ind w:left="660" w:right="20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9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6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those experienced since the third quarter of 2014 and continuing through 2016, and could be less than the margin we earn from ethylene sales to Westlake;</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OpCo is a restricted subsidiary under Westlake's credit facility and the indentures governing its senior notes. Restrictions in the indentures could limit OpCo's ability to make distributions to us.</w:t>
      </w:r>
    </w:p>
    <w:p>
      <w:pPr>
        <w:spacing w:after="0" w:line="3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our cash is currently generated from cash distributions from OpCo. Westlake's credit facility and the indentures governing its senior notes impose significant operating and financial restrictions on OpCo. These restrictions limit OpCo's ability to:</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the indentures governing Westlake's senior notes prevent OpCo from making distributions to us if any default or event of default (as defined in the indentures) exists.</w:t>
      </w:r>
    </w:p>
    <w:p>
      <w:pPr>
        <w:spacing w:after="0" w:line="11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These limitations are subject to a number of important qualifications and exceptions. However, the effectiveness of many of these restrictions in the indentures governing Westlake's senior notes is currently suspended under the indentures because the senior notes are currently rated investment grade by at least two nationally recognized credit rating agencies.</w:t>
      </w:r>
    </w:p>
    <w:p>
      <w:pPr>
        <w:spacing w:after="0" w:line="12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 each of which OpCo has guaranteed.</w:t>
      </w:r>
    </w:p>
    <w:p>
      <w:pPr>
        <w:spacing w:after="0" w:line="215"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0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Any sustained disruption in its ability to meet its supply obligations under the Ethylene Sales Agreement could have a material adverse effect on our results of operations and therefore our ability to distribute cash to unitholders.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will reduce our net operating profit.</w:t>
      </w:r>
    </w:p>
    <w:p>
      <w:pPr>
        <w:spacing w:after="0" w:line="3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(such as our plans to upgrade and expand the capacity of Petro 1 and our facility in Calvert City), or operational efficiency. The ethylene sales price also does not increase to cover our public partnership costs. Both of these costs reduce our net operating profit.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1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4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Pursuant to a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9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5"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The amount of cash we have available for distribution depends primarily upon our cash flow, including cash flow from reserves and working capital or borrowings (including any under our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revolving credit facilities when we do not have sufficient cash flows to pay cash distributions.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5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17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intend to establish cash reserves in order to cover turnaround expenditures, the amounts we reserve may not be sufficient to fully cover such expenditures.</w:t>
      </w:r>
    </w:p>
    <w:p>
      <w:pPr>
        <w:spacing w:after="0" w:line="46"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intend to establish cash reserves in order to cover our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Chemical manufacturing facilities may be at greater risk of terrorist attacks than other potential targets in the U.S. As a result, the chemicals industry responded to the issues surrounding the terrorist attacks of September 11, 2001 by starting initiatives relating to the security of chemicals industry facilities and the transportation of hazardous chemicals in the U.S. Simultaneously, local, state and federal governments began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process volatile and hazardous materials that subject us to operating risks that could adversely affect our operating results.</w:t>
      </w:r>
    </w:p>
    <w:p>
      <w:pPr>
        <w:spacing w:after="0" w:line="113"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Our operations are subject to the usual hazards associated with commodity chemical and plastics manufacturing and the related use, storage, transportation and disposal of feedstocks, products and wastes, including:</w:t>
      </w:r>
    </w:p>
    <w:p>
      <w:pPr>
        <w:spacing w:after="0" w:line="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2" w:right="29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We use hazardous substances and generate hazardous wastes and emissions in our manufacturing operations. Our industry is highly regulated and monitored by various environmental regulatory authorities such as the Environmental Protection Agency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2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operations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13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Terrorist activities, anti-terrorist efforts and other armed conflicts involving the U.S. or other jurisdictions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3" w:lineRule="exact"/>
        <w:rPr>
          <w:sz w:val="20"/>
          <w:szCs w:val="20"/>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35"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 which, in turn, may affect the ability of the subordinated units to convert;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left="660" w:right="8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general partner may cause us to borrow funds in order to permit the payment of cash distributions, even if the purpose or effect of the borrowing is to make a distribution on the subordinated units, to make incentive distributions or to accelerate the expiration of the subordination period, or may cause us not to borrow funds to pay cash distributions when we do not otherwise have the funds pay such cash distributions;</w:t>
      </w:r>
    </w:p>
    <w:p>
      <w:pPr>
        <w:spacing w:after="0" w:line="11" w:lineRule="exact"/>
        <w:rPr>
          <w:rFonts w:ascii="Arial" w:cs="Arial" w:eastAsia="Arial" w:hAnsi="Arial"/>
          <w:sz w:val="16"/>
          <w:szCs w:val="16"/>
          <w:color w:val="auto"/>
        </w:rPr>
      </w:pPr>
    </w:p>
    <w:p>
      <w:pPr>
        <w:ind w:left="660" w:right="1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our subordinated units or the incentive distribution rights;</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common units if it and its affiliates own more than 80% of the common units;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"Westlake and other affiliates of our general partner may compete with us."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5"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93"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intends to limit its liability regarding our obligations.</w:t>
      </w:r>
    </w:p>
    <w:p>
      <w:pPr>
        <w:spacing w:after="0" w:line="9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general partner intends to limit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1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commercial borrowings or other debt to finance our growth strategy would result in increased interest expense, which, in turn, may impact the cash that we have available to distribute to our unitholders.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9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35"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1" w:lineRule="exact"/>
        <w:rPr>
          <w:sz w:val="20"/>
          <w:szCs w:val="20"/>
          <w:color w:val="auto"/>
        </w:rPr>
      </w:pPr>
    </w:p>
    <w:p>
      <w:pPr>
        <w:ind w:left="660" w:right="14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3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5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approved by the conflicts committee of the board of directors, although our general partner is not obligated to seek such approval; or</w:t>
      </w:r>
    </w:p>
    <w:p>
      <w:pPr>
        <w:spacing w:after="0" w:line="101" w:lineRule="exact"/>
        <w:rPr>
          <w:rFonts w:ascii="Arial" w:cs="Arial" w:eastAsia="Arial" w:hAnsi="Arial"/>
          <w:sz w:val="17"/>
          <w:szCs w:val="17"/>
          <w:color w:val="auto"/>
        </w:rPr>
      </w:pPr>
    </w:p>
    <w:p>
      <w:pPr>
        <w:ind w:left="980" w:right="6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116"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9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30" w:lineRule="exact"/>
        <w:rPr>
          <w:sz w:val="20"/>
          <w:szCs w:val="20"/>
          <w:color w:val="auto"/>
        </w:rPr>
      </w:pPr>
    </w:p>
    <w:p>
      <w:pPr>
        <w:jc w:val="both"/>
        <w:ind w:right="220" w:firstLine="405"/>
        <w:spacing w:after="0" w:line="288"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ind w:right="20"/>
        <w:spacing w:after="0" w:line="252"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 traded corporations, we will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90" w:lineRule="exact"/>
        <w:rPr>
          <w:sz w:val="20"/>
          <w:szCs w:val="20"/>
          <w:color w:val="auto"/>
        </w:rPr>
      </w:pPr>
    </w:p>
    <w:p>
      <w:pPr>
        <w:ind w:right="60" w:firstLine="405"/>
        <w:spacing w:after="0" w:line="254" w:lineRule="auto"/>
        <w:rPr>
          <w:sz w:val="20"/>
          <w:szCs w:val="20"/>
          <w:color w:val="auto"/>
        </w:rPr>
      </w:pPr>
      <w:r>
        <w:rPr>
          <w:rFonts w:ascii="Arial" w:cs="Arial" w:eastAsia="Arial" w:hAnsi="Arial"/>
          <w:sz w:val="17"/>
          <w:szCs w:val="17"/>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outstanding common and subordinated units voting together as a single class is required to remove our general partner. As of March 2, 2017, Westlake owned an aggregate of 52.2% of our common and subordinated units. In addition, any vote to remove our general partner during the subordination period must provide for the election of a successor general partner by the holders of a majority of the common units and a majority of the subordinated units, voting as separate classes. Both of these conditions provide Westlake the ability to prevent the removal of our general partner.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Tax reform that reduces corporate taxes and allows corporations to distribute more after-tax cash flow could reduce the competitive advantage of operating our business as a publicly traded partnership.</w:t>
      </w:r>
    </w:p>
    <w:p>
      <w:pPr>
        <w:spacing w:after="0" w:line="116"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new administration and current leaders in Congress have proposed tax reform plans that may, if enacted into law, significantly lower the U.S. federal income tax burden of businesses conducted by corporations, allowing (and potentially encouraging) corporations to distribute more after-tax cash to their investors. The passage of any legislation that reduces the U.S. federal income tax burden on corporations without providing a corresponding reduction in U.S. federal income tax rates for individuals applicable to business income from partnerships may reduce the current competitive advantage of operating our business as a publicly traded partnership. Any such legislative changes could have a negative impact on the value of our common units.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9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1" w:lineRule="exact"/>
        <w:rPr>
          <w:sz w:val="20"/>
          <w:szCs w:val="20"/>
          <w:color w:val="auto"/>
        </w:rPr>
      </w:pPr>
    </w:p>
    <w:p>
      <w:pPr>
        <w:ind w:left="5620" w:right="5200" w:hanging="5288"/>
        <w:spacing w:after="0" w:line="659" w:lineRule="auto"/>
        <w:tabs>
          <w:tab w:leader="none" w:pos="6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existing unitholders' proportionate ownership interest in us will decrease; 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a lower percentage of total outstanding units will be subordinated units, the risk that a shortfall in the payment of the minimum quarterly distribution will be borne by our common unitholders will increase;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3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All of the subordinated units will convert into common units on a one-for-one basis at the end of the subordination period. Additionally, 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9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08"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will reduce our earnings and therefore our cash available for distribution to our unitholders. The amount and timing of such reimbursements will be determined by our general partner.</w:t>
      </w:r>
    </w:p>
    <w:p>
      <w:pPr>
        <w:spacing w:after="0" w:line="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will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our earnings and, thereby, our ability to distribute cash to our unitholders.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Section 17-607 of the Delaware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20"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we may not be able to accurately report our financial results or prevent fraud. As a result, current and potential unitholders could lose confidence in our financial reporting, which would harm our business and the trading price of our units.</w:t>
      </w:r>
    </w:p>
    <w:p>
      <w:pPr>
        <w:ind w:right="20" w:firstLine="405"/>
        <w:spacing w:after="0" w:line="255"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Sarbanes-Oxley. Any failure to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units.</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21" w:right="3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as well as us not being subject to a material amount of entity-level taxation by individual states. If the Internal Revenue Service, or IRS, were to treat us as a corporation for federal income tax purposes, or we become subject to entity-level taxation for state tax purposes, our cash available for distribution to you would be substantially reduced.</w:t>
      </w:r>
    </w:p>
    <w:p>
      <w:pPr>
        <w:spacing w:after="0" w:line="1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w:t>
      </w:r>
    </w:p>
    <w:p>
      <w:pPr>
        <w:spacing w:after="0" w:line="11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Despite the fact that we are organized as a limited partnership under Delaware law, we would be treated as a corporation for U.S. federal income tax purposes unless we satisfy a "qualifying income" requirement (the "Qualifying Income Exception") under Section 7704 of the Internal Revenue Code of 1986, as amended (the "Code"). Failure to meet the Qualifying Income Exception would cause us to be treated as a corporation for U.S. federal income tax purposes.</w:t>
      </w:r>
    </w:p>
    <w:p>
      <w:pPr>
        <w:spacing w:after="0" w:line="13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Code. However, no ruling has been or will be requested regarding our treatment as a partnership for U.S. federal income tax purposes. Failure to meet the qualifying income requirement or a change in current law could cause us to be treated as a corporation for U.S. federal income tax purposes or otherwise subject us to taxation as an entity.</w:t>
      </w:r>
    </w:p>
    <w:p>
      <w:pPr>
        <w:spacing w:after="0" w:line="11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If we were treated as a corporation for federal income tax purposes, we would pay U.S. federal income tax on our taxable income at the corporate tax rate. Distributions to you would generally be taxed again as corporate distributions, and no income, gains, losses or deductions would flow through to you. Because a tax would be imposed upon us as a corporation, our cash available for distribution to you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13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Texas and Kentucky impose entity-level franchise or gross receipt taxes on partnerships. In the future, we may expand our operations. Imposition of similar entity-level taxes on us in Louisiana or other jurisdictions that we may expand to could substantially reduce our cash available for distribution to you.</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3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From time to time, members of Congress propose and consider substantive changes to the existing U.S. federal income tax laws that affect publicly traded partnerships. Although there is no current legislative proposal, a prior legislative proposal would have eliminated the qualifying income exception to the treatment of all publicly-traded partnerships as corporations upon which we rely for our treatment as a partnership for U.S. federal income tax purposes.</w:t>
      </w:r>
    </w:p>
    <w:p>
      <w:pPr>
        <w:spacing w:after="0" w:line="53"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However, there can be no assurance that there would not be further changes to the Treasury Department's interpretation of the qualifying income rules in a manner that could impact our ability to qualify as a partnership in the future.</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adopted or enacted. Any similar or future legislative or administrative changes could negatively impact the value of an investment in our common units.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3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IRS may adopt positions that differ from the positions we take in the future.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 directly from us, in which case our cash available for distribution to our unitholders might be substantially reduced.</w:t>
      </w:r>
    </w:p>
    <w:p>
      <w:pPr>
        <w:spacing w:after="0" w:line="4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Our general partner may make elections under the new rules to either pay the taxes (including any applicable penalties and interest) directly to the IRS or, if we are eligible, issue a revised Schedule K-1 to each unitholder with respect to an audited and adjusted return. Although our general partner may elect to have our unitholders take such audit adjustment into account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you do not receive any cash distributions from us, you will be required to pay taxes on your share of our taxable income.</w:t>
      </w:r>
    </w:p>
    <w:p>
      <w:pPr>
        <w:spacing w:after="0" w:line="9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You will be required to pay federal income taxes and, in some cases, state and local income taxes, on your share of our taxable income, whether or not you receive cash distributions from us. You may not receive cash distributions from us equal to your share of our taxable income or even equal to the actual tax due from you with respect to that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tax gain or loss on the disposition of our common units could be more or less than unitholders expect.</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If you sell your common units, you will recognize a gain or loss equal to the difference between the amount realized and your tax basis in those common units. Because distributions in excess of your allocable share of our net taxable income decrease your tax basis in your common units, the amount, if any, of such prior excess distributions with respect to the units you sell will, in effect, become taxable income to you if you sell such units at a price greater than your tax basis in those units, even if the price you receive is less than your original cost. In addition, because the amount realized includes your share of our nonrecourse liabilities, if you sell your units, you may incur a tax liability in excess of the amount of cash you receive from the sale.</w:t>
      </w:r>
    </w:p>
    <w:p>
      <w:pPr>
        <w:spacing w:after="0" w:line="2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 substantial portion of the amount realized from the sale of your units, whether or not representing gain, may be taxed as ordinary income to you due to potential recapture items, including depreciation recapture. Thus, you may recognize both ordinary income and capital loss from the sale of your units if the amount realized on a sale of your units is less than your adjusted basis in the units. Net capital losses may only offset capital gains and, in the case of individuals, up to $3,000 of ordinary income per year. In the taxable period in which you sell your units, you may recognize ordinary income from our allocations of income and gain to you prior to the sale and from recapture items that generally cannot be offset by any capital loss recognized upon the sale of units.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1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Investment in common units by tax-exempt entities, such as employee benefit plans and individual retirement accounts (known as IRAs), and non-U.S. persons raises issues unique to them. For example, virtually all of our income allocated to organizations that are exempt from federal income tax, including IRAs and other retirement plans, will be unrelated business taxable income and will be taxable to them. Allocations and/or distributions to non-U.S. persons are subject to withholding taxes imposed at the highest effective tax rate applicable to such non-U.S. persons, and each non-U.S. person will be required to file U.S. federal tax returns and pay tax on its share of our taxable income. Any tax-exempt entity or a non-U.S. person should consult its tax advisor before investing our common units.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the common units.</w:t>
      </w:r>
    </w:p>
    <w:p>
      <w:pPr>
        <w:spacing w:after="0" w:line="3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our common units or result in audit adjustments to your tax returns.</w:t>
      </w:r>
    </w:p>
    <w:p>
      <w:pPr>
        <w:spacing w:after="0" w:line="214"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 item of income, gain, loss or deduction based upon ownership on the Allocation Date. The U.S. Treasury Department adopted final Treasury Regulations allowing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as having disposed of those units. If so, he would no longer be treated for tax purposes as a partner with respect to those units during the period of the loan and may recognize gain or loss from the disposition.</w:t>
      </w:r>
    </w:p>
    <w:p>
      <w:pPr>
        <w:spacing w:after="0" w:line="46"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Because there are no specific rules governing the U.S. federal income tax consequence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254" w:lineRule="auto"/>
        <w:rPr>
          <w:sz w:val="20"/>
          <w:szCs w:val="20"/>
          <w:color w:val="auto"/>
        </w:rPr>
      </w:pPr>
      <w:r>
        <w:rPr>
          <w:rFonts w:ascii="Arial" w:cs="Arial" w:eastAsia="Arial" w:hAnsi="Arial"/>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modify any applicable brokerage account agreements to prohibit their brokers from borrowing their units.</w:t>
      </w:r>
    </w:p>
    <w:p>
      <w:pPr>
        <w:spacing w:after="0" w:line="217"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b w:val="1"/>
          <w:bCs w:val="1"/>
          <w:i w:val="1"/>
          <w:iCs w:val="1"/>
          <w:color w:val="auto"/>
        </w:rPr>
        <w:t>We have adopted certain valuation methodologies in determining unitholder's allocations of income, gain, loss and deduction. The IRS may challenge these methodologies or the resulting allocations, and such a challenge could adversely affect the value of our common units.</w:t>
      </w:r>
    </w:p>
    <w:p>
      <w:pPr>
        <w:spacing w:after="0" w:line="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33"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timing or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12-month period will result in the termination of our partnership for federal income tax purposes. The sale or exchange of 50% or more of the capital and profits interests in OpCo during any 12-month period will result in the termination of OpCo for federal income tax purposes.</w:t>
      </w:r>
    </w:p>
    <w:p>
      <w:pPr>
        <w:spacing w:after="0" w:line="46"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We will be considered to have terminated our partnership for federal income tax purposes if there is a sale or exchange of 50% or more of the total interests in our capital and profits within a 12-month period. As of December 31, 2016, Westlake owned more than 50% of the total interests in our capital and profits. Therefore, a transfer by Westlake of all or a portion of its interests in us could, in conjunction with the trading of common units held by the public, result in a termination of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partnership for federal income tax purposes. For purposes of determining whether the 50% threshold has been met, multiple sales of the same interest will be counted only once.</w:t>
      </w:r>
    </w:p>
    <w:p>
      <w:pPr>
        <w:spacing w:after="0" w:line="11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termination would, among other things, result in the closing of our taxable year for all unitholders, which would result in us filing two tax returns for one calendar year and could result in a significant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taxable income for the unitholder's taxable year that includes our termination. Our termination would not affect our classification as a partnership for federal income tax purposes, but it would result in our being treated as a new partnership for U.S. federal income tax purposes following the termination. If we were treated as a new partnership, we would be required to make new tax elections and could be subject to penalties if we were unable to determine that a termination occurred. The IRS has announced a relief procedure whereby if a publicly traded partnership that has technically terminated requests and the IRS grants special relief, among other things, the partnership may be permitted to provide only a single Schedule K-1 to unitholders for the two short tax periods included in the year in which the termination occurs.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OpCo is treated as a partnership for federal income tax purposes and will be considered to have technically terminated and to have formed a new partnership for federal income tax purposes if there is a sale or exchange of 50% or more of the total interests in OpCo's capital and profits within a twelve month period. Such a termination could result in a deferral of depreciation deductions allowable in computing our taxable income.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will likely be subject to state and local taxes and income tax return filing requirements in jurisdictions where you do not live as a result of investing in our common units.</w:t>
      </w:r>
    </w:p>
    <w:p>
      <w:pPr>
        <w:spacing w:after="0" w:line="35"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addition to U.S. federal income taxes, you may be subject to other taxes, including foreign, state and local taxes, unincorporated business taxes and estate, inheritance or intangible taxes that are imposed by the various jurisdictions in which we conduct business or own property now or in the future, even if you do not live in any of those jurisdictions. You will likely be required to file foreign, state and local income tax returns and pay state and local income taxes in some or all of these various jurisdictions. Further, you may be subject to penalties for failure to comply with those requirements.</w:t>
      </w:r>
    </w:p>
    <w:p>
      <w:pPr>
        <w:spacing w:after="0" w:line="10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currently own assets and conduct business in Kentucky, Louisiana and Texas. Kentucky and Louisiana currently impose a personal income tax on individuals, Kentucky and Texas impose an entity-level franchise or gross receipts tax on a variety of legal entities, and Kentucky and Louisiana impose a corporate income tax on corporations and other entities treated as corporations for federal income tax purposes. As we make acquisitions or expand our business, we may own assets or conduct business in additional states that impose similar taxes. It is your responsibility to file all U.S. federal, foreign, state and local tax returns.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the ordinary conduct of our business, we and Westlake and Westlake's subsidiaries, including OpCo, are subject to periodic lawsuits, investigations and claims, including environmental claims and employee related matters. See the discussion of our environmental matters contained in Note 18-Commitments and Contingencies, to the consolidated and combined financial statements within this report.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216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common units are listed and traded on the New York Stock Exchange ("NYSE") under the symbol "WLKP." The following table sets forth for the indicated periods the high and low sales prices per unit for our common units on the NYSE: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17.65</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3rd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17.38</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1st Quarter</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24.95</w:t>
            </w:r>
          </w:p>
        </w:tc>
      </w:tr>
    </w:tbl>
    <w:p>
      <w:pPr>
        <w:spacing w:after="0" w:line="17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As of the close of business on March 2, 2017, based upon information received from our transfer agent, there were two holders of record of our common units. We have issued 12,686,115 subordinated units, for which there is no established public trading market. All of the subordinated units are held by Westlake. The principal difference between our common units and subordinated units is that for any quarter during the subordination period, holders of the subordinated units are not entitled to receive any distribution from operating surplus until the common units have received the minimum quarterly distribution from operating surplus for such quarter plus any arrearages in the payment of the minimum quarterly distribution from prior quarters. Subordinated units will not accrue arrearages. When the subordination period ends, all of the subordinated units will convert into an equal number of common units.</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distributions paid to unitholders for the years ended December 31, 2016 and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4"/>
                <w:szCs w:val="14"/>
                <w:color w:val="auto"/>
              </w:rPr>
            </w:pPr>
          </w:p>
        </w:tc>
        <w:tc>
          <w:tcPr>
            <w:tcW w:w="14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Amount per Limited</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Partner Unit</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February 7, 2017</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February 22, 2017</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0.3450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14, 2016</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29, 2016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0.3353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August 9, 2016</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August 23, 2016</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0.3259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10, 2016</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24, 2016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0.3168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11, 2016</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26, 2016</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0.3080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November 9, 2015</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November 27, 2015</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0.2994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13, 2015</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27, 2015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0.2910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May 12, 2015</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May 27, 2015</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0.2829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are a publicly traded partnership and are not subject to federal income tax. Instead, unitholders are required to report their allocable share of our income, gain, loss and deduction, regardless of whether we make distributions.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9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04" w:lineRule="exact"/>
        <w:rPr>
          <w:sz w:val="20"/>
          <w:szCs w:val="20"/>
          <w:color w:val="auto"/>
        </w:rPr>
      </w:pPr>
    </w:p>
    <w:p>
      <w:pPr>
        <w:jc w:val="both"/>
        <w:ind w:right="580" w:firstLine="405"/>
        <w:spacing w:after="0" w:line="342"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9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partnership agreement provides that, during the subordination period, the common units will have the right to receive distributions of available cash from operating surplus each quarter in an amount equal to $0.2750 per common unit, which amount is defined in our partnership agreement as the minimum quarterly distribution, plus any arrearages in the payment of the minimum quarterly distribution on the common units from prior quarters, before any distributions of available cash from operating surplus may be made on the subordinated units. These units are deemed "subordinated" because for a period of time, referred to as the subordination period, the subordinated units will not be entitled to receive any distributions from operating surplus until the common units have received the minimum quarterly distribution plus any arrearages in the payment of the minimum quarterly distribution from prior quarters. Furthermore, no arrearages will be paid on the subordinated units. The practical effect of the subordinated units is to increase the likelihood that during the subordination period there will be sufficient available cash from operating surplus to pay the minimum quarterly distribution on the common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94"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w:t>
      </w:r>
    </w:p>
    <w:p>
      <w:pPr>
        <w:spacing w:after="0" w:line="9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Incentive distribution rights represent the right to receive increasing percentages (15.0%, 25.0% and 50.0%) of quarterly distributions from operating surplus after the minimum quarterly distribution and the target distribution levels have been achieved. Westlake currently holds the incentive distribution rights, but may transfer these rights separately from its general partner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The following information should be read together with "Item 7. Management's Discussion and Analysis of Financial Condition and Results of Operations" and our consolidated and combined financial statements and the related notes included elsewhere in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7"/>
              </w:rPr>
              <w:t>2014</w:t>
            </w:r>
            <w:r>
              <w:rPr>
                <w:rFonts w:ascii="Arial" w:cs="Arial" w:eastAsia="Arial" w:hAnsi="Arial"/>
                <w:sz w:val="8"/>
                <w:szCs w:val="8"/>
                <w:b w:val="1"/>
                <w:bCs w:val="1"/>
                <w:color w:val="auto"/>
                <w:w w:val="97"/>
              </w:rPr>
              <w:t>(1)</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8"/>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Predecessor</w:t>
            </w:r>
          </w:p>
        </w:tc>
        <w:tc>
          <w:tcPr>
            <w:tcW w:w="22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4"/>
                <w:szCs w:val="14"/>
                <w:b w:val="1"/>
                <w:bCs w:val="1"/>
                <w:i w:val="1"/>
                <w:iCs w:val="1"/>
                <w:color w:val="auto"/>
                <w:w w:val="95"/>
              </w:rPr>
              <w:t>Predecessor</w:t>
            </w:r>
          </w:p>
        </w:tc>
        <w:tc>
          <w:tcPr>
            <w:tcW w:w="0" w:type="dxa"/>
            <w:vAlign w:val="bottom"/>
          </w:tcPr>
          <w:p>
            <w:pPr>
              <w:spacing w:after="0"/>
              <w:rPr>
                <w:sz w:val="1"/>
                <w:szCs w:val="1"/>
                <w:color w:val="auto"/>
              </w:rPr>
            </w:pPr>
          </w:p>
        </w:tc>
      </w:tr>
      <w:tr>
        <w:trPr>
          <w:trHeight w:val="27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986,736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1,007,221</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1,749,700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2,127,747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2,249,098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29,256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24,103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611,549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354,525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709,208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846,825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606,798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210,878</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353,403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353,853</w:t>
            </w:r>
          </w:p>
        </w:tc>
        <w:tc>
          <w:tcPr>
            <w:tcW w:w="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509,820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546,546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395,920</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Less: Predecessor net income prior to initial</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offering on August 4, 2014</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subsequent to initial public</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353,853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148,486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314,022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 Westlake</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Chemical Partners LP subsequent to</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initial public offering and limited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40,940</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39,831</w:t>
            </w:r>
          </w:p>
        </w:tc>
        <w:tc>
          <w:tcPr>
            <w:tcW w:w="44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13,577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120" w:type="dxa"/>
            <w:vAlign w:val="bottom"/>
          </w:tcPr>
          <w:p>
            <w:pPr>
              <w:ind w:left="180"/>
              <w:spacing w:after="0"/>
              <w:rPr>
                <w:sz w:val="20"/>
                <w:szCs w:val="20"/>
                <w:color w:val="auto"/>
              </w:rPr>
            </w:pPr>
            <w:r>
              <w:rPr>
                <w:rFonts w:ascii="Arial" w:cs="Arial" w:eastAsia="Arial" w:hAnsi="Arial"/>
                <w:sz w:val="18"/>
                <w:szCs w:val="18"/>
                <w:color w:val="auto"/>
              </w:rPr>
              <w:t>partners' interest in net income</w:t>
            </w:r>
          </w:p>
        </w:tc>
        <w:tc>
          <w:tcPr>
            <w:tcW w:w="34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440" w:type="dxa"/>
            <w:vAlign w:val="bottom"/>
            <w:gridSpan w:val="3"/>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Net income attributable to</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Westlake Chemical Partners LP</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to initial public offering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limited partner unit (basic and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units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Subordinated units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169,559</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194,388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167,593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164,661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43,642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40,336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1,290,349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594,629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384,006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227,638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252,973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847,167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273,812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Distributions per unit </w:t>
            </w:r>
            <w:r>
              <w:rPr>
                <w:rFonts w:ascii="Arial" w:cs="Arial" w:eastAsia="Arial" w:hAnsi="Arial"/>
                <w:sz w:val="25"/>
                <w:szCs w:val="25"/>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 from:</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452,542</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496,821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(231,185)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81,210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64,257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158,440</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(5)</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37,730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465,255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440,702</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797,318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928,320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679,992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1" w:right="25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20" w:hanging="41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amounts for the pre-IPO period from January 1, 2014 through August 3, 2014 and post-IPO period from August 4, 2014 through December 31, 2014.</w:t>
      </w:r>
    </w:p>
    <w:p>
      <w:pPr>
        <w:spacing w:after="0" w:line="35" w:lineRule="exact"/>
        <w:rPr>
          <w:rFonts w:ascii="Arial" w:cs="Arial" w:eastAsia="Arial" w:hAnsi="Arial"/>
          <w:sz w:val="18"/>
          <w:szCs w:val="18"/>
          <w:color w:val="auto"/>
        </w:rPr>
      </w:pPr>
    </w:p>
    <w:p>
      <w:pPr>
        <w:ind w:left="420" w:right="220" w:hanging="41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Pre-IPO 2014 and 2013 Predecessor's other income, net are composed of equity in income of joint venture, claims recovery, franchise taxes and other gains and losses.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90" w:lineRule="exact"/>
        <w:rPr>
          <w:rFonts w:ascii="Arial" w:cs="Arial" w:eastAsia="Arial" w:hAnsi="Arial"/>
          <w:sz w:val="18"/>
          <w:szCs w:val="18"/>
          <w:color w:val="auto"/>
        </w:rPr>
      </w:pPr>
    </w:p>
    <w:p>
      <w:pPr>
        <w:ind w:left="420" w:right="120" w:hanging="412"/>
        <w:spacing w:after="0" w:line="264"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 per unit for 2014 represents cash distributions per common and subordinated units for the initial period from August 4, 2014 to September 30, 2014 and for the quarter ended December 31, 2014. Distribution per unit for 2016 and 2015 represents cash distributions per common and subordinated units for the quarters ended March 31, June 30, September 30 and December 31.</w:t>
      </w:r>
    </w:p>
    <w:p>
      <w:pPr>
        <w:spacing w:after="0" w:line="46" w:lineRule="exact"/>
        <w:rPr>
          <w:rFonts w:ascii="Arial" w:cs="Arial" w:eastAsia="Arial" w:hAnsi="Arial"/>
          <w:sz w:val="18"/>
          <w:szCs w:val="18"/>
          <w:color w:val="auto"/>
        </w:rPr>
      </w:pPr>
    </w:p>
    <w:p>
      <w:pPr>
        <w:ind w:left="420" w:hanging="412"/>
        <w:spacing w:after="0" w:line="286"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also use MLP distributable cash flow (a non-GAAP financial measure)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our IPO less distributable cash flow attributable to Westlake's noncontrolling interest in OpCo.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We believe that the presentation of MLP distributable cash flow provides useful information to investors in assessing our financial condition and results of operations. MLP distributable cash flow should not be considered an alternative to GAAP net income or net cash provided by operating activities. MLP distributable cash flow has important limitations as an analytical tool because it excludes some but not all items that affect net income and net cash provided by operating activities. MLP distributable cash flow should not be considered in isolation or as a substitute for analysis of our results as reported under GAAP. It should be noted that other limited partnerships and companies calculate MLP distributable cash flows differently, and, therefore, MLP distributable cash flows as presented for us may not be comparable to MLP distributable cash flows reported by other partnerships and companies. The following table reconciles MLP distributable cash flow to net income and net cash provided by operating activities, the most directly comparable GAAP financial measures.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5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58"/>
        </w:trPr>
        <w:tc>
          <w:tcPr>
            <w:tcW w:w="57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fixed assets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(8,608)</w:t>
            </w: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equity method investment, net of dividend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4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(82,902)</w:t>
            </w: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509,820</w:t>
            </w: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Add:</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 (3)</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98,210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81,210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31,831</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Contribution to turnaround reserves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28,183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11,947</w:t>
            </w:r>
          </w:p>
        </w:tc>
      </w:tr>
      <w:tr>
        <w:trPr>
          <w:trHeight w:val="270"/>
        </w:trPr>
        <w:tc>
          <w:tcPr>
            <w:tcW w:w="578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 (2)</w:t>
            </w:r>
          </w:p>
        </w:tc>
        <w:tc>
          <w:tcPr>
            <w:tcW w:w="4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120,353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67,935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17,629</w:t>
            </w: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the Predecessor</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4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 in OpCo</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258,560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136,929</w:t>
            </w: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32,405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37,730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13,812</w:t>
            </w: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660" w:hanging="19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2014 balances include the amounts for the period from August 4, 2014 through December 31, 2014 only.</w:t>
      </w:r>
    </w:p>
    <w:p>
      <w:pPr>
        <w:spacing w:after="0" w:line="23" w:lineRule="exact"/>
        <w:rPr>
          <w:rFonts w:ascii="Arial" w:cs="Arial" w:eastAsia="Arial" w:hAnsi="Arial"/>
          <w:sz w:val="18"/>
          <w:szCs w:val="18"/>
          <w:color w:val="auto"/>
        </w:rPr>
      </w:pPr>
    </w:p>
    <w:p>
      <w:pPr>
        <w:ind w:left="660" w:hanging="19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maintenance capital expenditures in 2016 as compared to 2015 is primarily related to the Lake Charles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Petro 1 facility maintenance capital expenditures incurred.</w:t>
      </w:r>
    </w:p>
    <w:p>
      <w:pPr>
        <w:spacing w:after="0" w:line="23" w:lineRule="exact"/>
        <w:rPr>
          <w:sz w:val="20"/>
          <w:szCs w:val="20"/>
          <w:color w:val="auto"/>
        </w:rPr>
      </w:pPr>
    </w:p>
    <w:p>
      <w:pPr>
        <w:ind w:left="460" w:right="2300" w:firstLine="7"/>
        <w:spacing w:after="0" w:line="255"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Higher depreciation and amortization in 2016 as compared to 2015 is primarily related to the increase in the property, plant and equipment and the turnaround deferred costs associated with the Lake Charles Petro 1 facility expansion and turnaround project that was completed in the third quarter of 2016.</w:t>
      </w:r>
    </w:p>
    <w:p>
      <w:pPr>
        <w:spacing w:after="0" w:line="55" w:lineRule="exact"/>
        <w:rPr>
          <w:rFonts w:ascii="Arial" w:cs="Arial" w:eastAsia="Arial" w:hAnsi="Arial"/>
          <w:sz w:val="18"/>
          <w:szCs w:val="18"/>
          <w:color w:val="auto"/>
        </w:rPr>
      </w:pPr>
    </w:p>
    <w:p>
      <w:pPr>
        <w:ind w:left="420" w:hanging="412"/>
        <w:spacing w:after="0" w:line="285"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in addition to the MLP distributable cash flow measure as described above, our management considers EBITDA an important supplemental measure of our performance and believes that it is frequently used by securities analysts, investors and other interested parties in the evaluation of partnerships and companies in our industry, some of which present EBITDA when reporting their results. We regularly evaluate our performance as compared to other partnerships and companies in our industry that have different financing and capital structures and/or tax rates by using EBITDA. EBITDA allows for meaningful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We compensate for these limitations by relying primarily on our GAAP results and using EBITDA only supplementally. The following table reconciles EBITDA to net income and to cash flows from operating activities, the most directly comparable GAAP measures.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r>
      <w:tr>
        <w:trPr>
          <w:trHeight w:val="264"/>
        </w:trPr>
        <w:tc>
          <w:tcPr>
            <w:tcW w:w="3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Predecessor</w:t>
            </w:r>
          </w:p>
        </w:tc>
        <w:tc>
          <w:tcPr>
            <w:tcW w:w="20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Arial" w:cs="Arial" w:eastAsia="Arial" w:hAnsi="Arial"/>
                <w:sz w:val="14"/>
                <w:szCs w:val="14"/>
                <w:b w:val="1"/>
                <w:bCs w:val="1"/>
                <w:i w:val="1"/>
                <w:iCs w:val="1"/>
                <w:color w:val="auto"/>
                <w:w w:val="92"/>
              </w:rPr>
              <w:t>Predecessor</w:t>
            </w:r>
          </w:p>
        </w:tc>
      </w:tr>
      <w:tr>
        <w:trPr>
          <w:trHeight w:val="235"/>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7"/>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287,726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452,542</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602,509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496,821</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from disposition of fixed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8,096</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from equity method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investment, net of dividend</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3920" w:type="dxa"/>
            <w:vAlign w:val="bottom"/>
          </w:tcPr>
          <w:p>
            <w:pPr>
              <w:ind w:left="380"/>
              <w:spacing w:after="0"/>
              <w:rPr>
                <w:sz w:val="20"/>
                <w:szCs w:val="20"/>
                <w:color w:val="auto"/>
              </w:rPr>
            </w:pPr>
            <w:r>
              <w:rPr>
                <w:rFonts w:ascii="Arial" w:cs="Arial" w:eastAsia="Arial" w:hAnsi="Arial"/>
                <w:sz w:val="18"/>
                <w:szCs w:val="18"/>
                <w:color w:val="auto"/>
              </w:rPr>
              <w:t>Changes in operating assets and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920" w:type="dxa"/>
            <w:vAlign w:val="bottom"/>
          </w:tcPr>
          <w:p>
            <w:pPr>
              <w:ind w:left="520"/>
              <w:spacing w:after="0"/>
              <w:rPr>
                <w:sz w:val="20"/>
                <w:szCs w:val="20"/>
                <w:color w:val="auto"/>
              </w:rPr>
            </w:pPr>
            <w:r>
              <w:rPr>
                <w:rFonts w:ascii="Arial" w:cs="Arial" w:eastAsia="Arial" w:hAnsi="Arial"/>
                <w:sz w:val="18"/>
                <w:szCs w:val="18"/>
                <w:color w:val="auto"/>
              </w:rPr>
              <w:t>liabilities and other</w:t>
            </w:r>
          </w:p>
        </w:tc>
        <w:tc>
          <w:tcPr>
            <w:tcW w:w="3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69,436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(97,163)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(105,804)</w:t>
            </w:r>
          </w:p>
        </w:tc>
      </w:tr>
      <w:tr>
        <w:trPr>
          <w:trHeight w:val="27"/>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353,403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353,853</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395,920</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Add:</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64,257</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8,937</w:t>
            </w:r>
          </w:p>
        </w:tc>
      </w:tr>
      <w:tr>
        <w:trPr>
          <w:trHeight w:val="27"/>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300,279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210,878</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440,702</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797,318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928,320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679,992</w:t>
            </w:r>
          </w:p>
        </w:tc>
      </w:tr>
      <w:tr>
        <w:trPr>
          <w:trHeight w:val="20"/>
        </w:trPr>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43"/>
        </w:trPr>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27</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40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accompanying consolidated and combined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1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refer to Westlake Chemical Partners LP ("Westlake Chemical Partners LP" or the "Partnership"), Westlake Chemical OpCo LP ("OpCo") and Westlake Chemical OpCo GP LLC ("OpCo GP"), and references to the Partnership for all periods prior to the IPO refer to the Predecessor. References to "Westlake" refer to Westlake Chemical Corporation and its consolidated subsidiaries other than the Partnership, OpCo GP and OpCo.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On August 4, 2014, we closed our initial public offering (the "IPO") of 12,937,500 common units. We are a Delaware limited partnership formed by Westlake to operate, acquire and develop ethylene production facilities and related assets. Currently, our sole revenue generating asset is our 13.3% limited partner interest in OpCo, a limited partnership formed by Westlake and us in anticipation of the IPO to own and operate an ethylene production business. We control OpCo through our ownership of its general partner. Westlake retains the remaining 86.7% limited partner interest in OpCo as well as a significant interest in us through its ownership of our general partner, 52.2% of our limited partner units (consisting of 1,436,115 common units and all of the subordinated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6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April 29, 2015, we purchased a 2.7% newly-issued limited partner interest in OpCo for approximately $135.3 million, resulting in an aggregate 13.3% limited partner interest in OpCo effective April 1, 2015. In order to fund this purchase, we entered into a revolving credit facility (the "MLP Revolver") with a subsidiary of Westlake, which has a total borrowing capacity of $300.0 million. We intend to rely on the MLP Revolver in making any additional purchases of limited partner interests in OpCo in the future. For more information on the MLP Revolver, please see "Liquidity and Capital Resources—Indebtedness—MLP Revolver."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3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2016, all the third-party ethylene and associated co-products sales generated greater than 13% of our total revenues. The significant drop in crude oil prices since the third quarter of 2014 and continuing through 2016 may create volatility in the North American and global markets, which may result in further reduced prices and margins in third-party ethylene and such co-products sales in 2017.</w:t>
      </w:r>
    </w:p>
    <w:p>
      <w:pPr>
        <w:spacing w:after="0" w:line="13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refer to Note 2 to the consolidated and combined financial statements within this report for more information on the Ethylene Sales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OpCo may purchase the ethane and other feedstocks to produce ethylene and resulting co-products to sell to unrelated third parties from Westlake Petrochemicals LLC.</w:t>
      </w:r>
    </w:p>
    <w:p>
      <w:pPr>
        <w:spacing w:after="0" w:line="133"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Please refer to Note 2 to the consolidated and combined financial statements within this report for more information on the Feedstock Supply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production capacity;</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or increase capacity at our existing production facilities, or add additional production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costs of major maintenance activities, or turnarounds, and amortize the costs over the period until the next planned turnaround of the affected facility.</w:t>
      </w:r>
    </w:p>
    <w:p>
      <w:pPr>
        <w:spacing w:after="0" w:line="1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4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Financial Results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results of operations subsequent to the IPO are not comparable to the Predecessor's historical results of operations for the reasons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Co-products and Excess Feedstock Sales</w:t>
      </w:r>
    </w:p>
    <w:p>
      <w:pPr>
        <w:spacing w:after="0" w:line="9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ethylene to Westlake under the Ethylene Sales Agreement. The Ethylene Sales Agreement contains minimum purchase commitments and pricing that is expected to generate a fixed margin of $0.10 per pound.</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Predecessor's third-party sales consisted of ethylene, feedstock and associated co-products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co-products volume to third parties in a manner consistent with the Predecessor. As such, there are no significant changes to revenue related to the sale of co-products, as compared to the Predecessor's historical revenue from co-products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and other financial and administrative services. These expenses were charged or allocated to the Predecessor based on the nature of the expense and the Predecessor's proportionate share of fixed assets, headcount or other measure, as deemed appropriate. Subsequent to the IPO, under the Services and Secondment Agreement and the Omnibus Agreement, Westlake continues to charge us a combination of direct and allocated charges for similar general corporate services as those charged to the Predecessor historically. We also incur certain annual general and administrative expenses as a result of being a separate publicly traded partnership which were not reflected in the periods prior to the IPO.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tax provision was determined on a separate return basis. Accordingly, we expect our tax provision to be significantly reduced as compared to that of the Predecessor.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the closing of the IPO, Westlake contributed a 5.8% limited partner interest and the general partner interest in OpCo to us. Immediately following the IPO, we used the IPO net proceeds to acquire an additional 4.8% limited partner interest in OpCo directly from OpCo and Westlake retained the remaining 89.4% limited partner interest in OpCo. Subsequently, in April 2015, we purchased an additional 2.7% newly-issued limited partner interest in OpCo, resulting in an aggregate 13.3% limited partner interest in OpCo effective April 1, 2015. Westlake owns the remaining 86.7% limited partner interest in OpCo, which is recorded as noncontrolling interest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60" w:firstLine="392"/>
        <w:spacing w:after="0" w:line="264" w:lineRule="auto"/>
        <w:rPr>
          <w:sz w:val="20"/>
          <w:szCs w:val="20"/>
          <w:color w:val="auto"/>
        </w:rPr>
      </w:pPr>
      <w:r>
        <w:rPr>
          <w:rFonts w:ascii="Arial" w:cs="Arial" w:eastAsia="Arial" w:hAnsi="Arial"/>
          <w:sz w:val="18"/>
          <w:szCs w:val="18"/>
          <w:color w:val="auto"/>
        </w:rPr>
        <w:t>On January 19, 2017, the IRS and U.S. Department of Treasury issued final regulations relating to the Qualifying Income Exception. These final regulations issued by the IRS and Treasury uphold Westlake's private letter ruling and holds that the Partnership's activities constitute "qualifying income." On January 24, 2017, these final regulations were published in the Federal Register. They are now effective.</w:t>
      </w:r>
    </w:p>
    <w:p>
      <w:pPr>
        <w:spacing w:after="0" w:line="4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completed an upgrade and capacity expansion of the Lake Charles Petro 1 ethylene unit in the third quarter of 2016. The Petro 1 expansion project increased OpCo's ethylene capacity by approximately 250 million pounds annually.</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Calvert City Olefins unit experienced an unexpected shutdown that occurred on June 1, 2016. We restarted the unit in mid July 2016 (after 46 days). The unplanned outage was caused by a mechanical failure, which resulted in a force majeure event under the Ethylene Sales Agreement with Westlake.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 Based on the year-end measurement as described above, a buyer deficiency fee was recognized as recoverable from Westlake in our consolidated financial statements.</w:t>
      </w:r>
    </w:p>
    <w:p>
      <w:pPr>
        <w:spacing w:after="0" w:line="139"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In January 2016, we announced an expansion project to increase the ethylene capacity at our Calvert City facility. The expansion, along with other initiatives, is expected to increase ethylene capacity by approximately 100 million pounds annually and is targeted for completion during the first half of 2017. The total ethylene capacity at Calvert City Olefins is expected to increase to 730 million pounds annually at the completion of this project.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table below and descriptions that follow represent the consolidated results of operations of the Partnership for the year 2016 and 2015. The consolidated and combined results of operations for the year 2014 consist of the consolidated results of the Partnership for the period from August 4, 2014 through December 31, 2014 and the combined results of the Predecessor for the period from January 1, 2014 through August 3, 2014. Our consolidated results of operations subsequent to the IPO are not comparable to the Predecessor's historical combined results of operations for the reasons discussed under "Factors Affecting the Comparability of Our Financial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54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547"/>
        </w:trPr>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13"/>
          </w:tcPr>
          <w:p>
            <w:pPr>
              <w:jc w:val="center"/>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080" w:type="dxa"/>
            <w:vAlign w:val="bottom"/>
            <w:tcBorders>
              <w:bottom w:val="single" w:sz="8" w:color="CCEEFF"/>
            </w:tcBorders>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2"/>
              </w:rPr>
              <w:t>853,719</w:t>
            </w: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834,918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1,292,089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co-products, ethylene and feedstock sales—third parties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8"/>
                <w:szCs w:val="18"/>
                <w:color w:val="auto"/>
                <w:w w:val="92"/>
              </w:rPr>
              <w:t>133,017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172,303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457,611</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2"/>
              </w:rPr>
              <w:t>986,736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1,007,221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1,749,700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8"/>
                <w:szCs w:val="18"/>
                <w:color w:val="auto"/>
                <w:w w:val="92"/>
              </w:rPr>
              <w:t>391,331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382,882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745,812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23,550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2"/>
              </w:rPr>
              <w:t>366,444</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359,332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716,556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Interest expense—Westlake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(12,607)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2"/>
              </w:rPr>
              <w:t>354,438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354,525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709,208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199,388</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spacing w:after="0"/>
              <w:rPr>
                <w:sz w:val="20"/>
                <w:szCs w:val="20"/>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2"/>
              </w:rPr>
              <w:t>353,403</w:t>
            </w:r>
          </w:p>
        </w:tc>
        <w:tc>
          <w:tcPr>
            <w:tcW w:w="1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353,853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509,820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Predecessor net income prior to initial public</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 on August 4, 2014</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2"/>
              </w:rPr>
              <w:t>353,403</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353,853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148,486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 OpCo</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2"/>
              </w:rPr>
              <w:t>312,463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314,022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134,909</w:t>
            </w:r>
          </w:p>
        </w:tc>
        <w:tc>
          <w:tcPr>
            <w:tcW w:w="0" w:type="dxa"/>
            <w:vAlign w:val="bottom"/>
          </w:tcPr>
          <w:p>
            <w:pPr>
              <w:spacing w:after="0"/>
              <w:rPr>
                <w:sz w:val="1"/>
                <w:szCs w:val="1"/>
                <w:color w:val="auto"/>
              </w:rPr>
            </w:pPr>
          </w:p>
        </w:tc>
      </w:tr>
      <w:tr>
        <w:trPr>
          <w:trHeight w:val="205"/>
        </w:trPr>
        <w:tc>
          <w:tcPr>
            <w:tcW w:w="5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Partners LP subsequent to initial public offering</w:t>
            </w:r>
          </w:p>
        </w:tc>
        <w:tc>
          <w:tcPr>
            <w:tcW w:w="2080" w:type="dxa"/>
            <w:vAlign w:val="bottom"/>
            <w:gridSpan w:val="3"/>
            <w:vMerge w:val="restart"/>
          </w:tcPr>
          <w:p>
            <w:pPr>
              <w:jc w:val="right"/>
              <w:ind w:right="819"/>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tcPr>
          <w:p>
            <w:pPr>
              <w:jc w:val="right"/>
              <w:ind w:right="19"/>
              <w:spacing w:after="0"/>
              <w:rPr>
                <w:sz w:val="20"/>
                <w:szCs w:val="20"/>
                <w:color w:val="auto"/>
              </w:rPr>
            </w:pPr>
            <w:r>
              <w:rPr>
                <w:rFonts w:ascii="Arial" w:cs="Arial" w:eastAsia="Arial" w:hAnsi="Arial"/>
                <w:sz w:val="18"/>
                <w:szCs w:val="18"/>
                <w:b w:val="1"/>
                <w:bCs w:val="1"/>
                <w:color w:val="auto"/>
              </w:rPr>
              <w:t>40,940</w:t>
            </w:r>
          </w:p>
        </w:tc>
        <w:tc>
          <w:tcPr>
            <w:tcW w:w="7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42"/>
              <w:spacing w:after="0"/>
              <w:rPr>
                <w:sz w:val="20"/>
                <w:szCs w:val="20"/>
                <w:color w:val="auto"/>
              </w:rPr>
            </w:pPr>
            <w:r>
              <w:rPr>
                <w:rFonts w:ascii="Arial" w:cs="Arial" w:eastAsia="Arial" w:hAnsi="Arial"/>
                <w:sz w:val="18"/>
                <w:szCs w:val="18"/>
                <w:b w:val="1"/>
                <w:bCs w:val="1"/>
                <w:color w:val="auto"/>
              </w:rPr>
              <w:t>39,831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13,577</w:t>
            </w:r>
          </w:p>
        </w:tc>
        <w:tc>
          <w:tcPr>
            <w:tcW w:w="0" w:type="dxa"/>
            <w:vAlign w:val="bottom"/>
          </w:tcPr>
          <w:p>
            <w:pPr>
              <w:spacing w:after="0"/>
              <w:rPr>
                <w:sz w:val="1"/>
                <w:szCs w:val="1"/>
                <w:color w:val="auto"/>
              </w:rPr>
            </w:pPr>
          </w:p>
        </w:tc>
      </w:tr>
      <w:tr>
        <w:trPr>
          <w:trHeight w:val="28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and limited partners' interest in net income</w:t>
            </w:r>
          </w:p>
        </w:tc>
        <w:tc>
          <w:tcPr>
            <w:tcW w:w="2080" w:type="dxa"/>
            <w:vAlign w:val="bottom"/>
            <w:gridSpan w:val="3"/>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0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w:t>
            </w:r>
          </w:p>
        </w:tc>
        <w:tc>
          <w:tcPr>
            <w:tcW w:w="7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 LP subsequent to initial public offering</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limited partner unit (basic and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units</w:t>
            </w:r>
          </w:p>
        </w:tc>
        <w:tc>
          <w:tcPr>
            <w:tcW w:w="1080" w:type="dxa"/>
            <w:vAlign w:val="bottom"/>
            <w:tcBorders>
              <w:bottom w:val="single" w:sz="8" w:color="CCEEFF"/>
            </w:tcBorders>
            <w:gridSpan w:val="2"/>
          </w:tcPr>
          <w:p>
            <w:pPr>
              <w:spacing w:after="0"/>
              <w:rPr>
                <w:sz w:val="24"/>
                <w:szCs w:val="24"/>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1"/>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t>
            </w:r>
          </w:p>
        </w:tc>
        <w:tc>
          <w:tcPr>
            <w:tcW w:w="208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1.50</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units—public</w:t>
            </w:r>
          </w:p>
        </w:tc>
        <w:tc>
          <w:tcPr>
            <w:tcW w:w="2800" w:type="dxa"/>
            <w:vAlign w:val="bottom"/>
            <w:tcBorders>
              <w:bottom w:val="single" w:sz="8" w:color="CCEEFF"/>
            </w:tcBorders>
            <w:gridSpan w:val="5"/>
            <w:shd w:val="clear" w:color="auto" w:fill="CCEEFF"/>
          </w:tcPr>
          <w:p>
            <w:pPr>
              <w:jc w:val="right"/>
              <w:ind w:right="19"/>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Common units—Westlake</w:t>
            </w:r>
          </w:p>
        </w:tc>
        <w:tc>
          <w:tcPr>
            <w:tcW w:w="2800" w:type="dxa"/>
            <w:vAlign w:val="bottom"/>
            <w:gridSpan w:val="5"/>
          </w:tcPr>
          <w:p>
            <w:pPr>
              <w:jc w:val="right"/>
              <w:ind w:right="19"/>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units—Westlake</w:t>
            </w:r>
          </w:p>
        </w:tc>
        <w:tc>
          <w:tcPr>
            <w:tcW w:w="1080" w:type="dxa"/>
            <w:vAlign w:val="bottom"/>
            <w:tcBorders>
              <w:bottom w:val="single" w:sz="8" w:color="CCEEFF"/>
            </w:tcBorders>
            <w:gridSpan w:val="2"/>
            <w:shd w:val="clear" w:color="auto" w:fill="CCEEFF"/>
          </w:tcPr>
          <w:p>
            <w:pPr>
              <w:spacing w:after="0"/>
              <w:rPr>
                <w:sz w:val="22"/>
                <w:szCs w:val="22"/>
                <w:color w:val="auto"/>
              </w:rPr>
            </w:pPr>
          </w:p>
        </w:tc>
        <w:tc>
          <w:tcPr>
            <w:tcW w:w="172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2800" w:type="dxa"/>
            <w:vAlign w:val="bottom"/>
            <w:gridSpan w:val="5"/>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2015</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139"/>
              <w:spacing w:after="0" w:line="153" w:lineRule="exact"/>
              <w:rPr>
                <w:sz w:val="20"/>
                <w:szCs w:val="20"/>
                <w:color w:val="auto"/>
              </w:rPr>
            </w:pPr>
            <w:r>
              <w:rPr>
                <w:rFonts w:ascii="Arial" w:cs="Arial" w:eastAsia="Arial" w:hAnsi="Arial"/>
                <w:sz w:val="14"/>
                <w:szCs w:val="14"/>
                <w:b w:val="1"/>
                <w:bCs w:val="1"/>
                <w:color w:val="auto"/>
              </w:rPr>
              <w:t>Average Sales</w:t>
            </w: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vMerge w:val="restart"/>
          </w:tcPr>
          <w:p>
            <w:pPr>
              <w:ind w:left="42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100" w:type="dxa"/>
            <w:vAlign w:val="bottom"/>
            <w:tcBorders>
              <w:top w:val="single" w:sz="8" w:color="auto"/>
            </w:tcBorders>
            <w:gridSpan w:val="3"/>
          </w:tcPr>
          <w:p>
            <w:pPr>
              <w:jc w:val="center"/>
              <w:ind w:left="162"/>
              <w:spacing w:after="0" w:line="153" w:lineRule="exact"/>
              <w:rPr>
                <w:sz w:val="20"/>
                <w:szCs w:val="20"/>
                <w:color w:val="auto"/>
              </w:rPr>
            </w:pPr>
            <w:r>
              <w:rPr>
                <w:rFonts w:ascii="Arial" w:cs="Arial" w:eastAsia="Arial" w:hAnsi="Arial"/>
                <w:sz w:val="14"/>
                <w:szCs w:val="14"/>
                <w:b w:val="1"/>
                <w:bCs w:val="1"/>
                <w:color w:val="auto"/>
                <w:w w:val="89"/>
              </w:rPr>
              <w:t>Average Sales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sales price and volume percentage change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prior year</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-12.1 %</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459"/>
        </w:trPr>
        <w:tc>
          <w:tcPr>
            <w:tcW w:w="5000" w:type="dxa"/>
            <w:vAlign w:val="bottom"/>
          </w:tcPr>
          <w:p>
            <w:pPr>
              <w:spacing w:after="0"/>
              <w:rPr>
                <w:sz w:val="24"/>
                <w:szCs w:val="24"/>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8"/>
                <w:szCs w:val="18"/>
                <w:color w:val="auto"/>
              </w:rPr>
              <w:t>33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70"/>
        </w:trPr>
        <w:tc>
          <w:tcPr>
            <w:tcW w:w="722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(cents/lb)</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Propane (cents/lb)</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24.7</w:t>
            </w:r>
          </w:p>
        </w:tc>
      </w:tr>
      <w:tr>
        <w:trPr>
          <w:trHeight w:val="27"/>
        </w:trPr>
        <w:tc>
          <w:tcPr>
            <w:tcW w:w="6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For the year ended December 31, 2016, net income was $353.4 million on net sales of $986.7 million. This represents a decrease in net income of $0.5 million compared to 2015 net income of $353.9 million on net sales of $1,007.2 million. Net sales for 2016 decreased by $20.5 million as compared to 2015 mainly due to lower overall sales volumes to Westlake and third parties, partially offset by the Shortfall of $63.5 million and buyer deficiency fee of $13.1 million recognized during the year. Income from operations was $366.4 million for 2016 as compared to $359.3 million in 2015. Income from operations for year ended December 31, 2016 increased mainly as a result of the Shortfall recognized during 2016, partially offset by the lower volume of ethylene sales to Westlake and third parties and lower ethylene sales prices to third parties as compared to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by $20.5 million, or 2.0%, to $986.7 million in 2016 from $1,007.2 million in 2015, primarily due to lower sales volume</w:t>
      </w:r>
      <w:r>
        <w:rPr>
          <w:rFonts w:ascii="Arial" w:cs="Arial" w:eastAsia="Arial" w:hAnsi="Arial"/>
          <w:sz w:val="16"/>
          <w:szCs w:val="16"/>
          <w:i w:val="1"/>
          <w:iCs w:val="1"/>
          <w:color w:val="auto"/>
        </w:rPr>
        <w:t xml:space="preserve"> </w:t>
      </w:r>
      <w:r>
        <w:rPr>
          <w:rFonts w:ascii="Arial" w:cs="Arial" w:eastAsia="Arial" w:hAnsi="Arial"/>
          <w:sz w:val="16"/>
          <w:szCs w:val="16"/>
          <w:color w:val="auto"/>
        </w:rPr>
        <w:t>that was partially offset by an increase in average sales price. Lower sales volumes in 2016 resulted in a decrease in net sales by 12.1% as compared to 2015. The decrease in sales volume to Westlake and third parties during 2016 was primarily due to a decrease in ethylene production due to our upgrade and capacity expansion project at the Lake Charles Petro 1 facility and lower ethylene production at the Calvert City Olefins facility due to the unplanned outage during 2016. The increase in average sales price of ethylene and related co-products in 2016 resulted in an increase in net sales by 10.1% as compared to 2015. The increase in average sales price in 2016 was primarily due to the Shortfall, resulting from the higher maintenance capital expenditures, the buyer deficiency fee (primarily because Westlake's obligation to pay under the Ethylene Sales Agreement was not reduced during the first 45 days of the force majeure event in Calvert City in 2016), resulting from Calvert City Olefins facility's unplanned outage, recognized during 2016 and higher ethylene sales prices to Westlake, as compared to 2015. These increases were partially offset by lower ethylene sales price to third parties, as compared to 2015.</w:t>
      </w:r>
    </w:p>
    <w:p>
      <w:pPr>
        <w:spacing w:after="0" w:line="126" w:lineRule="exact"/>
        <w:rPr>
          <w:sz w:val="20"/>
          <w:szCs w:val="20"/>
          <w:color w:val="auto"/>
        </w:rPr>
      </w:pPr>
    </w:p>
    <w:p>
      <w:pPr>
        <w:ind w:right="100" w:firstLine="432"/>
        <w:spacing w:after="0" w:line="303"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margin percentage increased to 39.7% in 2016 from 38.0% in 2015 primarily due to the Shortfall recognized during 2016,</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offset by the lower operating rates at the Lake Charles Petro 1 and Calvert City Olefins ethylene production facilities during 2016, which resulted in lower ethylene sales volumes to Westlake and third parties, as compared to the year ended December 31, 2015.</w:t>
      </w:r>
    </w:p>
    <w:p>
      <w:pPr>
        <w:spacing w:after="0" w:line="9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$1.3 million, or 5.5%, to $24.9 million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from $23.6 million in 2015. The increase was mainly attributable to an increase in general and administrative expense allocation from Westlake during 2016 as compared to the prior year, which was partially offset by lower professional fees.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$7.6 million to $12.6 million in 2016 from $5.0 million in 2015, due to an increase in our 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primarily to fund the capital expenditures related to the Lake Charles Petro 1 upgrade and expansion and the working capital requirements. This increase in interest expense was partially offset by the lower average interest rate for the year ended December 31, 2016 as compared to the prior year due to the April 2015 repayment of a significant portion of the August 2013 Promissory Notes (as defined in "Liquidity and Capital Resources—Indebtedness"), which bear a higher interest rate as compared to our other outstanding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Sales. Net sales decreased by $742.5 million, or 42.4%, to $1,007.2 million in 2015 from $1,749.7 million in 2014, primarily due to a lower average sales price of ethylene sold to Westlake resulting from the execution of the Ethylene Sales Agreement following the IPO, lower average sales price of ethylene sold to third parties due to the significant decline in market prices in 2015 and a lower volume of ethylene sold to third parties, partially offset by increased volume of ethylene sold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Westlake in 2015 as compared to 2014. The total ethylene sales volume in 2015 was lower as compared to 2014 due primarily to Westlake's retention of the Predecessor's ethylene procurement and reselling activities, which was partially offset by higher production in 2015 resulting from the Calvert City Olefins expansion in 2014 and other efficiency projects. Further, co-product sales prices were significantly lower in 2015 as compared to 2014, primarily due to the significant decline in market prices of coproducts, which resulted in a decrease in co-product sales to third parties. This decrease in sales prices was partially offset by an increase in volume of co-product sales to third parties. Additionally, there were no excess feedstock sales subsequent to the IPO in 2014 or in 2015 as such activities were retained by Westlake. The overall average sales prices of ethylene and co-products in 2015 decreased by 38.0% as compared to 2014 and overall sales volumes in 2015 decreased by 4.4% as compared to 2014.</w:t>
      </w:r>
    </w:p>
    <w:p>
      <w:pPr>
        <w:spacing w:after="0" w:line="12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percentage decreased to 38.0% in 2015 from 42.6% in 2014 primarily due to a reduction in margin for ethylene sold to</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resulting from the Ethylene Sales Agreement and also due to the decline in margin from ethylene sold to third parties as a result of the significant decline in ethylene market prices during 2015. The decrease was largely offset by a drop in feedstock prices, a decrease in energy costs as well as the absence in 2015 of costs and lost production associated with the Calvert City Olefins turnaround, conversion and expansion activities that took place during the first and second quarters of 2014.</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by $5.7 million, or</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19.5%, to $23.6 million in 2015 from $29.3 million in 2014. The decrease was mainly attributable to the absence of an allocation from Westlake of labor costs attributable to the Predecessor's operations retained by Westlake after the IPO, partially offset by incremental selling, general and administrative expenses incurred by the Partnership subsequent to the IPO as a result of being a separate publicly-traded partnership.</w:t>
      </w:r>
    </w:p>
    <w:p>
      <w:pPr>
        <w:spacing w:after="0" w:line="13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$5.5 million to $5.0 million in 2015 from $10.5 million in 2014, primarily due to a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in 2015 as compared to the prior year. The lower average interest rate in 2015 as compared to the prior year was due to the repayment of a significant portion of the August 2013 Promissory Notes (as defined in "Liquidity and Capital Resources—Indebtedness") in April 2015, which bear a higher interest rate as compared to our other outstanding debt.</w:t>
      </w:r>
    </w:p>
    <w:p>
      <w:pPr>
        <w:spacing w:after="0" w:line="133"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Other income, net decreased by $3.0 million to $0.2 million in 2015 from $3.2 million in 2014, primarily due to the absence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attributable to the Predecessor's equity stake in a natural gas liquids pipeline joint venture that was not contributed to us in connection with the IPO.</w:t>
      </w:r>
    </w:p>
    <w:p>
      <w:pPr>
        <w:spacing w:after="0" w:line="70" w:lineRule="exact"/>
        <w:rPr>
          <w:sz w:val="20"/>
          <w:szCs w:val="20"/>
          <w:color w:val="auto"/>
        </w:rPr>
      </w:pPr>
    </w:p>
    <w:p>
      <w:pPr>
        <w:jc w:val="both"/>
        <w:ind w:right="2260" w:firstLine="432"/>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0.2% in 2015 as compared to 28.1% for 2014. The effective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in 2015 is not comparable to the effective income tax rate for 2014 as the Partnership is not subject to federal income taxes subsequent to the IPO.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Operating activities provided cash of $287.7 million in 2016 compared to cash provided of $452.5 million in 2015. The $164.8 million decrease in cash flows from operating activities was mainly due to the Lake Charles Petro 1 facility turnaround, which resulted in a net cash use of approximately $77.9 million during 2016 as compared to $3.5 million of net cash used during 2015, and an increase in the use of cash for working capital purposes, as compared to the prior year.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$89.8 million in 2016 as compared to $19.4 million of cash provided during 2015, resulting in an overall unfavorable change of $109.2 million. This change was primarily due to the Shortfall recognized as Westlake receivable in 2016.</w:t>
      </w:r>
    </w:p>
    <w:p>
      <w:pPr>
        <w:spacing w:after="0" w:line="11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Operating activities provided cash of $452.5 million in 2015 compared to cash provided of $604.0 million in 2014. The $151.5 million decrease in cash flows from operating activities was mainly due to a decrease in net income from operations as a result of the Ethylene Sales Agreement by $155.9 million, partially offset by a decrease in use of cash for working capital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Net cash used for investing activities during 2016 was $299.5 million as compared to net cash used for investing activities of $231.2 million in 2015. Capital expenditures were $299.6 million in 2016 compared to $231.2 million in 2015. Capital expenditures during 2016 and 2015 were primarily incurred for our upgrade and expansion of the Lake Charles Petro 1 facility, which was completed in July 2016, as further discussed under "Liquidity and Capital Resources—Capital Expenditures" below.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Net cash used for investing activities during 2015 was $231.2 million as compared to net cash used for investing activities of $203.0 million in 2014. Capital expenditures were $231.2 million in 2015 compared to $202.8 million in 2014. Capital expenditures in 2015 were primarily incurred in connection with the planned upgrade and expansion of OpCo's Petro 1 facility to increase ethylene production capacity as further discussed under "Liquidity and Capital Resources—Capital Expenditures" below. The remaining capital expenditures in 2015 primarily related to projects to improve production capacity or reduce costs, maintenance and safety projects and environmental projects at our facilities.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cash used for financing activities during 2016 was $68.9 million as compared to net cash used for financing activities of $185.5 million during 2015. The cash outflows during 2016 were related to the distribution of $244.6 million to Westlake and of $34.9 million to other unitholders by the Partnership and OpCo and the repayment of $1.6 million of borrowings under the OpCo Revolver to fund our working capital requirements. The distributions and repayment in 2016 were partially offset by borrowings under the OpCo Revolver of $212.2 million to fund capital expenditures and our working capital requirements.</w:t>
      </w:r>
    </w:p>
    <w:p>
      <w:pPr>
        <w:spacing w:after="0" w:line="13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Net cash used for financing activities during 2015 was $185.5 million as compared to net cash used for financing activities of $267.3 million during 2014. The activity during 2015 was primarily related to the repayment of $135.3 million of the August 2013 Promissory Notes and the distribution of $310.8 million to Westlake and of $31.1 million to other unitholders by the Partnership and OpCo. The repayment and distributions were partially offset by our borrowings under the MLP Revolver to fund the purchase of an additional 2.7% limited partner interest in OpCo in April 2015 for $135.3 million and borrowings under the OpCo Revolver of $156.4 million to fund the capital expenditures for the Petro 2 and Petro 1 ethylene plants.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cash is generated from cash distributions from OpCo. OpCo was a restricted subsidiary and guarantor under Westlake's credit facility and the indentures governing its senior notes until August 2016. These guarantees were released during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33"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On January 27, 2017, the board of directors of Westlake Chemical Partners GP LLC, our general partner, approved a quarterly distribution of $0.3450 per unit payable on February 22, 2017 to unitholders of record on February 7, 2017, and a distribution to the incentive distribution rights holders ("IDR Holders") which equates to approximately $9.5 million per quarter, or approximately $37.9 million per year in aggregate (in each case, including the distribution to the IDR Holders), based on the number of common and subordinated units outstanding on December 31, 2016.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color w:val="auto"/>
        </w:rPr>
        <w:t>We completed an expansion of the Petro 2 ethylene facility in Lake Charles in the first quarter of 2013, which increased OpCo's ethylene production capacity by approximately 240 million pounds annually. We completed an upgrade and capacity expansion of the Lake Charles Petro 1 ethylene unit in the third quarter of 2016, which increased OpCo's ethylene production capacity by approximately 250 million pounds annually.</w:t>
      </w:r>
    </w:p>
    <w:p>
      <w:pPr>
        <w:spacing w:after="0" w:line="11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January 2016, we announced an expansion project to increase the ethylene capacity at our Calvert City facility. The expansion, along with other initiatives, is expected to increase ethylene capacity by approximately 100 million pounds annually and is targeted for completion during the first half of 2017. The total ethylene capacity at Calvert City Olefins is expected to increase to 730 million pounds annually at the completion of this project. This capital project is currently estimated to cost in the range of $70.0 million to $80.0 million and is expected to be funded with borrowings under the OpCo Revolver. As of December 31, 2016, we had incurred a total cost of approximately $38.1 million on this capital project.</w:t>
      </w:r>
    </w:p>
    <w:p>
      <w:pPr>
        <w:spacing w:after="0" w:line="11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April 2014, the Predecessor completed the feedstock conversion and ethylene expansion project at Calvert City Olefins that resulted in approximately 180 million pounds of additional annual capacity and also provided OpCo with 100% ethane feedstock capability at the facility.</w:t>
      </w:r>
    </w:p>
    <w:p>
      <w:pPr>
        <w:spacing w:after="0" w:line="11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Westlake has historically funded capital expenditures related to Lake Charles Olefins and Calvert City Olefins. During the years ended December 31, 2016 and 2015, Westlake loaned OpCo $212.2 million and $291.7 million, respectively, of which $157.6 million and $291.7 million was used for capital expenditures. We expect that Westlake will loan additional cash to OpCo to fund its expansion capital expenditures in the future, but Westlake is under no obligation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As of December 31, 2016, our cash and cash equivalents totaled $88.9 million. In addition, we have a revolving credit facility with Westlake available to supplement cash if needed, as described under "Indebtedness"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As of December 31, 2016,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340" w:firstLine="392"/>
        <w:spacing w:after="0" w:line="286"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("OpCo Revolver") that may be used to fund growth projects and working capital needs. As of December 31, 2016, outstanding borrowings under the OpCo Revolver totaled $427.5 million and bore interest at the LIBOR rate plus 3.0%, which is accrued in arrears quarterly. The OpCo Revolver matures in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2016, the outstanding borrowings under the MLP Revolver totaled $135.3 million. We intend to use the MLP Revolver to purchase additional limited partnership interests in OpCo in the future, in the event OpCo desires to sell such additional interests to us.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to long-term debt, we are required to make payments relating to various types of obligations. The following table summarizes our contractual obligations as of December 31, 2016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2018-2019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2020-2021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Thereafter</w:t>
            </w:r>
          </w:p>
        </w:tc>
      </w:tr>
      <w:tr>
        <w:trPr>
          <w:trHeight w:val="385"/>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Principal </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594.7</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r>
      <w:tr>
        <w:trPr>
          <w:trHeight w:val="270"/>
        </w:trPr>
        <w:tc>
          <w:tcPr>
            <w:tcW w:w="41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(2)</w:t>
            </w:r>
          </w:p>
        </w:tc>
        <w:tc>
          <w:tcPr>
            <w:tcW w:w="88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(3)</w:t>
            </w: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(4)</w:t>
            </w: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689.0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Long-term debt consists of the August 2013 Promissory Notes and the revolving credit facilities.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Interest Payments. </w:t>
      </w:r>
      <w:r>
        <w:rPr>
          <w:rFonts w:ascii="Arial" w:cs="Arial" w:eastAsia="Arial" w:hAnsi="Arial"/>
          <w:sz w:val="17"/>
          <w:szCs w:val="17"/>
          <w:color w:val="auto"/>
        </w:rPr>
        <w:t>Interest payments are based on interest rates in effect at December 31, 2016 and assume contractual amortization payments.</w:t>
      </w:r>
    </w:p>
    <w:p>
      <w:pPr>
        <w:spacing w:after="0" w:line="101" w:lineRule="exact"/>
        <w:rPr>
          <w:rFonts w:ascii="Arial" w:cs="Arial" w:eastAsia="Arial" w:hAnsi="Arial"/>
          <w:sz w:val="17"/>
          <w:szCs w:val="17"/>
          <w:color w:val="auto"/>
        </w:rPr>
      </w:pPr>
    </w:p>
    <w:p>
      <w:pPr>
        <w:ind w:left="420" w:right="40" w:hanging="412"/>
        <w:spacing w:after="0" w:line="30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Represent noncancelable operating leases with respect to rail cars that are subleased to OpCo and two site lease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periods. Pursuant to the site lease agreements, OpCo leases the real property underlying Lake Charles Olefins and Calvert City Olefins. OpCo is also granted rights to access and use certain other portions of Westlake's production facilities that are necessary to operate OpCo's ethylene production facilities. OpCo owes Westlake one dollar per site per year. Each of the site lease agreements has a term of 50 years.</w:t>
      </w:r>
    </w:p>
    <w:p>
      <w:pPr>
        <w:spacing w:after="0" w:line="19" w:lineRule="exact"/>
        <w:rPr>
          <w:rFonts w:ascii="Arial" w:cs="Arial" w:eastAsia="Arial" w:hAnsi="Arial"/>
          <w:sz w:val="16"/>
          <w:szCs w:val="16"/>
          <w:color w:val="auto"/>
        </w:rPr>
      </w:pPr>
    </w:p>
    <w:p>
      <w:pPr>
        <w:jc w:val="both"/>
        <w:ind w:left="420" w:right="20" w:hanging="412"/>
        <w:spacing w:after="0" w:line="31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Purchase Obligations. </w:t>
      </w:r>
      <w:r>
        <w:rPr>
          <w:rFonts w:ascii="Arial" w:cs="Arial" w:eastAsia="Arial" w:hAnsi="Arial"/>
          <w:sz w:val="16"/>
          <w:szCs w:val="16"/>
          <w:color w:val="auto"/>
        </w:rPr>
        <w:t>Purchase obligations include agreements to purchase goods and services that are enforceable and legally binding and that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and combined financial statements and related notes and believe those policies are reasonable and appropriate.</w:t>
      </w:r>
    </w:p>
    <w:p>
      <w:pPr>
        <w:spacing w:after="0" w:line="13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consolidated and combined financial statements appearing elsewhere in this Form 10-K. We believe the following to be our most critical accounting policies applied in the preparation of our financial statements.</w:t>
      </w:r>
    </w:p>
    <w:p>
      <w:pPr>
        <w:spacing w:after="0" w:line="13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estimated useful lives of long-lived assets range from three to 35 years. Depreciation and amortization of these assets, including amortization of deferred turnaround costs, under the straight-line method over their estimated useful lives totaled $98.2 million, $81.2 million and $77.6 million in 2016, 2015 and 2014,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$77.1 million, $3.2 million and $0.3 million in 2016, 2015 and 2014, respectively. Amortization in 2016, 2015 and 2014 of previously deferred turnaround costs was $20.8 million, $16.8 million and $17.0 million, respectively. As of December 31, 2016, deferred turnaround costs, net of accumulated amortization, totaled $89.2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6 and 7 to the audited consolidated and combined financial statements appearing elsewhere in this Form 10-K.</w:t>
      </w:r>
    </w:p>
    <w:p>
      <w:pPr>
        <w:spacing w:after="0" w:line="11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derivative instruments. We use all available information to make these fair value determinations, including the engagement of third-party consultants. At December 31, 2016, recorded goodwill was $5.8 million, all of which was associated with the acquisition of the Longview Pipeline as part of the acquisition of Westlake's Longview production facilities. In addition,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See Note 15 to the consolidated and combined financial statements in this report for more information.</w:t>
      </w:r>
    </w:p>
    <w:p>
      <w:pPr>
        <w:spacing w:after="0" w:line="13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consolidated and combined financial statements related to these contingencies are based on the best estimates and judgments available, the actual outcomes could differ from our estimates. Additional information about certain legal proceedings and environmental matters appears in Note 18 to the consolidated and combined financial statements appearing elsewhere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See Note 3 to the consolidated and combined financial statements for a full description of recent accounting pronouncements, including expected dates of adoption and estimated effects on results of operations and financial condition,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December 31, 2016, we had variable rate debt totaled $594.6 million outstanding, all of which was owed to wholly owned subsidiaries of Westlake, $31.8 million of which accrues interest at a variable rate of prime plus 150 basis points, $427.5 million of which accrues interest at a variable rate of LIBOR plus 300 basis points and the remaining $135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was 3.80% as of December 31, 2016.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$5.2 million, based on the December 31, 2016 debt balance.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122" w:right="41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Index to Consolidated and Combined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70"/>
        </w:trPr>
        <w:tc>
          <w:tcPr>
            <w:tcW w:w="1024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Report of Independent Registered Public Accounting Firm</w:t>
              </w:r>
            </w:hyperlink>
          </w:p>
        </w:tc>
        <w:tc>
          <w:tcPr>
            <w:tcW w:w="11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42</w:t>
              </w:r>
            </w:hyperlink>
          </w:p>
        </w:tc>
      </w:tr>
      <w:tr>
        <w:trPr>
          <w:trHeight w:val="270"/>
        </w:trPr>
        <w:tc>
          <w:tcPr>
            <w:tcW w:w="1024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and Combined </w:t>
            </w:r>
            <w:hyperlink w:anchor="page47">
              <w:r>
                <w:rPr>
                  <w:rFonts w:ascii="Arial" w:cs="Arial" w:eastAsia="Arial" w:hAnsi="Arial"/>
                  <w:sz w:val="18"/>
                  <w:szCs w:val="18"/>
                  <w:color w:val="auto"/>
                </w:rPr>
                <w:t>Financial Statements:</w:t>
              </w:r>
            </w:hyperlink>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2016 and 2015</w:t>
            </w:r>
          </w:p>
        </w:tc>
        <w:tc>
          <w:tcPr>
            <w:tcW w:w="11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43</w:t>
              </w:r>
            </w:hyperlink>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and Combined Statements of Operations for the Years Ended December 31, 2016, 2015 and</w:t>
            </w:r>
          </w:p>
        </w:tc>
        <w:tc>
          <w:tcPr>
            <w:tcW w:w="11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44</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2014</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 of Comprehensive Income for the Years Ended December 31, 2016 and 2015</w:t>
            </w:r>
          </w:p>
        </w:tc>
        <w:tc>
          <w:tcPr>
            <w:tcW w:w="11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45</w:t>
              </w:r>
            </w:hyperlink>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Consolidated and Combined Statements of Changes in Equity </w:t>
            </w:r>
            <w:hyperlink w:anchor="page50">
              <w:r>
                <w:rPr>
                  <w:rFonts w:ascii="Arial" w:cs="Arial" w:eastAsia="Arial" w:hAnsi="Arial"/>
                  <w:sz w:val="18"/>
                  <w:szCs w:val="18"/>
                  <w:color w:val="auto"/>
                </w:rPr>
                <w:t xml:space="preserve">for the Years Ended </w:t>
              </w:r>
            </w:hyperlink>
            <w:r>
              <w:rPr>
                <w:rFonts w:ascii="Arial" w:cs="Arial" w:eastAsia="Arial" w:hAnsi="Arial"/>
                <w:sz w:val="18"/>
                <w:szCs w:val="18"/>
                <w:color w:val="auto"/>
              </w:rPr>
              <w:t>December 31, 2016, 2015</w:t>
            </w:r>
          </w:p>
        </w:tc>
        <w:tc>
          <w:tcPr>
            <w:tcW w:w="11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46</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and 2014</w:t>
            </w:r>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Consolidated and Combined </w:t>
            </w:r>
            <w:hyperlink w:anchor="page51">
              <w:r>
                <w:rPr>
                  <w:rFonts w:ascii="Arial" w:cs="Arial" w:eastAsia="Arial" w:hAnsi="Arial"/>
                  <w:sz w:val="18"/>
                  <w:szCs w:val="18"/>
                  <w:color w:val="auto"/>
                </w:rPr>
                <w:t xml:space="preserve">Statements of Cash Flows for the Years Ended </w:t>
              </w:r>
            </w:hyperlink>
            <w:r>
              <w:rPr>
                <w:rFonts w:ascii="Arial" w:cs="Arial" w:eastAsia="Arial" w:hAnsi="Arial"/>
                <w:sz w:val="18"/>
                <w:szCs w:val="18"/>
                <w:color w:val="auto"/>
              </w:rPr>
              <w:t>December 31, 2016, 2015 and</w:t>
            </w:r>
          </w:p>
        </w:tc>
        <w:tc>
          <w:tcPr>
            <w:tcW w:w="11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2014</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and Combined Financial Statements</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and combined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management of the Partnership assessed the effectiveness of the Partnership's internal control over financial reporting as of December 31, 2016.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its assessment, Partnership's management has concluded that the Partnership's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December 31, 2016 based on those criteria.</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2016 as stated in their report that appears on the following page.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Westlake Chemical Partners GP LLC:</w:t>
      </w:r>
    </w:p>
    <w:p>
      <w:pPr>
        <w:spacing w:after="0" w:line="238"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our opinion, the accompanying balance sheets and the related statements of operations, comprehensive income, changes in equity, and cash flows present fairly, in all material respects, the financial position of Westlake Chemical Partners LP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Partnership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 2013 issued by the Committee of</w:t>
      </w:r>
      <w:r>
        <w:rPr>
          <w:rFonts w:ascii="Arial" w:cs="Arial" w:eastAsia="Arial" w:hAnsi="Arial"/>
          <w:sz w:val="16"/>
          <w:szCs w:val="16"/>
          <w:color w:val="auto"/>
        </w:rPr>
        <w:t xml:space="preserve"> </w:t>
      </w:r>
      <w:r>
        <w:rPr>
          <w:rFonts w:ascii="Arial" w:cs="Arial" w:eastAsia="Arial" w:hAnsi="Arial"/>
          <w:sz w:val="16"/>
          <w:szCs w:val="16"/>
          <w:i w:val="1"/>
          <w:iCs w:val="1"/>
          <w:color w:val="auto"/>
        </w:rPr>
        <w:t>Sponsoring Organizations of the Treadway Commission (COSO)</w:t>
      </w:r>
      <w:r>
        <w:rPr>
          <w:rFonts w:ascii="Arial" w:cs="Arial" w:eastAsia="Arial" w:hAnsi="Arial"/>
          <w:sz w:val="16"/>
          <w:szCs w:val="16"/>
          <w:color w:val="auto"/>
        </w:rPr>
        <w:t>. The Partnership's management is responsible for these financial statements, for maintaining</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audits (which were integrated audits in 2016 and 2015).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74"/>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net—Westlake Chemical Corporation ("Westlake")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126,977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39,655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3,879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232,165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225,287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1,020,469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38,779</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44,593</w:t>
            </w: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1,555,228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1,290,349</w:t>
            </w:r>
          </w:p>
        </w:tc>
      </w:tr>
      <w:tr>
        <w:trPr>
          <w:trHeight w:val="237"/>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18,737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23,407</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57,694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384,006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1,392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634,265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443,182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8 and 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294,565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4,502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(242,572)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102,484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750,606</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920,963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847,167</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1,555,228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1,290,349</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4"/>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center"/>
              <w:ind w:left="591"/>
              <w:spacing w:after="0"/>
              <w:rPr>
                <w:sz w:val="20"/>
                <w:szCs w:val="20"/>
                <w:color w:val="auto"/>
              </w:rPr>
            </w:pPr>
            <w:r>
              <w:rPr>
                <w:rFonts w:ascii="Arial" w:cs="Arial" w:eastAsia="Arial" w:hAnsi="Arial"/>
                <w:sz w:val="14"/>
                <w:szCs w:val="14"/>
                <w:b w:val="1"/>
                <w:bCs w:val="1"/>
                <w:color w:val="auto"/>
                <w:w w:val="92"/>
              </w:rPr>
              <w:t>except unit amounts and per unit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853,719</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834,918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1,292,089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co-products, ethylene and feedstock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133,017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172,303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457,611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986,736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1,007,221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1,749,700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595,405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624,339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1,003,888</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391,331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382,882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745,812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366,444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359,332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716,556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354,438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354,525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709,208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353,403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509,820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Predecessor net income prior to initial public offering 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August 4, 2014</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353,403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148,486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134,909</w:t>
            </w:r>
          </w:p>
        </w:tc>
        <w:tc>
          <w:tcPr>
            <w:tcW w:w="0" w:type="dxa"/>
            <w:vAlign w:val="bottom"/>
          </w:tcPr>
          <w:p>
            <w:pPr>
              <w:spacing w:after="0"/>
              <w:rPr>
                <w:sz w:val="1"/>
                <w:szCs w:val="1"/>
                <w:color w:val="auto"/>
              </w:rPr>
            </w:pPr>
          </w:p>
        </w:tc>
      </w:tr>
      <w:tr>
        <w:trPr>
          <w:trHeight w:val="205"/>
        </w:trPr>
        <w:tc>
          <w:tcPr>
            <w:tcW w:w="71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 Partners LP subsequent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40,940</w:t>
            </w:r>
          </w:p>
        </w:tc>
        <w:tc>
          <w:tcPr>
            <w:tcW w:w="2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39,831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13,577</w:t>
            </w: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 initial public offering and limited partners' interest in net income</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subsequent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initial public offering per limited partner 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12,937,500</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12,686,115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00" w:type="dxa"/>
            <w:vAlign w:val="bottom"/>
          </w:tcPr>
          <w:p>
            <w:pPr>
              <w:ind w:left="280"/>
              <w:spacing w:after="0"/>
              <w:rPr>
                <w:sz w:val="20"/>
                <w:szCs w:val="20"/>
                <w:color w:val="auto"/>
              </w:rPr>
            </w:pPr>
            <w:r>
              <w:rPr>
                <w:rFonts w:ascii="Arial" w:cs="Arial" w:eastAsia="Arial" w:hAnsi="Arial"/>
                <w:sz w:val="18"/>
                <w:szCs w:val="18"/>
                <w:color w:val="auto"/>
              </w:rPr>
              <w:t>Distributions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385"/>
        </w:trPr>
        <w:tc>
          <w:tcPr>
            <w:tcW w:w="7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1"/>
              </w:rPr>
              <w:t>(in thousands of dollars)</w:t>
            </w:r>
          </w:p>
        </w:tc>
        <w:tc>
          <w:tcPr>
            <w:tcW w:w="700" w:type="dxa"/>
            <w:vAlign w:val="bottom"/>
          </w:tcPr>
          <w:p>
            <w:pPr>
              <w:spacing w:after="0"/>
              <w:rPr>
                <w:sz w:val="24"/>
                <w:szCs w:val="24"/>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353,403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353,853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Adjustments in fair value of cash flow hedge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Reclassification of losses to net income</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353,323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354,133</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 interest in OpCo</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312,463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314,022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 Chemical Partners LP</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40,860</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40,111</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CHANGES IN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3"/>
              </w:rPr>
              <w:t>Predecessor</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Partnership</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tcBorders>
              <w:top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Subordinated</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tcBorders>
              <w:top w:val="single" w:sz="8" w:color="auto"/>
            </w:tcBorders>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1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Unitholders -</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Unitholder -</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Unitholder -</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Partner -</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5"/>
              </w:rPr>
              <w:t>Public</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 of dollars)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455,432</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Net income from January 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through August 3, 2014</w:t>
            </w:r>
          </w:p>
        </w:tc>
        <w:tc>
          <w:tcPr>
            <w:tcW w:w="1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361,334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distributions to Westlake</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Predecessor net liabilities not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assumed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by OpCo</w:t>
            </w:r>
          </w:p>
        </w:tc>
        <w:tc>
          <w:tcPr>
            <w:tcW w:w="1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239,706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239,706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August 4, 2014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608,371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8"/>
              </w:rPr>
              <w:t>Allocation of net investment to</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unitholders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31,479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573,329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initial public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offering,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of finance and other offering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Distribution to the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 OpCo</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(151,729)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(151,729)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Purchase of additional interest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OpCo</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148,486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unitholders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Quarterly distribution to</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noncontrolling</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w w:val="99"/>
              </w:rPr>
              <w:t>interest retained in OpCo by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Westlake</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(51,655)</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747,426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19,044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18,673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314,022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353,853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Quarterly distribution to</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unitholders</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(31,074)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interest retained in OpCo by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Westlake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(310,842)</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Balances at December 31,</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294,565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39,786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750,606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effect of cash flow hedge</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unitholders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(34,937)</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Quarterly distribution to</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noncontrolling</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w w:val="99"/>
              </w:rPr>
              <w:t>interest retained in OpCo by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Westlake</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(244,590)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Balances at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297,367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42,534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818,479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1"/>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ectPr>
          <w:pgSz w:w="11900" w:h="16838" w:orient="portrait"/>
          <w:cols w:equalWidth="0" w:num="1">
            <w:col w:w="11420"/>
          </w:cols>
          <w:pgMar w:left="240" w:top="122"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385"/>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 of dollars)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353,403</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509,820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81,210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77,611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Income from equity method investment, net of dividends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25,424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(31,551)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24,686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20,166</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derivative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710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(231,185)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(202,956)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212,175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291,709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181,642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tcPr>
          <w:p>
            <w:pPr>
              <w:ind w:left="160"/>
              <w:spacing w:after="0"/>
              <w:rPr>
                <w:sz w:val="20"/>
                <w:szCs w:val="20"/>
                <w:color w:val="auto"/>
              </w:rPr>
            </w:pPr>
            <w:r>
              <w:rPr>
                <w:rFonts w:ascii="Arial" w:cs="Arial" w:eastAsia="Arial" w:hAnsi="Arial"/>
                <w:sz w:val="18"/>
                <w:szCs w:val="18"/>
                <w:color w:val="auto"/>
              </w:rPr>
              <w:t>Westlake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(244,590)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(310,842)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(51,655)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Repayment of debt payable to Westlake with proceeds from the initial public</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(78,940)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issuance of common units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Proceeds from initial public offering distributed to Westlake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(151,729)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r>
      <w:tr>
        <w:trPr>
          <w:trHeight w:val="237"/>
        </w:trPr>
        <w:tc>
          <w:tcPr>
            <w:tcW w:w="710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(68,904)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(185,548)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(267,306)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169,559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133,750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and combined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80" w:firstLine="8"/>
        <w:spacing w:after="0" w:line="346" w:lineRule="auto"/>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an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ethylene production facilities and a common carrier ethylene pipeline (collectively, the "Contributed Assets").</w:t>
      </w:r>
    </w:p>
    <w:p>
      <w:pPr>
        <w:spacing w:after="0" w:line="13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References in these financial statements to the Partnership, OpCo and OpCo GP used in the present tense or prospectively refer to the period subsequent to the IPO. References in these financial statements to the "Predecessor" refer to Westlake Chemical Partners LP Predecessor, the Partnership's predecessor for accounting purposes and refer to the time periods prior to the IPO. References to "Westlake" refer collectively to Westlake Chemical Corporation and its subsidiaries, other than the Partnership, OpCo and OpCo GP.</w:t>
      </w:r>
    </w:p>
    <w:p>
      <w:pPr>
        <w:spacing w:after="0" w:line="133"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In connection with the IPO, OpCo and Westlake entered into an ethylene sales agreement (the "Ethylene Sales Agreement") pursuant to which the Partnership generates a substantial majority of its revenue. For more information, see Note 2 to the consolidated and combined financial statements.</w:t>
      </w:r>
    </w:p>
    <w:p>
      <w:pPr>
        <w:spacing w:after="0" w:line="7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continue to be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11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Partnership's operations consist of activities relating solely to the Contributed Assets. The Predecessor's operations consisted of the entire ethylene business of Westlake, including the activities of the Contributed Assets, as well as activities which were retained by Westlake. Ethylene business activities retained by Westlake include, but are not limited to, procuring feedstock, managing inventory and commodity risk and transporting ethylene from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accompanying consolidated and combined financial statements have been prepared in conformity with the accounting principles generally accepted in the United States.</w:t>
      </w:r>
    </w:p>
    <w:p>
      <w:pPr>
        <w:spacing w:after="0" w:line="11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86.7% is recorded as noncontrolling interest in the Partnership's consolidated financial statements.</w:t>
      </w:r>
    </w:p>
    <w:p>
      <w:pPr>
        <w:spacing w:after="0" w:line="125"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All financial information presented for the periods after the IPO represents the consolidated results of operations, financial position and cash flows of the Partnership. Financial information for the period prior to the IPO represents the combined results of operations, financial position and cash flows of the Predecessor. The consolidated and combined financial statements for the year ended December 31, 2014 were prepared as follows: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left="660" w:right="2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consolidated statement of operations for the year ended December 31, 2014 consists of the consolidated results of the Partnership for the period from August 4, 2014 through December 31, 2014 and the combined results of the Predecessor for the period from January 1, 2014 through August 3, 2014.</w:t>
      </w:r>
    </w:p>
    <w:p>
      <w:pPr>
        <w:spacing w:after="0" w:line="127"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consolidated statement of cash flows for the year ended December 31, 2014 consists of the consolidated results of the Partnership for the period from August 4, 2014 through December 31, 2014 and the combined results of the Predecessor for the period from January 1, 2014 through August 3, 2014.</w:t>
      </w:r>
    </w:p>
    <w:p>
      <w:pPr>
        <w:spacing w:after="0" w:line="127" w:lineRule="exact"/>
        <w:rPr>
          <w:rFonts w:ascii="Arial" w:cs="Arial" w:eastAsia="Arial" w:hAnsi="Arial"/>
          <w:sz w:val="18"/>
          <w:szCs w:val="18"/>
          <w:color w:val="auto"/>
        </w:rPr>
      </w:pPr>
    </w:p>
    <w:p>
      <w:pPr>
        <w:ind w:left="660" w:right="40" w:hanging="328"/>
        <w:spacing w:after="0" w:line="31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consolidated statement of changes in equity for the year ended December 31, 2014 consists of the combined activity for the Predecessor prior to August 4, 2014, and the consolidated activity for the Partnership at and subsequent to the IPO on August 4, 2014 through December 31, 2014. The combined statement of changes in equity for the year ended December 31, 2013 consists entirely of the combined activity of the Predecessor.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market.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$5,961, $5,116 and $2,638 for the years ended December 31, 2016, 2015 and 2014. Repair and maintenance costs are charged to operations as incurred. Gains and losses on the disposal or retirement of property, plant and equipment are reflected in the statement of operations when the assets are sold or retired.</w:t>
      </w:r>
    </w:p>
    <w:p>
      <w:pPr>
        <w:spacing w:after="0" w:line="13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2480" w:type="dxa"/>
            <w:vAlign w:val="bottom"/>
            <w:tcBorders>
              <w:bottom w:val="single" w:sz="8" w:color="CCEEFF"/>
            </w:tcBorders>
          </w:tcPr>
          <w:p>
            <w:pPr>
              <w:spacing w:after="0"/>
              <w:rPr>
                <w:sz w:val="16"/>
                <w:szCs w:val="16"/>
                <w:color w:val="auto"/>
              </w:rPr>
            </w:pPr>
          </w:p>
        </w:tc>
        <w:tc>
          <w:tcPr>
            <w:tcW w:w="65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Years</w:t>
            </w:r>
          </w:p>
        </w:tc>
      </w:tr>
      <w:tr>
        <w:trPr>
          <w:trHeight w:val="371"/>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65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7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486"/>
        </w:trPr>
        <w:tc>
          <w:tcPr>
            <w:tcW w:w="1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520" w:type="dxa"/>
            <w:vAlign w:val="bottom"/>
          </w:tcPr>
          <w:p>
            <w:pPr>
              <w:jc w:val="right"/>
              <w:ind w:right="4490"/>
              <w:spacing w:after="0"/>
              <w:rPr>
                <w:sz w:val="20"/>
                <w:szCs w:val="20"/>
                <w:color w:val="auto"/>
              </w:rPr>
            </w:pPr>
            <w:r>
              <w:rPr>
                <w:rFonts w:ascii="Arial" w:cs="Arial" w:eastAsia="Arial" w:hAnsi="Arial"/>
                <w:sz w:val="18"/>
                <w:szCs w:val="18"/>
                <w:color w:val="auto"/>
              </w:rPr>
              <w:t>49</w:t>
            </w: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accounting guidance for goodwill and intangible assets requires that goodwill and indefinite-lived intangible assets are tested for impairment at least annually. Other intangible assets with finite lives are amortized over their estimated useful life and reviewed for impairment in accordance with the provisions of the accounting guidance. As of December 31, 2016, the Partnership's recorded goodwill was $5,814. See Note 7 for more information on the Partnership's annual goodwill impairment test.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Partnership enters into inventory exchange transactions with respect to ethylene. These exchanges are settled in like-kind quantities and are valued at lower of cost or market. Cost is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Revenue is recognized when persuasive evidence of an arrangement exists, products are delivered to the customer, the sales price is fixed or determinable, and collectibility is reasonably assured. Title and risk of loss passes to the customer upon delivery under executed customer purchase orders or contracts. Provisions for discounts, rebates and returns are provided for in the same period as the related sales are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Unit</w:t>
      </w:r>
    </w:p>
    <w:p>
      <w:pPr>
        <w:spacing w:after="0" w:line="90"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The accounting guidance for earnings per unit requires the Partnership to present basic earnings per unit and diluted earnings per unit. Net income per unit applicable to common limited partner units and to subordinated limited partner units is computed by dividing the respective limited partners' interest in net income by the weighted average number of common units, subordinated units and incentive distribution rights outstanding. Because the Partnership has more than one class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participating securities, it uses the two-class method when calculating the net income per unit applicable to limited partners. The classes of participating securities include common units and subordinated units. Diluted net income per limited partner unit is the same as basic net income per limited partner unit, as there were no potentially dilutive common or subordinated units outstanding as of December 31,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accounting guidance for derivative instruments and hedging activities requires that the Partnership and the Predecessor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1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Predecessor utilized commodity derivative instruments to reduce price risks by purchasing or selling futures on established exchanges. The Partnership did not enter into any commodity derivative instruments since the date of the IPO on August 4, 2014. During 2015, the Partnership entered into an interest rate contract with Westlake designed to reduce the risks of variability of the interest rates under the MLP Revolver. The interest rate contract fixed the LIBOR component of the interest rate for a portion of the MLP Revolver balance and was designated as a cash flow hedge. During 2014, the Predecessor had no cash flow hedges. See Note 14 for more information on the derivative instruments and Note 15 for a summary of the fair value of derivative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amounts reported in the consolidated balance sheets for cash and cash equivalents, accounts receivable, net and accounts payable approximate their fair value due to the short maturities of these instruments. The fair value of the Partnership's debt differs from the carrying value due to the long-term maturities of the debt.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See Note 15 for more information on the fair value of financial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 The Predecessor utilized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were recorded against deferred tax assets when it was considered more likely than not that the deferred tax assets will not be realized on a separate tax return basis.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Partnership accounts for segment reporting in accordance with the Financial Accounting Standards Board guidance, which establishes standards for entities to report information about the operating segments and geographic areas in which they operate. The Partnership only operates one segment (ethylene production) and all of its operations are located 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w:t>
      </w:r>
    </w:p>
    <w:p>
      <w:pPr>
        <w:spacing w:after="0" w:line="9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the consolidated and combined statements of changes in equity, net investment represents Westlake's historical investment in the Predecessor, its accumulated net earnings after taxes and the net effect of transactions with, and allocations from, Westlake.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other assets (see Note 7) are amortized over periods ranging from five to 15 years using the straight-line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Partnership has reported no comprehensive income for the year ended December 31, 2014 due to the absence of items of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Initial Public Offering and Purchase of Additional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On July 30, 2014, the Partnership's common units began trading on the New York Stock Exchange under the ticker symbol "WLKP." On August 4, 2014, the Partnership completed the IPO of 12,937,500 common units at a price to the public of $24.00 per unit ($22.53 per unit net of underwriting discount), including 1,687,500 common units that were issued pursuant to the exercise in full of the underwriters' over-allotment option.</w:t>
      </w:r>
    </w:p>
    <w:p>
      <w:pPr>
        <w:spacing w:after="0" w:line="9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 connection with the IPO, in exchange for Westlake's contribution of a 5.8% limited partner interest in OpCo and OpCo's general partner interest to the Partnership, Westlake received:</w:t>
      </w:r>
    </w:p>
    <w:p>
      <w:pPr>
        <w:spacing w:after="0" w:line="3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1,436,115 common units and 12,686,115 subordinated units;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Partnership's general partner interest and its incentive distribution rights.</w:t>
      </w:r>
    </w:p>
    <w:p>
      <w:pPr>
        <w:spacing w:after="0" w:line="17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Partnership received net proceeds of $286,088 from the IPO, net of underwriting discounts, structuring fees and offering expenses of approximately $24,412. The Partnership used the net proceeds from the IPO to purchase an additional 4.8% limited partner interest in OpCo, resulting in the Partnership owning a 10.6% limited partner interest in OpCo. The Partnership recorded the incremental 4.8% limited partner interest in OpCo at its historical carrying value of $43,516 and the excess cash paid over historical carrying value of $242,572 as a decrease to the General partner—Westlake capital account.</w:t>
      </w:r>
    </w:p>
    <w:p>
      <w:pPr>
        <w:spacing w:after="0" w:line="100"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OpCo used the $286,088 it received from the Partnership in exchange for a 4.8% limited partner interest in OpCo to (1) establish a $55,419 turnaround reserve, (2) reimburse Westlake $151,729 for the Pre-August 2013 Capex, and (3) repay $78,940 of the August 2013 Promissory Notes assumed by OpCo. Immediately after the repayment, the outstanding indebtedness payable to Westlake under the August 2013 Promissory Notes was $167,116.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Westlake and Related Parties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OpCo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60" w:hanging="328"/>
        <w:spacing w:after="0" w:line="33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3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35"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Any shortfall in recovery of such costs is recognized during the current year and is recoverable from Westlake in the subsequent year.</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OpCo entered into a feedstock supply agreement with Westlake, pursuant to which Westlake agreed to sell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0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OpCo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will be under the control of OpCo while they work on OpCo's facilities.</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OpCo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Partnership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7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OpCo and Westlake entered into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Additional Interests in OpCo</w:t>
      </w:r>
    </w:p>
    <w:p>
      <w:pPr>
        <w:spacing w:after="0" w:line="9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April 29, 2015, the Partnership purchased an additional 2.7% newly-issued limited partner interest in OpCo for approximately $135,341, resulting in an aggregate 13.3% limited partner interest in OpCo effective April 1, 2015. In order to fund this purchase, the Partnership entered into a revolving credit facility with a total borrowing capacity of $300,000 with a subsidiary of Westlake. Westlake owns the remaining 86.7% limited partner interest in OpCo, which is recorded as noncontrolling interest in the 2015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from Contracts with Customers </w:t>
      </w:r>
      <w:r>
        <w:rPr>
          <w:rFonts w:ascii="Arial" w:cs="Arial" w:eastAsia="Arial" w:hAnsi="Arial"/>
          <w:sz w:val="16"/>
          <w:szCs w:val="16"/>
          <w:i w:val="1"/>
          <w:iCs w:val="1"/>
          <w:color w:val="auto"/>
        </w:rPr>
        <w:t>(ASU No. 2014-09)</w:t>
      </w:r>
    </w:p>
    <w:p>
      <w:pPr>
        <w:spacing w:after="0" w:line="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The Partnership is in the process of evaluating the impact that the new accounting guidance will have on its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January 2017, the FASB issued an accounting standard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The accounting standard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 (ASU No. 2014-15)</w:t>
      </w:r>
    </w:p>
    <w:p>
      <w:pPr>
        <w:spacing w:after="0" w:line="90" w:lineRule="exact"/>
        <w:rPr>
          <w:sz w:val="20"/>
          <w:szCs w:val="20"/>
          <w:color w:val="auto"/>
        </w:rPr>
      </w:pPr>
    </w:p>
    <w:p>
      <w:pPr>
        <w:jc w:val="both"/>
        <w:ind w:right="180" w:firstLine="405"/>
        <w:spacing w:after="0" w:line="297" w:lineRule="auto"/>
        <w:rPr>
          <w:sz w:val="20"/>
          <w:szCs w:val="20"/>
          <w:color w:val="auto"/>
        </w:rPr>
      </w:pPr>
      <w:r>
        <w:rPr>
          <w:rFonts w:ascii="Arial" w:cs="Arial" w:eastAsia="Arial" w:hAnsi="Arial"/>
          <w:sz w:val="16"/>
          <w:szCs w:val="16"/>
          <w:color w:val="auto"/>
        </w:rPr>
        <w:t>In August 2014, the FASB issued an accounting standard update providing guidance related to evaluating whether there is substantial doubt about the reporting entity's ability to continue as a going concern and about related financial statement note disclosures. Disclosures are required if there is substantial doubt as to the Partnership's continuation as a going concern within one year after the issue date of financial statements. The standard provides guidance for making the assessment, including consideration of management's plans which may alleviate doubt regarding the Partnership's ability to continue as a going concern. The accounting standard became effective for the annual reporting period ending after December 15, 2016, and all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 and interim periods thereafter. The Partnership adopted this accounting standard effective December 31, 2016 and the adoption did not have an impact on the Partnership's consolidated financial position,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2015-02)</w:t>
      </w:r>
    </w:p>
    <w:p>
      <w:pPr>
        <w:spacing w:after="0" w:line="9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eliminates certain guidance for limited partnerships and similar entities under the voting interest consolidation model. The accounting standard is effective for annual periods beginning after December 15, 2015. The Partnership adopted this accounting standard effective January 1, 2016, and the adoption did not have an impact on the Partnership's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Historical Earnings per Unit of Master Limited Partnership Dropdown Transactions (ASU No. 2015-06)</w:t>
      </w:r>
    </w:p>
    <w:p>
      <w:pPr>
        <w:spacing w:after="0" w:line="90" w:lineRule="exact"/>
        <w:rPr>
          <w:sz w:val="20"/>
          <w:szCs w:val="20"/>
          <w:color w:val="auto"/>
        </w:rPr>
      </w:pPr>
    </w:p>
    <w:p>
      <w:pPr>
        <w:jc w:val="both"/>
        <w:ind w:right="180" w:firstLine="405"/>
        <w:spacing w:after="0" w:line="297" w:lineRule="auto"/>
        <w:rPr>
          <w:sz w:val="20"/>
          <w:szCs w:val="20"/>
          <w:color w:val="auto"/>
        </w:rPr>
      </w:pPr>
      <w:r>
        <w:rPr>
          <w:rFonts w:ascii="Arial" w:cs="Arial" w:eastAsia="Arial" w:hAnsi="Arial"/>
          <w:sz w:val="16"/>
          <w:szCs w:val="16"/>
          <w:color w:val="auto"/>
        </w:rPr>
        <w:t>In April 2015, the FASB issued an accounting standard update requiring that the earnings of transferred net assets from a general partner prior to the dropdown date of the net assets to a master limited partnership be allocated entirely to the general partner when calculating earnings per unit under the two class method. As a result, previously reported earnings per unit of the limited partners will not change as a result of a dropdown transaction. The accounting standard is effective for annual periods beginning after December 15, 2015. The Partnership adopted this accounting standard effective January 1, 2016 and the adoption of this accounting standard did not have an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 (ASU No. 2015-17)</w:t>
      </w:r>
    </w:p>
    <w:p>
      <w:pPr>
        <w:spacing w:after="0" w:line="9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November 2015, the FASB issued an accounting standards update that requires all deferred tax assets and liabilities, along with any related valuation allowance, to be classified as noncurrent on the balance sheet. As a result, each jurisdiction will now only have one net noncurrent deferred tax asset or liability. The new guidance does not change the existing requirement that only permits offsetting within a jurisdiction. The accounting standard is required to be adopted for reporting periods beginning after December 15, 2016; however, early adoption of this standard is permitted. The Partnership elected to early adopt this accounting standard, to be applied prospectively, effective January 1, 2016. Consistent with the prospective application of this accounting standard, prior period comparative information was not adjusted. The early adoption of this accounting standard did not have an impact on the Partnership's consolidated financial position,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11,927</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allowance for doubtful accounts activity during the years ended December 31, 2016, 2015 and 2014 is set forth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tcPr>
          <w:p>
            <w:pPr>
              <w:spacing w:after="0"/>
              <w:rPr>
                <w:sz w:val="22"/>
                <w:szCs w:val="22"/>
                <w:color w:val="auto"/>
              </w:rPr>
            </w:pPr>
          </w:p>
        </w:tc>
        <w:tc>
          <w:tcPr>
            <w:tcW w:w="30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404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Charged to Expense</w:t>
            </w:r>
          </w:p>
        </w:tc>
        <w:tc>
          <w:tcPr>
            <w:tcW w:w="3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25"/>
                <w:szCs w:val="25"/>
                <w:color w:val="auto"/>
                <w:vertAlign w:val="superscript"/>
              </w:rPr>
              <w:t>(1)</w:t>
            </w:r>
          </w:p>
        </w:tc>
        <w:tc>
          <w:tcPr>
            <w:tcW w:w="304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404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1"/>
                <w:szCs w:val="11"/>
                <w:color w:val="auto"/>
              </w:rPr>
              <w:t>______________________________</w:t>
            </w:r>
          </w:p>
        </w:tc>
        <w:tc>
          <w:tcPr>
            <w:tcW w:w="3040" w:type="dxa"/>
            <w:vAlign w:val="bottom"/>
            <w:vMerge w:val="restart"/>
          </w:tcPr>
          <w:p>
            <w:pPr>
              <w:jc w:val="right"/>
              <w:ind w:right="870"/>
              <w:spacing w:after="0"/>
              <w:rPr>
                <w:sz w:val="20"/>
                <w:szCs w:val="20"/>
                <w:color w:val="auto"/>
              </w:rPr>
            </w:pPr>
            <w:r>
              <w:rPr>
                <w:rFonts w:ascii="Arial" w:cs="Arial" w:eastAsia="Arial" w:hAnsi="Arial"/>
                <w:sz w:val="18"/>
                <w:szCs w:val="18"/>
                <w:color w:val="auto"/>
              </w:rPr>
              <w:t>56</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720" w:type="dxa"/>
            <w:vAlign w:val="bottom"/>
            <w:vMerge w:val="continue"/>
          </w:tcPr>
          <w:p>
            <w:pPr>
              <w:spacing w:after="0"/>
              <w:rPr>
                <w:sz w:val="9"/>
                <w:szCs w:val="9"/>
                <w:color w:val="auto"/>
              </w:rPr>
            </w:pPr>
          </w:p>
        </w:tc>
        <w:tc>
          <w:tcPr>
            <w:tcW w:w="3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8"/>
        </w:trPr>
        <w:tc>
          <w:tcPr>
            <w:tcW w:w="37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 The 2014 deduction represents an adjustment for assets retained by Westlake pursuant to the IPO on August 4,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440"/>
              <w:spacing w:after="0"/>
              <w:rPr>
                <w:sz w:val="20"/>
                <w:szCs w:val="20"/>
                <w:color w:val="auto"/>
              </w:rPr>
            </w:pPr>
            <w:r>
              <w:rPr>
                <w:rFonts w:ascii="Arial" w:cs="Arial" w:eastAsia="Arial" w:hAnsi="Arial"/>
                <w:sz w:val="18"/>
                <w:szCs w:val="18"/>
                <w:color w:val="auto"/>
              </w:rPr>
              <w:t>Property, plant and equipment consist of the following:</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16,757</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and equipment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1,690,317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1,231,684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72,215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1,779,289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1,315,161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(644,070)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1,135,219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713,181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87,019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307,288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1,222,238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1,020,469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Depreciation expense on property, plant and equipment of $77,444, $64,369 and $60,004 is included in cost of sales in the consolidated and combined statements of operations for the years ended December 31, 2016,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Deferred charges and</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Turnaround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154,453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89,185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32,253</w:t>
            </w:r>
          </w:p>
        </w:tc>
        <w:tc>
          <w:tcPr>
            <w:tcW w:w="1020" w:type="dxa"/>
            <w:vAlign w:val="bottom"/>
            <w:gridSpan w:val="2"/>
          </w:tcPr>
          <w:p>
            <w:pPr>
              <w:jc w:val="right"/>
              <w:ind w:right="34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6,090</w:t>
            </w:r>
          </w:p>
        </w:tc>
        <w:tc>
          <w:tcPr>
            <w:tcW w:w="10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163,466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95,011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38,779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169,280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100,825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114,980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44,593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Amortization expense on other assets of $20,766, $16,841 and $17,607 is included in the consolidated and combined statements of operations for the years ended December 31, 2016,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impairment test for the recorded goodwill was performed in October 2016 and did not indicate impairment of the goodwill. The fair value of the goodwill was calculated using both a discounted cash flow methodology and a market value methodology. The discounted cash flow projections were based on a nine-year forecast, from 2017 to 2025, to reflect the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cyclicality of the Partnership's business. The forecast was based on (1) prices and spreads projected by IHS Chemical, a chemical industry organization offering market and business advisory services for the chemical market, for the same period, and (2) estimates by management, including their strategic and operational plans. Other significant assumptions used in the discounted cash flow projection included sales volumes based on current capacities. The future cash flows were discounted to present value using a discount rate of 8.8%. The significant assumptions used in determining the fair value of the reporting unit using the market value methodology include the determination of appropriate market comparables and the estimated multiples of EBITDA a willing buyer is likely to pay. Under the discounted cash flow methodology, even if the fair value of OpCo decreased by 10%, the carrying value of OpCo would not exceed its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3.0%, original scheduled maturity of August 4, 2019)</w:t>
            </w: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427,513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216,890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135,341</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594,629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384,006</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2013, the August 2013 Promissory Notes were issued for capital expenditures incurred by Westlake on behalf of the Predecessor's operations. Proceeds drawn under the August 2013 Promissory Notes during 2014 were used to fund capital expenditures at the Predecessor's ethylene plants. In connection with the IPO, OpCo assumed the August 2013 Promissory Notes and used proceeds from the IPO to repay a portion of the balance it assumed. See Note 2 for a description of the August 2013 Promissory Notes and proceeds used to repay balances of such promissory notes assumed in connection with the IPO.</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connection with the IPO on August 4, 2014, OpCo entered into a $600,000 senior unsecured revolving credit facility agreement with Westlake (the "OpCo Revolver"). The OpCo Revolver accrues interest quarterly at a rate of LIBOR plus 3.0%, which may be paid-in-kind as an addition to the principal at OpCo's option. Proceeds drawn under the OpCo Revolver during 2016 were used to fund capital expenditures at OpCo's ethylene plants and to fund the working capital requirements.</w:t>
      </w:r>
    </w:p>
    <w:p>
      <w:pPr>
        <w:spacing w:after="0" w:line="13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On April 29, 2015, the Partnership entered into a $300,000 revolving credit facility agreement with Westlake (the "MLP Revolver") to fund the Partnership's purchase of an additional 2.7% newly-issued, limited partner interest in OpCo for $135,341. Borrowings under the MLP Revolver bear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During August 2015, the Partnership entered into an interest rate contract with Westlake to fix the LIBOR component of the interest rate for a portion of the MLP Revolver balance. The interest rate contract terminates on the earlier of the MLP Revolver maturity date or in August 2018. See Note 14 for additional information on the interest rate contract.</w:t>
      </w:r>
    </w:p>
    <w:p>
      <w:pPr>
        <w:spacing w:after="0" w:line="12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December 31, 2016, the Partnership was in compliance with all of the covenants under the August 2013 Promissory Notes, the OpCo Revolver and the MLP Revolver.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3.72% and 3.30% at December 31, 2016 and 2015, respectively.</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2016, the Partnership had no maturities of long-term debt until 2018. The MLP Revolver matures on April 29, 2018, the OpCo Revolver matures on August 4, 2019, and the August 2013 Promissory Notes mature on August 1, 2023.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Distributions and Net Income Per Limited Partner Unit</w:t>
      </w:r>
    </w:p>
    <w:p>
      <w:pPr>
        <w:spacing w:after="0" w:line="175" w:lineRule="exact"/>
        <w:rPr>
          <w:sz w:val="20"/>
          <w:szCs w:val="20"/>
          <w:color w:val="auto"/>
        </w:rPr>
      </w:pPr>
    </w:p>
    <w:p>
      <w:pPr>
        <w:jc w:val="both"/>
        <w:ind w:right="420" w:firstLine="392"/>
        <w:spacing w:after="0" w:line="312" w:lineRule="auto"/>
        <w:rPr>
          <w:sz w:val="20"/>
          <w:szCs w:val="20"/>
          <w:color w:val="auto"/>
        </w:rPr>
      </w:pPr>
      <w:r>
        <w:rPr>
          <w:rFonts w:ascii="Arial" w:cs="Arial" w:eastAsia="Arial" w:hAnsi="Arial"/>
          <w:sz w:val="16"/>
          <w:szCs w:val="16"/>
          <w:color w:val="auto"/>
        </w:rPr>
        <w:t>On January 27, 2017, the board of directors of Westlake Chemical Partners GP LLC ("Westlake GP"), the Partnership's general partner, declared a quarterly cash distribution for the period from October 1, 2016 to December 31, 2016 of $0.3450 per unit, and of $142 to the holders of the Partnership's incentive distribution rights ("IDR Holders"). This distribution was paid on February 22, 2017 to unitholders of record on February 7, 2017.</w:t>
      </w:r>
    </w:p>
    <w:p>
      <w:pPr>
        <w:spacing w:after="0" w:line="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Agreement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 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For the three months ended December 31, 2016, the Partnership's distribution exceeded the $0.3163 per common and subordinated unit target, which resulted in distributions to the IDR Holders.</w:t>
      </w:r>
    </w:p>
    <w:p>
      <w:pPr>
        <w:spacing w:after="0" w:line="116" w:lineRule="exact"/>
        <w:rPr>
          <w:sz w:val="20"/>
          <w:szCs w:val="20"/>
          <w:color w:val="auto"/>
        </w:rPr>
      </w:pPr>
    </w:p>
    <w:p>
      <w:pPr>
        <w:ind w:right="44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cash distributions declared from earnings of the related periods pertaining to such distributions.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40,940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19,016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6,403</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 subordinated units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16,784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5,649</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declared with respect to the incentive distribution rights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Net income in excess of distribution</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1,525</w:t>
            </w: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and combined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 Net income per unit is only calculated for the periods subsequent to the IPO as no units were outstanding prior to August 4,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2016</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2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1"/>
              </w:rPr>
              <w:t>Rights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16,784</w:t>
            </w:r>
          </w:p>
        </w:tc>
        <w:tc>
          <w:tcPr>
            <w:tcW w:w="20" w:type="dxa"/>
            <w:vAlign w:val="bottom"/>
          </w:tcPr>
          <w:p>
            <w:pPr>
              <w:spacing w:after="0"/>
              <w:rPr>
                <w:sz w:val="21"/>
                <w:szCs w:val="21"/>
                <w:color w:val="auto"/>
              </w:rPr>
            </w:pPr>
          </w:p>
        </w:tc>
        <w:tc>
          <w:tcPr>
            <w:tcW w:w="620" w:type="dxa"/>
            <w:vAlign w:val="bottom"/>
            <w:gridSpan w:val="3"/>
          </w:tcPr>
          <w:p>
            <w:pPr>
              <w:jc w:val="right"/>
              <w:ind w:right="32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21,597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19,062</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40,940</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27,059,730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2015</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tcPr>
          <w:p>
            <w:pPr>
              <w:jc w:val="center"/>
              <w:ind w:right="160"/>
              <w:spacing w:after="0" w:line="153" w:lineRule="exact"/>
              <w:rPr>
                <w:sz w:val="20"/>
                <w:szCs w:val="20"/>
                <w:color w:val="auto"/>
              </w:rPr>
            </w:pPr>
            <w:r>
              <w:rPr>
                <w:rFonts w:ascii="Arial" w:cs="Arial" w:eastAsia="Arial" w:hAnsi="Arial"/>
                <w:sz w:val="14"/>
                <w:szCs w:val="14"/>
                <w:b w:val="1"/>
                <w:bCs w:val="1"/>
                <w:color w:val="auto"/>
                <w:w w:val="93"/>
              </w:rPr>
              <w:t>Incentive Distribution</w:t>
            </w:r>
          </w:p>
        </w:tc>
        <w:tc>
          <w:tcPr>
            <w:tcW w:w="32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1"/>
              </w:rPr>
              <w:t>Rights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16,980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14,986</w:t>
            </w:r>
          </w:p>
        </w:tc>
        <w:tc>
          <w:tcPr>
            <w:tcW w:w="20" w:type="dxa"/>
            <w:vAlign w:val="bottom"/>
          </w:tcPr>
          <w:p>
            <w:pPr>
              <w:spacing w:after="0"/>
              <w:rPr>
                <w:sz w:val="21"/>
                <w:szCs w:val="21"/>
                <w:color w:val="auto"/>
              </w:rPr>
            </w:pPr>
          </w:p>
        </w:tc>
        <w:tc>
          <w:tcPr>
            <w:tcW w:w="620" w:type="dxa"/>
            <w:vAlign w:val="bottom"/>
            <w:gridSpan w:val="3"/>
          </w:tcPr>
          <w:p>
            <w:pPr>
              <w:jc w:val="right"/>
              <w:ind w:right="321"/>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21,158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18,673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gridSpan w:val="2"/>
          </w:tcPr>
          <w:p>
            <w:pPr>
              <w:jc w:val="right"/>
              <w:ind w:right="32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39,831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27,059,730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2014</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2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1"/>
              </w:rPr>
              <w:t>Rights</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6,403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5,649</w:t>
            </w:r>
          </w:p>
        </w:tc>
        <w:tc>
          <w:tcPr>
            <w:tcW w:w="20" w:type="dxa"/>
            <w:vAlign w:val="bottom"/>
          </w:tcPr>
          <w:p>
            <w:pPr>
              <w:spacing w:after="0"/>
              <w:rPr>
                <w:sz w:val="21"/>
                <w:szCs w:val="21"/>
                <w:color w:val="auto"/>
              </w:rPr>
            </w:pPr>
          </w:p>
        </w:tc>
        <w:tc>
          <w:tcPr>
            <w:tcW w:w="620" w:type="dxa"/>
            <w:vAlign w:val="bottom"/>
            <w:gridSpan w:val="3"/>
          </w:tcPr>
          <w:p>
            <w:pPr>
              <w:jc w:val="right"/>
              <w:ind w:right="321"/>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7,213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13,577</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27,059,730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5"/>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 Prior to the IPO, the Predecessor sold the majority of its ethylene to Westlake for use in Westlake's downstream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853,719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834,918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1,292,089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287,778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155,232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85,872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60,264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373,650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381,632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215,496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2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21,971</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20,681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21,302</w:t>
            </w:r>
          </w:p>
        </w:tc>
        <w:tc>
          <w:tcPr>
            <w:tcW w:w="0" w:type="dxa"/>
            <w:vAlign w:val="bottom"/>
          </w:tcPr>
          <w:p>
            <w:pPr>
              <w:spacing w:after="0"/>
              <w:rPr>
                <w:sz w:val="1"/>
                <w:szCs w:val="1"/>
                <w:color w:val="auto"/>
              </w:rPr>
            </w:pPr>
          </w:p>
        </w:tc>
      </w:tr>
      <w:tr>
        <w:trPr>
          <w:trHeight w:val="237"/>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61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17,874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5,823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Partnership's accounts receivable from Westlake result primarily from ethylene sales to Westlake, the shortfall recoverable from Westlake and a buyer deficiency fee, in each case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shortfall recognized in 2016 is recoverable during 2017, per the Ethylene Sales Agreement. During 2016, Calvert City Olefins experienced a shutdown caused by a mechanical failure, which resulted in a force majeure event under the Ethylene Sales Agreement with Westlake. Based on the annual year-end measurement, a buyer deficiency fee of $13,106 was recognized as a receivable from Westlake and as a component of net sales in the consolidated financial statements as of and for the year ended December 31, 2016. The buyer deficiency fee was collected from Westlake in January 2017.</w:t>
      </w:r>
    </w:p>
    <w:p>
      <w:pPr>
        <w:spacing w:after="0" w:line="4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net—Westlake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126,977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15,550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connection with the IPO, OpCo assumed the August 2013 Promissory Notes and entered into a senior unsecured revolving credit facility with Westlake. In April 2015, the Partnership entered into an unsecured revolving credit facility with Westlake. See Note 8 for a description of related party debt payable balances. Interest on related party debt payable balances, net of capitalized interest, for the years ended December 31, 2016, 2015 and for the period from August 4, 2014 to December 31, 2014 was $12,607, $4,967 and $10,499, respectively, and are reflected as a component of other income (expense) in the consolidated and combined statements of operations. Interest capitalized as a component of property, plant and equipment on related party debt was $5,961 and $5,116 for the years ended December 31, 2016 and 2015, respectively. At December 31, 2016 and 2015, accrued interest on related party debt was $5,517 and $2,879, respectively, and is reflected as a component of accrued liabilities in the consolidated balance sheets.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594,629</w:t>
        <w:tab/>
        <w:t>$</w:t>
      </w:r>
      <w:r>
        <w:rPr>
          <w:sz w:val="20"/>
          <w:szCs w:val="20"/>
          <w:color w:val="auto"/>
        </w:rPr>
        <w:tab/>
      </w:r>
      <w:r>
        <w:rPr>
          <w:rFonts w:ascii="Arial" w:cs="Arial" w:eastAsia="Arial" w:hAnsi="Arial"/>
          <w:sz w:val="16"/>
          <w:szCs w:val="16"/>
          <w:color w:val="auto"/>
        </w:rPr>
        <w:t>384,006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right="540" w:firstLine="392"/>
        <w:spacing w:after="0" w:line="264" w:lineRule="auto"/>
        <w:rPr>
          <w:sz w:val="20"/>
          <w:szCs w:val="20"/>
          <w:color w:val="auto"/>
        </w:rPr>
      </w:pPr>
      <w:r>
        <w:rPr>
          <w:rFonts w:ascii="Arial" w:cs="Arial" w:eastAsia="Arial" w:hAnsi="Arial"/>
          <w:sz w:val="18"/>
          <w:szCs w:val="18"/>
          <w:color w:val="auto"/>
        </w:rPr>
        <w:t>OpCo, together with other subsidiaries of Westlake not included in these consolidated and combined financial statements, were guarantors under Westlake's revolving credit facility and the indentures governing its senior notes. During August 2016, OpCo and certain subsidiaries of Westlake were released from their guarantees.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160" w:firstLine="392"/>
        <w:spacing w:after="0" w:line="277" w:lineRule="auto"/>
        <w:rPr>
          <w:sz w:val="20"/>
          <w:szCs w:val="20"/>
          <w:color w:val="auto"/>
        </w:rPr>
      </w:pPr>
      <w:r>
        <w:rPr>
          <w:rFonts w:ascii="Arial" w:cs="Arial" w:eastAsia="Arial" w:hAnsi="Arial"/>
          <w:sz w:val="18"/>
          <w:szCs w:val="18"/>
          <w:color w:val="auto"/>
        </w:rPr>
        <w:t>As of December 31, 2015, Westlake had outstanding letters of credit totaling $30,098 under its revolving credit facility and $754,000 principal amount outstanding under its senior notes (less the unamortized discount and debt issuance costs of$774).</w:t>
      </w:r>
    </w:p>
    <w:p>
      <w:pPr>
        <w:spacing w:after="0" w:line="116"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During August 2015, the Partnership entered into an interest rate contract with Westlake to fix the LIBOR component of the interest rate for a portion of the MLP Revolver balance. See Note 14 for additional information on the interest rate contract.</w:t>
      </w:r>
    </w:p>
    <w:p>
      <w:pPr>
        <w:spacing w:after="0" w:line="116"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During the years ended December 31, 2016, 2015 and for the period from August 4, 2014 to December 31, 2014, the Partnership reimbursed $245, $1,033 and $0, respectively, to Westlake for certain state tax payments.</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93" w:lineRule="exact"/>
        <w:rPr>
          <w:sz w:val="20"/>
          <w:szCs w:val="20"/>
          <w:color w:val="auto"/>
        </w:rPr>
      </w:pPr>
    </w:p>
    <w:p>
      <w:pPr>
        <w:ind w:right="9860" w:firstLine="8"/>
        <w:spacing w:after="0" w:line="367" w:lineRule="auto"/>
        <w:tabs>
          <w:tab w:leader="none" w:pos="2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Partners' Equity </w:t>
      </w:r>
      <w:r>
        <w:rPr>
          <w:rFonts w:ascii="Arial" w:cs="Arial" w:eastAsia="Arial" w:hAnsi="Arial"/>
          <w:sz w:val="17"/>
          <w:szCs w:val="17"/>
          <w:b w:val="1"/>
          <w:bCs w:val="1"/>
          <w:i w:val="1"/>
          <w:iCs w:val="1"/>
          <w:color w:val="auto"/>
        </w:rPr>
        <w:t>Common Unit</w:t>
      </w:r>
    </w:p>
    <w:p>
      <w:pPr>
        <w:ind w:right="60" w:firstLine="432"/>
        <w:spacing w:after="0" w:line="259" w:lineRule="auto"/>
        <w:rPr>
          <w:sz w:val="20"/>
          <w:szCs w:val="20"/>
          <w:color w:val="auto"/>
        </w:rPr>
      </w:pPr>
      <w:r>
        <w:rPr>
          <w:rFonts w:ascii="Arial" w:cs="Arial" w:eastAsia="Arial" w:hAnsi="Arial"/>
          <w:sz w:val="18"/>
          <w:szCs w:val="18"/>
          <w:color w:val="auto"/>
        </w:rPr>
        <w:t>As described below, the common unitholders have preference over subordinated unitholders on receipt of distributions, including, in certain circumstances, cash distributions upon liquidation, as set out in the Partnership's agreement of limited partnership (the "Partnership Agreement"). The common unitholders have limited rights on matters affecting Partnership's business, limited voting rights and are not entitled to elect the general partner or its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Unit</w:t>
      </w:r>
    </w:p>
    <w:p>
      <w:pPr>
        <w:spacing w:after="0" w:line="9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 subordinated unitholders have similar rights as the common unitholders. However, during the subordination period, the subordinated unitholders are not entitled to receive quarterly distributions from operating surplus until the common unitholders have received the minimum quarterly distribution from operating surplus and, among other things, in certain circumstances, are subordinated in the receipt of cash distributions upon liquidation. The subordination period will end on the first business day after the Partnership has earned and paid an aggregate amount of at least the minimum quarterly distribution multiplied by the total number of outstanding common and subordinated units for each of three consecutive, non-overlapping four-quarter periods ending on or after June 30, 2017, and there are no outstanding arrearages on the Partnership's common units. Notwithstanding the foregoing, the subordination period will end on the first business day after the Partnership has paid an aggregate amount of at least 150.0% of the minimum quarterly distribution on an annualized basis multiplied by the total number of outstanding common and subordinated units and have earned that amount plus the related distribution on the incentive distribution rights, for any four-quarter period ending on or after June 30, 2015, and there are no outstanding arrearages on Partnership's common units.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income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50"/>
        </w:trPr>
        <w:tc>
          <w:tcPr>
            <w:tcW w:w="79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1"/>
                <w:szCs w:val="2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rate contract - Other comprehensive income before reclassifications</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(416)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7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 - Amounts reclassified to net income</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Compensation</w:t>
      </w:r>
    </w:p>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2016, 2015 and the period from August 4, 2014 through December 31, 2014. These phantom units vest on the third anniversary of the grant date. There were no forfeitures under the Plan during 2016, 2015 and the period from August 4, 2014 through December 31, 2014. During 2016, the vesting of 5,543 phantom units was accelerated in connection with the retirement of one of our non-employee directors. The total fair value of phantom units that vested during the year ended December 31, 2016 was $123,221.</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Non-vested phantom unit awards as of December 31, 2016 and 2015 and awards granted during the respective periods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27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Average Fair Value</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2014</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4,404</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12,559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2015</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57"/>
        </w:trPr>
        <w:tc>
          <w:tcPr>
            <w:tcW w:w="8200" w:type="dxa"/>
            <w:vAlign w:val="bottom"/>
          </w:tcPr>
          <w:p>
            <w:pPr>
              <w:ind w:left="40"/>
              <w:spacing w:after="0"/>
              <w:rPr>
                <w:sz w:val="20"/>
                <w:szCs w:val="20"/>
                <w:color w:val="auto"/>
              </w:rPr>
            </w:pPr>
            <w:r>
              <w:rPr>
                <w:rFonts w:ascii="Arial" w:cs="Arial" w:eastAsia="Arial" w:hAnsi="Arial"/>
                <w:sz w:val="18"/>
                <w:szCs w:val="18"/>
                <w:color w:val="auto"/>
              </w:rPr>
              <w:t>Non-vested balance at December 31, 2016</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21,320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awards, which are classified as liability awards for financial accounting purposes, are re-measured at each reporting date until they vest. The total units available for grant at December 31, 2016 were 1,248,680. The total compensation cost recognized during the years ended December 31, 2016, 2015 and for the period from August 4, 2014 through December 31, 2014 was $194, $75 and $15, respectively, and is included in selling, general and administrative expenses and classified as a liability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consolidated and combined financial statements of the Partnership. The unrecognized compensation cost associated with all grants under the Plan at December 31, 2016 was $300,296 and the weighted average remaining term of the units at December 31, 2016 was 1.96 years.</w:t>
      </w:r>
    </w:p>
    <w:p>
      <w:pPr>
        <w:spacing w:after="0" w:line="193" w:lineRule="exact"/>
        <w:rPr>
          <w:sz w:val="20"/>
          <w:szCs w:val="20"/>
          <w:color w:val="auto"/>
        </w:rPr>
      </w:pPr>
    </w:p>
    <w:p>
      <w:pPr>
        <w:ind w:right="9240" w:firstLine="8"/>
        <w:spacing w:after="0" w:line="390" w:lineRule="auto"/>
        <w:tabs>
          <w:tab w:leader="none" w:pos="27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i w:val="1"/>
          <w:iCs w:val="1"/>
          <w:color w:val="auto"/>
        </w:rPr>
        <w:t>Commodity Risk Management</w:t>
      </w:r>
    </w:p>
    <w:p>
      <w:pPr>
        <w:ind w:right="40" w:firstLine="405"/>
        <w:spacing w:after="0" w:line="273" w:lineRule="auto"/>
        <w:rPr>
          <w:sz w:val="20"/>
          <w:szCs w:val="20"/>
          <w:color w:val="auto"/>
        </w:rPr>
      </w:pPr>
      <w:r>
        <w:rPr>
          <w:rFonts w:ascii="Arial" w:cs="Arial" w:eastAsia="Arial" w:hAnsi="Arial"/>
          <w:sz w:val="17"/>
          <w:szCs w:val="17"/>
          <w:color w:val="auto"/>
        </w:rPr>
        <w:t>The Predecessor used derivative instruments to reduce price volatility risk on raw materials and products, as a substantial portion of its raw materials and products were commodities whose prices fluctuate as market supply and demand fundamentals change. The Predecessor employed strategies to protect against such instability, including ethylene product feedstock flexibility. The Predecessor did not use derivative instruments to engage in speculative activities. The Contributed Assets did not include the entity engaged in commodity risk management activities or any of its open derivative positions. The Partnership has not engaged in any hedging activity and did not use any derivative instruments related to the commodities in the period subsequent to the IPO through December 31, 2014 or during the years ended December 31, 2015 and 2016.</w:t>
      </w:r>
    </w:p>
    <w:p>
      <w:pPr>
        <w:spacing w:after="0" w:line="124"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For derivative instruments that are designated and qualify as fair value hedges, the gains or losses on the derivative instruments, as well as the offsetting losses or gains on the hedged items attributable to the hedged risk, are included in cost of sales in the consolidated and combined statements of operations. There were no derivative instruments that were designated as fair value hedges for the years ended December 31, 2016 and 2015.</w:t>
      </w:r>
    </w:p>
    <w:p>
      <w:pPr>
        <w:spacing w:after="0" w:line="9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Gains and losses from changes in the fair value of derivative instruments that are not designated as hedging instruments were included in gross profit in the consolidated and combined statements of operations for the years ended December 31, 2015 and 2014. The Partnership had no derivative instruments that were not designated as hedging instruments subsequent to the IPO through December 31, 2014, or during 2015 and 2016. The impact of derivative instruments that have not been designated as hedges in the consolidated and combined statements of operations for the year ended December 31, 2014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1400" w:type="dxa"/>
            <w:vAlign w:val="bottom"/>
          </w:tcPr>
          <w:p>
            <w:pPr>
              <w:spacing w:after="0"/>
              <w:rPr>
                <w:sz w:val="14"/>
                <w:szCs w:val="14"/>
                <w:color w:val="auto"/>
              </w:rPr>
            </w:pPr>
          </w:p>
        </w:tc>
        <w:tc>
          <w:tcPr>
            <w:tcW w:w="464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Location of Gain (Loss)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Year Ended December</w:t>
            </w:r>
          </w:p>
        </w:tc>
      </w:tr>
      <w:tr>
        <w:trPr>
          <w:trHeight w:val="192"/>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tcPr>
          <w:p>
            <w:pPr>
              <w:jc w:val="center"/>
              <w:ind w:right="1328"/>
              <w:spacing w:after="0"/>
              <w:rPr>
                <w:sz w:val="20"/>
                <w:szCs w:val="20"/>
                <w:color w:val="auto"/>
              </w:rPr>
            </w:pPr>
            <w:r>
              <w:rPr>
                <w:rFonts w:ascii="Arial" w:cs="Arial" w:eastAsia="Arial" w:hAnsi="Arial"/>
                <w:sz w:val="14"/>
                <w:szCs w:val="14"/>
                <w:b w:val="1"/>
                <w:bCs w:val="1"/>
                <w:color w:val="auto"/>
                <w:w w:val="92"/>
              </w:rPr>
              <w:t>Recognized in Income on Derivative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31, 2014</w:t>
            </w:r>
          </w:p>
        </w:tc>
      </w:tr>
      <w:tr>
        <w:trPr>
          <w:trHeight w:val="263"/>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open derivative position related to commodities at December 31, 2016 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years ended December 31, 2016 and 2015. For the year ended December 31, 2014, neither the Partnership nor the Predecessor had any interest rate contracts.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derivative instrument on the Partnership's consolidated balance sheet as of December 31, 2016 and 2015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Derivative Asset</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Fair Value as of</w:t>
            </w:r>
          </w:p>
        </w:tc>
        <w:tc>
          <w:tcPr>
            <w:tcW w:w="200" w:type="dxa"/>
            <w:vAlign w:val="bottom"/>
          </w:tcPr>
          <w:p>
            <w:pPr>
              <w:spacing w:after="0"/>
              <w:rPr>
                <w:sz w:val="13"/>
                <w:szCs w:val="13"/>
                <w:color w:val="auto"/>
              </w:rPr>
            </w:pPr>
          </w:p>
        </w:tc>
        <w:tc>
          <w:tcPr>
            <w:tcW w:w="128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2"/>
                <w:szCs w:val="12"/>
                <w:color w:val="auto"/>
              </w:rPr>
            </w:pPr>
          </w:p>
        </w:tc>
        <w:tc>
          <w:tcPr>
            <w:tcW w:w="29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Balance Sheet Location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2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7"/>
              </w:rPr>
              <w:t>Deferred charges and other assets, net</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196"/>
              <w:spacing w:after="0"/>
              <w:rPr>
                <w:sz w:val="20"/>
                <w:szCs w:val="20"/>
                <w:color w:val="auto"/>
              </w:rPr>
            </w:pPr>
            <w:r>
              <w:rPr>
                <w:rFonts w:ascii="Arial" w:cs="Arial" w:eastAsia="Arial" w:hAnsi="Arial"/>
                <w:sz w:val="18"/>
                <w:szCs w:val="18"/>
                <w:color w:val="auto"/>
              </w:rPr>
              <w:t>65</w:t>
            </w: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years ended December 31, 2016 and 2015:</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52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Location of Gain (Loss)</w:t>
            </w:r>
          </w:p>
        </w:tc>
        <w:tc>
          <w:tcPr>
            <w:tcW w:w="2220" w:type="dxa"/>
            <w:vAlign w:val="bottom"/>
            <w:vMerge w:val="restart"/>
          </w:tcPr>
          <w:p>
            <w:pPr>
              <w:jc w:val="center"/>
              <w:ind w:left="568"/>
              <w:spacing w:after="0"/>
              <w:rPr>
                <w:sz w:val="20"/>
                <w:szCs w:val="20"/>
                <w:color w:val="auto"/>
              </w:rPr>
            </w:pPr>
            <w:r>
              <w:rPr>
                <w:rFonts w:ascii="Arial" w:cs="Arial" w:eastAsia="Arial" w:hAnsi="Arial"/>
                <w:sz w:val="14"/>
                <w:szCs w:val="14"/>
                <w:b w:val="1"/>
                <w:bCs w:val="1"/>
                <w:color w:val="auto"/>
                <w:w w:val="92"/>
              </w:rPr>
              <w:t>Year Ended December</w:t>
            </w:r>
          </w:p>
        </w:tc>
        <w:tc>
          <w:tcPr>
            <w:tcW w:w="14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 Cash Flow Hedging Relationship</w:t>
            </w:r>
          </w:p>
        </w:tc>
        <w:tc>
          <w:tcPr>
            <w:tcW w:w="352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3520" w:type="dxa"/>
            <w:vAlign w:val="bottom"/>
          </w:tcPr>
          <w:p>
            <w:pPr>
              <w:jc w:val="center"/>
              <w:ind w:left="468"/>
              <w:spacing w:after="0"/>
              <w:rPr>
                <w:sz w:val="20"/>
                <w:szCs w:val="20"/>
                <w:color w:val="auto"/>
              </w:rPr>
            </w:pPr>
            <w:r>
              <w:rPr>
                <w:rFonts w:ascii="Arial" w:cs="Arial" w:eastAsia="Arial" w:hAnsi="Arial"/>
                <w:sz w:val="14"/>
                <w:szCs w:val="14"/>
                <w:b w:val="1"/>
                <w:bCs w:val="1"/>
                <w:color w:val="auto"/>
                <w:w w:val="92"/>
              </w:rPr>
              <w:t>Statement of Operations</w:t>
            </w:r>
          </w:p>
        </w:tc>
        <w:tc>
          <w:tcPr>
            <w:tcW w:w="2220" w:type="dxa"/>
            <w:vAlign w:val="bottom"/>
          </w:tcPr>
          <w:p>
            <w:pPr>
              <w:jc w:val="right"/>
              <w:ind w:right="468"/>
              <w:spacing w:after="0"/>
              <w:rPr>
                <w:sz w:val="20"/>
                <w:szCs w:val="20"/>
                <w:color w:val="auto"/>
              </w:rPr>
            </w:pPr>
            <w:r>
              <w:rPr>
                <w:rFonts w:ascii="Arial" w:cs="Arial" w:eastAsia="Arial" w:hAnsi="Arial"/>
                <w:sz w:val="14"/>
                <w:szCs w:val="14"/>
                <w:b w:val="1"/>
                <w:bCs w:val="1"/>
                <w:color w:val="auto"/>
              </w:rPr>
              <w:t>31, 2016</w:t>
            </w:r>
          </w:p>
        </w:tc>
        <w:tc>
          <w:tcPr>
            <w:tcW w:w="1480" w:type="dxa"/>
            <w:vAlign w:val="bottom"/>
          </w:tcPr>
          <w:p>
            <w:pPr>
              <w:jc w:val="right"/>
              <w:ind w:right="368"/>
              <w:spacing w:after="0"/>
              <w:rPr>
                <w:sz w:val="20"/>
                <w:szCs w:val="20"/>
                <w:color w:val="auto"/>
              </w:rPr>
            </w:pPr>
            <w:r>
              <w:rPr>
                <w:rFonts w:ascii="Arial" w:cs="Arial" w:eastAsia="Arial" w:hAnsi="Arial"/>
                <w:sz w:val="14"/>
                <w:szCs w:val="14"/>
                <w:b w:val="1"/>
                <w:bCs w:val="1"/>
                <w:color w:val="auto"/>
              </w:rPr>
              <w:t>31, 2015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contract—Loss reclassified</w:t>
            </w:r>
          </w:p>
        </w:tc>
        <w:tc>
          <w:tcPr>
            <w:tcW w:w="120" w:type="dxa"/>
            <w:vAlign w:val="bottom"/>
            <w:tcBorders>
              <w:top w:val="single" w:sz="8" w:color="CCEEFF"/>
            </w:tcBorders>
            <w:shd w:val="clear" w:color="auto" w:fill="CCEEFF"/>
          </w:tcPr>
          <w:p>
            <w:pPr>
              <w:spacing w:after="0"/>
              <w:rPr>
                <w:sz w:val="20"/>
                <w:szCs w:val="20"/>
                <w:color w:val="auto"/>
              </w:rPr>
            </w:pPr>
          </w:p>
        </w:tc>
        <w:tc>
          <w:tcPr>
            <w:tcW w:w="41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from accumulated other comprehensive</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to net income</w:t>
            </w:r>
          </w:p>
        </w:tc>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0" w:type="dxa"/>
            <w:vAlign w:val="bottom"/>
          </w:tcPr>
          <w:p>
            <w:pPr>
              <w:spacing w:after="0"/>
              <w:rPr>
                <w:sz w:val="24"/>
                <w:szCs w:val="24"/>
                <w:color w:val="auto"/>
              </w:rPr>
            </w:pPr>
          </w:p>
        </w:tc>
        <w:tc>
          <w:tcPr>
            <w:tcW w:w="4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 Cash Flow Hedging Relationship</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Year Ended December</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060" w:type="dxa"/>
            <w:vAlign w:val="bottom"/>
            <w:tcBorders>
              <w:bottom w:val="single" w:sz="8" w:color="auto"/>
            </w:tcBorders>
            <w:gridSpan w:val="2"/>
            <w:vMerge w:val="continue"/>
          </w:tcPr>
          <w:p>
            <w:pPr>
              <w:spacing w:after="0"/>
              <w:rPr>
                <w:sz w:val="16"/>
                <w:szCs w:val="16"/>
                <w:color w:val="auto"/>
              </w:rPr>
            </w:pPr>
          </w:p>
        </w:tc>
        <w:tc>
          <w:tcPr>
            <w:tcW w:w="4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31, 2016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31, 2015</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83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Interest rate contract—Adjustments to fair value recognized in other comprehensive</w:t>
            </w: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4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was no material ineffectiveness with regard to the Partnership and Predecessor's qualifying hedges for the years ended December 31, 2016, 2015 and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15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by level within the fair value hierarchy, the Partnership's asset under the interest rate contract that was accounted for at fair value on a recurring basis at December 31, 2016.</w:t>
      </w:r>
    </w:p>
    <w:p>
      <w:pPr>
        <w:spacing w:after="0" w:line="130"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37465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83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64"/>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Asset—Interest rate contract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7"/>
          </w:tcPr>
          <w:p>
            <w:pPr>
              <w:ind w:left="560"/>
              <w:spacing w:after="0"/>
              <w:rPr>
                <w:sz w:val="20"/>
                <w:szCs w:val="20"/>
                <w:color w:val="auto"/>
              </w:rPr>
            </w:pPr>
            <w:r>
              <w:rPr>
                <w:rFonts w:ascii="Arial" w:cs="Arial" w:eastAsia="Arial" w:hAnsi="Arial"/>
                <w:sz w:val="16"/>
                <w:szCs w:val="16"/>
                <w:b w:val="1"/>
                <w:bCs w:val="1"/>
                <w:color w:val="auto"/>
              </w:rPr>
              <w:t>December 31, 2015</w:t>
            </w:r>
          </w:p>
        </w:tc>
      </w:tr>
      <w:tr>
        <w:trPr>
          <w:trHeight w:val="33"/>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83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Asset—Interest rate contract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2"/>
                <w:szCs w:val="22"/>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 month LIBOR forward curve). There were no transfers in and out of Levels 1 and 2 of the fair value hierarchy during 2016.</w:t>
      </w:r>
    </w:p>
    <w:p>
      <w:pPr>
        <w:spacing w:after="0" w:line="12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addition to the above, the Partnership has other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2016 and December 31, 2015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the inputs used to measure the fair value of the Partnership's long-term debt are classified as Level 3 within the fair value hierarchy.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 used to estimate the fair values of the Partnership's long-term debt include the selection of an appropriate discount rate.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2015</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427,513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442,716</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216,890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215,738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134,835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130,439</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disaggregated between the Partnership and the Predecessor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Partnership</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i w:val="1"/>
                <w:iCs w:val="1"/>
                <w:color w:val="auto"/>
                <w:w w:val="83"/>
              </w:rPr>
              <w:t>Predecessor</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Period from August</w:t>
            </w: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Period from January</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4, 2014 to December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1, 2014 to August 3,</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Pr>
          <w:p>
            <w:pPr>
              <w:spacing w:after="0"/>
              <w:rPr>
                <w:sz w:val="16"/>
                <w:szCs w:val="16"/>
                <w:color w:val="auto"/>
              </w:rPr>
            </w:pPr>
          </w:p>
        </w:tc>
        <w:tc>
          <w:tcPr>
            <w:tcW w:w="1080" w:type="dxa"/>
            <w:vAlign w:val="bottom"/>
          </w:tcPr>
          <w:p>
            <w:pPr>
              <w:jc w:val="center"/>
              <w:ind w:right="192"/>
              <w:spacing w:after="0"/>
              <w:rPr>
                <w:sz w:val="20"/>
                <w:szCs w:val="20"/>
                <w:color w:val="auto"/>
              </w:rPr>
            </w:pPr>
            <w:r>
              <w:rPr>
                <w:rFonts w:ascii="Arial" w:cs="Arial" w:eastAsia="Arial" w:hAnsi="Arial"/>
                <w:sz w:val="14"/>
                <w:szCs w:val="14"/>
                <w:b w:val="1"/>
                <w:bCs w:val="1"/>
                <w:color w:val="auto"/>
                <w:w w:val="95"/>
              </w:rPr>
              <w:t>31, 2014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168,773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21,207</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189,980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198,323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reconciliation of income tax expense at the U.S. statutory rate to the income tax expense disaggregated between the Partnership and the Predecessor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Partnership</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i w:val="1"/>
                <w:iCs w:val="1"/>
                <w:color w:val="auto"/>
                <w:w w:val="83"/>
              </w:rPr>
              <w:t>Predecessor</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Period from August</w:t>
            </w: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Period from January</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4, 2014 to December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1, 2014 to August 3,</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Pr>
          <w:p>
            <w:pPr>
              <w:spacing w:after="0"/>
              <w:rPr>
                <w:sz w:val="16"/>
                <w:szCs w:val="16"/>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31, 2014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195,880</w:t>
            </w: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effect</w:t>
            </w:r>
          </w:p>
        </w:tc>
        <w:tc>
          <w:tcPr>
            <w:tcW w:w="2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Partnership income not subject to entity-level federal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 provision</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198,323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(1,736)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9080" w:firstLine="8"/>
        <w:spacing w:after="0" w:line="390" w:lineRule="auto"/>
        <w:tabs>
          <w:tab w:leader="none" w:pos="27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180" w:firstLine="432"/>
        <w:spacing w:after="0" w:line="259" w:lineRule="auto"/>
        <w:rPr>
          <w:sz w:val="20"/>
          <w:szCs w:val="20"/>
          <w:color w:val="auto"/>
        </w:rPr>
      </w:pPr>
      <w:r>
        <w:rPr>
          <w:rFonts w:ascii="Arial" w:cs="Arial" w:eastAsia="Arial" w:hAnsi="Arial"/>
          <w:sz w:val="18"/>
          <w:szCs w:val="18"/>
          <w:color w:val="auto"/>
        </w:rPr>
        <w:t>Accrued liabilities were $15,717 and $23,407 at December 31, 2016 and 2015, respectively. Accruals related to accrued interest, capital expenditures, and maintenance expenses, which are components of accrued liabilities, were $5,517, $2,647 and $2,586 at December 31, 2016, respectively, and were $2,879, $14,745 and $2,949 at December 31, 2015, respectively. No other component of accrued liabilities was more than five percent of total current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Operating Activity</w:t>
      </w:r>
    </w:p>
    <w:p>
      <w:pPr>
        <w:spacing w:after="0" w:line="90"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Predecessor settled $9,315 of its total interest expense incurred on long-term debt payable to Westlake as an addition to principal on debt outstanding in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change in capital expenditure accrual increasing additions to property, plant and equipment was $18,113 for the year ended December 31, 2016 and the change in capital expenditure accrual reducing additions to property, plant and equipment was $14,552 and $418 for the years ended December 31, 2015 and 2014,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Financing Activity</w:t>
      </w:r>
    </w:p>
    <w:p>
      <w:pPr>
        <w:spacing w:after="0" w:line="90"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Related party notes payable to Westlake of $238,600 were deemed settled through net investment in 2014. The non-cash settlement was recorded as an increase in Westlake's net investment in the Predecessor. No cash was transferred in connection with the deemed settlement of these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paid by the Partnership, net of interest capitalized, was $9,901, $9,538 and $1,366 for the years ended December 31, 2016, 2015 and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respectively. Income tax paid by the Partnership was $633 and $1,264 for the years ended December 31, 2016 and 2015, respectively, of which $388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$231 was paid directly to the tax authorities for the years ended December 31, 2016 and 2015, and $245 and $1,033 was paid to Westlake as reimbursements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2016 and 2015. No income tax payments were made during 2014 by the Partnership.</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with that would obligate Westlake to take corrective actions relating to the alleged noncompliance. Westlake believes the resolution of these matters may require the payment of a monetary sanction in excess of $100.</w:t>
      </w:r>
    </w:p>
    <w:p>
      <w:pPr>
        <w:spacing w:after="0" w:line="139"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compliance issues. The Partnership and Westlake are working with LDEQ to settle these claims, and a global settlement of all claims is being discussed. Westlake has reached a verbal agreement with the LDEQ to settle various NOVs in two separate settlements for a combined $192 in civil penalties.</w:t>
      </w:r>
    </w:p>
    <w:p>
      <w:pPr>
        <w:spacing w:after="0" w:line="13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Partnership is obligated under various long-term and short-term noncancelable operating leases, primarily related to rail car leases and land. Several of the leases provide for renewal terms. At December 31, 2016, future minimum lease commitments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907</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Rental expense was approximately $2,542, $3,125 and $3,558 for the years ended December 31, 2016, 2015 and 2014, respectively.</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Major Customer and Concentration of Credit Risk</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years ended December 31, 2016, 2015 and 2014, Westlake accounted for approximately 86.5%, 82.9% and 73.8%, respectively, of the Partnership's and the Predecessor's net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AND COMBINED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680" w:firstLine="8"/>
        <w:spacing w:after="0" w:line="346" w:lineRule="auto"/>
        <w:tabs>
          <w:tab w:leader="none" w:pos="2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Distribution</w:t>
      </w:r>
    </w:p>
    <w:p>
      <w:pPr>
        <w:spacing w:after="0" w:line="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On January 27, 2017, the Board of Directors of the Partnership's general partner announced a quarterly distribution for the period from October 1, 2016 through December 31, 2016 of $0.3450 per unit and $142 to IDR Holders, which was paid on February 22, 2017 to unitholders of record as of February 7,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293,937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88,381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86,801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105,735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81,192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75,859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93,581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common unitholder</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 earnings per subordinated unitholder</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0.39</w:t>
            </w:r>
          </w:p>
        </w:tc>
      </w:tr>
      <w:tr>
        <w:trPr>
          <w:trHeight w:val="324"/>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56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680" w:type="dxa"/>
            <w:vAlign w:val="bottom"/>
            <w:tcBorders>
              <w:bottom w:val="single" w:sz="8" w:color="auto"/>
            </w:tcBorders>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r>
      <w:tr>
        <w:trPr>
          <w:trHeight w:val="526"/>
        </w:trPr>
        <w:tc>
          <w:tcPr>
            <w:tcW w:w="56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258,391</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251,705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248,619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248,506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97,982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88,533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88,314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92,258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10,785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 earnings per common unitholder</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0.40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subordinated unitholder</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r>
      <w:tr>
        <w:trPr>
          <w:trHeight w:val="729"/>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70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2016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Management's report on internal control over financial reporting appears on page 41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2016, as stated in their report that appears on page 42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There have been no change in our internal control over financial reporting that occurred during the quarter ended December 31, 2016,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2" w:right="27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 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 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reimburse our general partner and its affiliates, including Westlake, for all expenses they incur and payments they make on our behalf. Our partnership agreement does not set a limit on the amount of expenses for which our general partner and its affiliates may be reimbursed. For the year ended December 31, 2016, we paid approximately $160.4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following table shows information for the executive officers and directors of our general partner as of December 31, 2016.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all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our partnership agreement.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2" w:right="27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5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Albert Chao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w:t>
            </w: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James Chao</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69</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 Steven Bender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 Treasurer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 Benjamin Ederington</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Vice President, General Counsel and 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George Mangieri</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Lawrence Teel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Olefins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Max L. Lukens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David Lumpkins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Angela Minas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20" w:type="dxa"/>
            <w:vAlign w:val="bottom"/>
            <w:shd w:val="clear" w:color="auto" w:fill="CCEEFF"/>
          </w:tcPr>
          <w:p>
            <w:pPr>
              <w:spacing w:after="0"/>
              <w:rPr>
                <w:sz w:val="20"/>
                <w:szCs w:val="20"/>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Albert Chao</w:t>
      </w:r>
      <w:r>
        <w:rPr>
          <w:rFonts w:ascii="Arial" w:cs="Arial" w:eastAsia="Arial" w:hAnsi="Arial"/>
          <w:sz w:val="17"/>
          <w:szCs w:val="17"/>
          <w:color w:val="auto"/>
        </w:rPr>
        <w:t>. Mr. Chao has been our general partner's President and Chief Executive Officer and a director since our general partner's formation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2014 and a director of OpCo's general partner since its formation.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b w:val="1"/>
          <w:bCs w:val="1"/>
          <w:i w:val="1"/>
          <w:iCs w:val="1"/>
          <w:color w:val="auto"/>
        </w:rPr>
        <w:t>James Chao</w:t>
      </w:r>
      <w:r>
        <w:rPr>
          <w:rFonts w:ascii="Arial" w:cs="Arial" w:eastAsia="Arial" w:hAnsi="Arial"/>
          <w:sz w:val="18"/>
          <w:szCs w:val="18"/>
          <w:color w:val="auto"/>
        </w:rPr>
        <w:t>. Mr. Chao has been a director since our general partner's formation in March 2014 and Chairman of the Board since July 2014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OpCo's general partner since January 2016. Mr. Chao has also been Westlake's Chairman of the Board since July 2004 and became a director in June 2003. From May 1996 to July 2004, he served as Westlake's Vice Chairman. Mr. Chao also has responsibility for the oversight of Westlake's Vinyls business.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is on the board of Baylor College of Medicine and KIPP (Knowledge is Power Program). Mr. Chao received his B.S. degree from Massachusetts Institute of Technology and an M.B.A. from Columbia University.</w:t>
      </w:r>
    </w:p>
    <w:p>
      <w:pPr>
        <w:spacing w:after="0" w:line="14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b w:val="1"/>
          <w:bCs w:val="1"/>
          <w:i w:val="1"/>
          <w:iCs w:val="1"/>
          <w:color w:val="auto"/>
        </w:rPr>
        <w:t>M. Steven Bender</w:t>
      </w:r>
      <w:r>
        <w:rPr>
          <w:rFonts w:ascii="Arial" w:cs="Arial" w:eastAsia="Arial" w:hAnsi="Arial"/>
          <w:sz w:val="17"/>
          <w:szCs w:val="17"/>
          <w:color w:val="auto"/>
        </w:rPr>
        <w:t>. Mr. Bender has been our general partner's Senior Vice President, Chief Financial Officer and a director since our general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formation in March 2014 and our general partner's treasurer since April 2015. Mr. Bender has also been Westlake's Senior Vice President and Chief Financial Officer since February 2008. In addition, Mr. Bender has served as its Treasurer since July 2011, a position he also held from February 2008 until December 2010. From February 2007 to February 2008, Mr. Bender served as Westlake's Vice President, Chief Financial Officer and Treasurer and from June 2005 to February 2007, he served as its Vice President and Treasurer.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b w:val="1"/>
          <w:bCs w:val="1"/>
          <w:i w:val="1"/>
          <w:iCs w:val="1"/>
          <w:color w:val="auto"/>
        </w:rPr>
        <w:t>L. Benjamin Ederington</w:t>
      </w:r>
      <w:r>
        <w:rPr>
          <w:rFonts w:ascii="Arial" w:cs="Arial" w:eastAsia="Arial" w:hAnsi="Arial"/>
          <w:sz w:val="17"/>
          <w:szCs w:val="17"/>
          <w:color w:val="auto"/>
        </w:rPr>
        <w:t>. Mr. Ederington has been our general partner's Vice President, General Counsel and Secretary and a director since our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formation in March 2014. He has also been Westlake's Vice President, General Counsel and Corporate Secretary since October 2013, and Westlake's Vice President, General Counsel, Chief Administrative Officer and Corporate Secretary since December 2015.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and interim Director of Government Affairs from March 2010 to April 2011. He began his legal career more than 19 years ago at the law firm of Steptoe &amp; Johnson, LLP. Mr. Ederington holds a B.A. from Yale University and received his J.D. from Harvard University.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b w:val="1"/>
          <w:bCs w:val="1"/>
          <w:i w:val="1"/>
          <w:iCs w:val="1"/>
          <w:color w:val="auto"/>
        </w:rPr>
        <w:t>George J. Mangieri</w:t>
      </w:r>
      <w:r>
        <w:rPr>
          <w:rFonts w:ascii="Arial" w:cs="Arial" w:eastAsia="Arial" w:hAnsi="Arial"/>
          <w:sz w:val="16"/>
          <w:szCs w:val="16"/>
          <w:color w:val="auto"/>
        </w:rPr>
        <w:t>. Mr. Mangieri has been our general partner's Vice President and Chief Accounting Officer since our general partner's formation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2014. Mr. Mangieri has held those same positions for Westlake since February 2007. From April 2000 to February 2007, he was its Vice President and Controller. Prior to joining Westlake,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0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i w:val="1"/>
          <w:iCs w:val="1"/>
          <w:color w:val="auto"/>
        </w:rPr>
        <w:t>Lawrence (Skip) Teel</w:t>
      </w:r>
      <w:r>
        <w:rPr>
          <w:rFonts w:ascii="Arial" w:cs="Arial" w:eastAsia="Arial" w:hAnsi="Arial"/>
          <w:sz w:val="17"/>
          <w:szCs w:val="17"/>
          <w:color w:val="auto"/>
        </w:rPr>
        <w:t>. Mr. Teel has been our general partner's Senior Vice President, Olefins since July 2014. Mr. Teel has been Westlake's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Olefins since July 2014. From July 2012 to July 2014, he served 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24" w:lineRule="exact"/>
        <w:rPr>
          <w:sz w:val="20"/>
          <w:szCs w:val="20"/>
          <w:color w:val="auto"/>
        </w:rPr>
      </w:pPr>
    </w:p>
    <w:p>
      <w:pPr>
        <w:ind w:right="60" w:firstLine="392"/>
        <w:spacing w:after="0" w:line="289" w:lineRule="auto"/>
        <w:rPr>
          <w:sz w:val="20"/>
          <w:szCs w:val="20"/>
          <w:color w:val="auto"/>
        </w:rPr>
      </w:pPr>
      <w:r>
        <w:rPr>
          <w:rFonts w:ascii="Arial" w:cs="Arial" w:eastAsia="Arial" w:hAnsi="Arial"/>
          <w:sz w:val="16"/>
          <w:szCs w:val="16"/>
          <w:b w:val="1"/>
          <w:bCs w:val="1"/>
          <w:i w:val="1"/>
          <w:iCs w:val="1"/>
          <w:color w:val="auto"/>
        </w:rPr>
        <w:t>Max L. Lukens</w:t>
      </w:r>
      <w:r>
        <w:rPr>
          <w:rFonts w:ascii="Arial" w:cs="Arial" w:eastAsia="Arial" w:hAnsi="Arial"/>
          <w:sz w:val="16"/>
          <w:szCs w:val="16"/>
          <w:color w:val="auto"/>
        </w:rPr>
        <w:t>. Mr. Lukens has been a director of our general partner since June 2014 and is the Chairman of the audit committee. He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Westlake since August 2004. Since May 2006, Mr. Lukens has managed his personal investments. Mr. Lukens served as President and Chief Executive Officer of Stewart &amp; Stevenson Services, Inc. until May 2006 and prior to that served as its Chairman of the Board from December 2002 to March 2004, and Interim Chief Executive Officer and President from September 2003 to March 2004. He was also previously employed by Baker Hughes Incorporated from 1981 to January 2000, where he served as Baker Hughes' Chairman of the Board, President and Chief Executive Officer from 1997 to January 2000. Between 2003 and 2009, he served as a director of NCI Building Systems, Inc. He also served as a director of The Pep Boys-Manny, Moe &amp; Jack from August 2006 until October 2007 and again from June 2009 until September 2011. He was also Chairman of the Board of that company from June 2009 until he resigned in September 2011. He was a director of Blount International, Inc. from July 2015 until it was acquired in April 2016. Mr. Lukens was a Certified Public Accountant with Deloitte Haskins &amp; Sells for 10 years and received both his B.S. and M.B.A. degrees from Miami University.</w:t>
      </w:r>
    </w:p>
    <w:p>
      <w:pPr>
        <w:spacing w:after="0" w:line="11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b w:val="1"/>
          <w:bCs w:val="1"/>
          <w:i w:val="1"/>
          <w:iCs w:val="1"/>
          <w:color w:val="auto"/>
        </w:rPr>
        <w:t>David Lumpkins</w:t>
      </w:r>
      <w:r>
        <w:rPr>
          <w:rFonts w:ascii="Arial" w:cs="Arial" w:eastAsia="Arial" w:hAnsi="Arial"/>
          <w:sz w:val="16"/>
          <w:szCs w:val="16"/>
          <w:color w:val="auto"/>
        </w:rPr>
        <w:t>. Mr. Lumpkins has been a director of our general partner since January 2015 and serves on the audit and conflicts committees. He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with Stonecourt Capital LP, a private equity investment firm. He was the co-founder, and Executive Chairman of the general partner, of PetroLogistics L.P. until PetroLogistics L.P. was acquired by Flint Hills Resources, LLC in July 2014. Mr. Lumpkins previously had been affiliated with the private equity firm Lindsay Goldberg since 2000, during which time he worked on a number of investment opportunities in the petrochemical and energy midstream industries. Prior to his affiliation with Lindsay Goldberg, Mr. Lumpkins worked in the investment banking industry for 17 years, principally for Morgan Stanley and Credit Suisse. In 1995, Mr. Lumpkins opened Morgan Stanley's Houston office and served as head of the firm's southwest region. He is a graduate of the University of Texas where he also received his MBA. Mr. Lumpkins also serves as a director of Crestwood Equity Partners LP.</w:t>
      </w:r>
    </w:p>
    <w:p>
      <w:pPr>
        <w:spacing w:after="0" w:line="11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b w:val="1"/>
          <w:bCs w:val="1"/>
          <w:i w:val="1"/>
          <w:iCs w:val="1"/>
          <w:color w:val="auto"/>
        </w:rPr>
        <w:t xml:space="preserve">Angela A. Minas. </w:t>
      </w:r>
      <w:r>
        <w:rPr>
          <w:rFonts w:ascii="Arial" w:cs="Arial" w:eastAsia="Arial" w:hAnsi="Arial"/>
          <w:sz w:val="18"/>
          <w:szCs w:val="18"/>
          <w:color w:val="auto"/>
        </w:rPr>
        <w:t>Ms. Minas has been a director of our general partner since October 2016 and serves on the audit and conflicts committees. Ms. Minas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currently serves on the board of directors and as the Chair of the audit committee of the general partner of CONE Midstream Partners LP and on the board of directors and as the Chair of the audit committee of the general partner of Ciner Resources LP. From March 2013 to August 2014, she was Vice President and Chief Financial Officer of Nemaha Oil and Gas, LLC.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In accordance with the rules of the NYSE, the board of directors of our general partner currently has three independent directors. The board of directors of our general partner has determined that each of Messrs. Lukens and Lumpkins and Ms. Minas is, and Mr. Gary K. Adams (who retired from the board in October 2016) was, independent as defined under the independence standards established by the NYSE and the Exchange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9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The audit committee of our general partner's board of directors has been established in accordance with Section 3(a)(58)(A) of the Exchange Act, and consists of Messrs. Lukens and Lumpkins and Ms. Minas, all of whom are independent. Mr. Adams was also independent while he served on the audit committee. Mr. Lukens is the current Chairman of the audit committee. The board of directors of our general partner has determined that each of Messrs. Lukens and Lumpkins and Ms. Minas is, and Mr. Adams was,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w:t>
      </w:r>
    </w:p>
    <w:p>
      <w:pPr>
        <w:spacing w:after="0" w:line="13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our partnership agreement. Mr. Lumpkins and Ms. Minas serve on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9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During the last fiscal year, our general partner's board of directors had ten meetings, and our general partner's audit committee had seven meetings. Our general partner's conflicts committee did not hold any meetings during the last fiscal year. None of the directors attended fewer than 75% of the aggregate number of meetings of the board of directors and committees of the board on which the director served.</w:t>
      </w:r>
    </w:p>
    <w:p>
      <w:pPr>
        <w:spacing w:after="0" w:line="11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94"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1" w:right="29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Governance and a charter for our audit committee. Each of the foregoing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 xml:space="preserve"> in the "Corporate Governance" section of our Investor Relations tab. We provide copies, free of charge, of any of the foregoing upon 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9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2016 without qualification. You can also find information about us at the offices of the NYSE, 20 Broad Street, New York, New York 10005 or at the NYSE's Internet site (</w:t>
      </w:r>
      <w:r>
        <w:rPr>
          <w:rFonts w:ascii="Arial" w:cs="Arial" w:eastAsia="Arial" w:hAnsi="Arial"/>
          <w:sz w:val="17"/>
          <w:szCs w:val="17"/>
          <w:i w:val="1"/>
          <w:iCs w:val="1"/>
          <w:color w:val="auto"/>
        </w:rPr>
        <w:t>www.nyse.com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Section 16(a) of the Exchange Act requires the executive officers and directors of our general partner and persons who beneficially own more than 10% of our common units to file reports of securities ownership and changes in such ownership with the SEC. Officers, directors and greater than 10% beneficial owners also are required by rules promulgated by the SEC to furnish us with copies of all Section 16(a) forms they file. Based solely upon a review of all Forms 3, 4 and 5, including any amendments, filed with the SEC in 2016, all required report filings by the directors and executive officers and greater than 10% affiliated beneficial owners were timely made.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392"/>
        <w:spacing w:after="0" w:line="255" w:lineRule="auto"/>
        <w:rPr>
          <w:sz w:val="20"/>
          <w:szCs w:val="20"/>
          <w:color w:val="auto"/>
        </w:rPr>
      </w:pPr>
      <w:r>
        <w:rPr>
          <w:rFonts w:ascii="Arial" w:cs="Arial" w:eastAsia="Arial" w:hAnsi="Arial"/>
          <w:sz w:val="18"/>
          <w:szCs w:val="18"/>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2016, Mr. Albert Chao devoted approximately 10% of his total business time to our general partner and us and Mr. Steve Bender devoted approximately 12.5% of his total business time to our general partner and us. The allocation of the executive officers' time in future years and, in turn, future compensation allocations may differ from the time and compensation allocated for each executive officer in 2016.</w:t>
      </w:r>
    </w:p>
    <w:p>
      <w:pPr>
        <w:spacing w:after="0" w:line="139"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equity awards of Westlake stock and annual and quarterly cash incentive plans are geared toward specific performance goals of Westlake's business, and not our business. Westlake has significant assets and holdings outside of us and our general partner.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For 2016, our named executive officers ("NEOs") consisted of our principal executive officer, Mr. Albert Chao, and our principal financial officer, Mr. Steven Bender. The compensation allocated to us in 2016 for each of the other executive officers of our general partner did not exceed $100,000. Therefore, none of the other executive officers are considered NEOs for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90"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0" w:lineRule="exact"/>
        <w:rPr>
          <w:sz w:val="20"/>
          <w:szCs w:val="20"/>
          <w:color w:val="auto"/>
        </w:rPr>
      </w:pPr>
    </w:p>
    <w:p>
      <w:pPr>
        <w:ind w:right="340" w:firstLine="392"/>
        <w:spacing w:after="0" w:line="259"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2" w:right="25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0" w:lineRule="exact"/>
        <w:rPr>
          <w:sz w:val="20"/>
          <w:szCs w:val="20"/>
          <w:color w:val="auto"/>
        </w:rPr>
      </w:pPr>
    </w:p>
    <w:p>
      <w:pPr>
        <w:ind w:right="100" w:firstLine="392"/>
        <w:spacing w:after="0" w:line="268" w:lineRule="auto"/>
        <w:rPr>
          <w:sz w:val="20"/>
          <w:szCs w:val="20"/>
          <w:color w:val="auto"/>
        </w:rPr>
      </w:pPr>
      <w:r>
        <w:rPr>
          <w:rFonts w:ascii="Arial" w:cs="Arial" w:eastAsia="Arial" w:hAnsi="Arial"/>
          <w:sz w:val="17"/>
          <w:szCs w:val="17"/>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2016, the Westlake Compensation Committee directly engaged the services of Willis Towers Watson as a compensation consultant to advise the Westlake Compensation Committee on executive compensation matters. Willis Towers Watson assists the Westlake Compensation Committee by providing updated comparative market data on compensation programs and practices of peer competitors, the broader-based chemical industry and general industry. Willis Towers Watson also assists Westlake with general compensation consultation regarding employees other than the Westlake NEOs. In 2016, Westlake paid Willis Towers Watson approximately $157,000 for executive compensation advisory services and approximately $400,000 for other consulting services (primarily related to acquisition due diligence and integration services on behalf of Westlake). The decision to engage Willis Towers Watson for the non-executive compensation consulting services was made by management and approved by the Westlake Compensation Committee. In February 2017, the Westlake Compensation Committee assessed whether the work of Willis Towers Watson for Westlake during 2016 raised any conflict of interest and concluded that no conflict of interest exists.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Products and Chemicals,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Huntsman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Albemarle Corporation</w:t>
            </w:r>
          </w:p>
        </w:tc>
        <w:tc>
          <w:tcPr>
            <w:tcW w:w="7280" w:type="dxa"/>
            <w:vAlign w:val="bottom"/>
          </w:tcPr>
          <w:p>
            <w:pPr>
              <w:ind w:left="1720"/>
              <w:spacing w:after="0"/>
              <w:rPr>
                <w:sz w:val="20"/>
                <w:szCs w:val="20"/>
                <w:color w:val="auto"/>
              </w:rPr>
            </w:pPr>
            <w:r>
              <w:rPr>
                <w:rFonts w:ascii="Arial" w:cs="Arial" w:eastAsia="Arial" w:hAnsi="Arial"/>
                <w:sz w:val="18"/>
                <w:szCs w:val="18"/>
                <w:color w:val="auto"/>
              </w:rPr>
              <w:t>The Mosaic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Ashland Inc.</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Olin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Axalta Coating Systems Ltd.</w:t>
            </w:r>
          </w:p>
        </w:tc>
        <w:tc>
          <w:tcPr>
            <w:tcW w:w="7280" w:type="dxa"/>
            <w:vAlign w:val="bottom"/>
          </w:tcPr>
          <w:p>
            <w:pPr>
              <w:ind w:left="1720"/>
              <w:spacing w:after="0"/>
              <w:rPr>
                <w:sz w:val="20"/>
                <w:szCs w:val="20"/>
                <w:color w:val="auto"/>
              </w:rPr>
            </w:pPr>
            <w:r>
              <w:rPr>
                <w:rFonts w:ascii="Arial" w:cs="Arial" w:eastAsia="Arial" w:hAnsi="Arial"/>
                <w:sz w:val="18"/>
                <w:szCs w:val="18"/>
                <w:color w:val="auto"/>
              </w:rPr>
              <w:t>PolyOne Corporation</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Celanese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Praxair, Inc.</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CF Industries Holdings, Inc.</w:t>
            </w:r>
          </w:p>
        </w:tc>
        <w:tc>
          <w:tcPr>
            <w:tcW w:w="7280" w:type="dxa"/>
            <w:vAlign w:val="bottom"/>
          </w:tcPr>
          <w:p>
            <w:pPr>
              <w:ind w:left="1720"/>
              <w:spacing w:after="0"/>
              <w:rPr>
                <w:sz w:val="20"/>
                <w:szCs w:val="20"/>
                <w:color w:val="auto"/>
              </w:rPr>
            </w:pPr>
            <w:r>
              <w:rPr>
                <w:rFonts w:ascii="Arial" w:cs="Arial" w:eastAsia="Arial" w:hAnsi="Arial"/>
                <w:sz w:val="18"/>
                <w:szCs w:val="18"/>
                <w:color w:val="auto"/>
              </w:rPr>
              <w:t>RPM International Inc</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Chemours Company</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The Sherwin-Williams Company</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Eastman Chemical Company</w:t>
            </w:r>
          </w:p>
        </w:tc>
        <w:tc>
          <w:tcPr>
            <w:tcW w:w="7280" w:type="dxa"/>
            <w:vAlign w:val="bottom"/>
          </w:tcPr>
          <w:p>
            <w:pPr>
              <w:ind w:left="1720"/>
              <w:spacing w:after="0"/>
              <w:rPr>
                <w:sz w:val="20"/>
                <w:szCs w:val="20"/>
                <w:color w:val="auto"/>
              </w:rPr>
            </w:pPr>
            <w:r>
              <w:rPr>
                <w:rFonts w:ascii="Arial" w:cs="Arial" w:eastAsia="Arial" w:hAnsi="Arial"/>
                <w:sz w:val="18"/>
                <w:szCs w:val="18"/>
                <w:color w:val="auto"/>
              </w:rPr>
              <w:t>Trinseo S.A.</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FMC Corporation</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The Valspar Corporation</w:t>
            </w:r>
          </w:p>
        </w:tc>
      </w:tr>
      <w:tr>
        <w:trPr>
          <w:trHeight w:val="27"/>
        </w:trPr>
        <w:tc>
          <w:tcPr>
            <w:tcW w:w="41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a result of changes in the Peer Group and in order to take into account the size and complexity of Westlake (including as a result of the acquisition of Axiall Corporation), the Peer Group was adjusted in November 2016 by adding Axalta Coating Systems Ltd., The Chemours Company, Huntsman Corporation, Praxair, Inc. and The Sherwin-Williams Company to, and removing Axiall Corporation (which was acquired by Westlake), Cabot Corporation, International Flavors &amp; Fragrances, Inc. and W.R. Grace &amp; Co. from, the Peer Group.</w:t>
      </w:r>
    </w:p>
    <w:p>
      <w:pPr>
        <w:spacing w:after="0" w:line="133"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127" w:lineRule="exact"/>
        <w:rPr>
          <w:sz w:val="20"/>
          <w:szCs w:val="20"/>
          <w:color w:val="auto"/>
        </w:rPr>
      </w:pPr>
    </w:p>
    <w:p>
      <w:pPr>
        <w:ind w:right="80" w:firstLine="392"/>
        <w:spacing w:after="0" w:line="288" w:lineRule="auto"/>
        <w:rPr>
          <w:sz w:val="20"/>
          <w:szCs w:val="20"/>
          <w:color w:val="auto"/>
        </w:rPr>
      </w:pPr>
      <w:r>
        <w:rPr>
          <w:rFonts w:ascii="Arial" w:cs="Arial" w:eastAsia="Arial" w:hAnsi="Arial"/>
          <w:sz w:val="16"/>
          <w:szCs w:val="16"/>
          <w:color w:val="auto"/>
        </w:rPr>
        <w:t>In addition to referring to the Peer Group, Willis Towers Watson utilizes survey data from its proprietary general industry and chemical industry databases, including, but not limited to, the Willis Towers Watson CDB Executive Survey as well as the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Westlake Compensation Committee meets annually in February to specifically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 Committee for the Westlake PEO and the factors established by the Westlake PEO in setting and approving the other Westlake 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the stockholders;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balancing short-term objectives with long-term strategic initiatives and thinking through the design of both short-term and long-term pay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0"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0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2016,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 ensure that the Westlake Executive's current base pay is within the acceptable target level as determined by the Westlake Compensation Committee to:</w:t>
      </w:r>
    </w:p>
    <w:p>
      <w:pPr>
        <w:spacing w:after="0" w:line="3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color w:val="auto"/>
        </w:rPr>
        <w:t>For further information regarding compensation decisions made by the Westlake Compensation Committee during 2016, see the proxy statement that is expected to be filed by Westlake in connection with its 2017 annual meeting of stockholders. In February 2017, the Westlake Compensation Committee set the base salaries for the Westlake NEOs as follows: $1,034,000 for Mr. Albert Chao and $550,000 for Mr. Bender. The salaries of Mr. Albert Chao and Mr. Bender were increased from $985,000 and $525,000, respectively, after consideration of the Reference Points.</w:t>
      </w:r>
    </w:p>
    <w:p>
      <w:pPr>
        <w:spacing w:after="0" w:line="194"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7"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Deferred Compensation Programs</w:t>
      </w:r>
      <w:r>
        <w:rPr>
          <w:rFonts w:ascii="Arial" w:cs="Arial" w:eastAsia="Arial" w:hAnsi="Arial"/>
          <w:sz w:val="18"/>
          <w:szCs w:val="18"/>
          <w:color w:val="auto"/>
        </w:rPr>
        <w:t>—Westlake has no deferred compensation programs for which its executives are eligible to participate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standard provisions of Westlake's 401(k) plan and provisions of Section 125 of the Internal Revenue Code whereby salary is reduced for taxation since the 401(k) contributions are made by employees on a pre-tax basis, thereby reducing their salary and taxable income. Westlake assumed certain deferred compensation programs from Axiall Corporation in connection with the acquisition. These programs are not open to new participants nor to new deferrals by existing participants.</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9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BOARD OF DIRECTORS OF</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WESTLAKE CHEMICAL PARTNERS GP LLC</w:t>
      </w: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Albert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Max L. Lukens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David Lumpkins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Angela Minas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 Steven Bender</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L. Benjamin Ederington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provide information regarding the compensation awarded to or earned during 2016 and prior years, as applicable by the NEOs.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 xml:space="preserve">Portion Allocation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(3)</w:t>
            </w:r>
          </w:p>
        </w:tc>
      </w:tr>
      <w:tr>
        <w:trPr>
          <w:trHeight w:val="228"/>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98,500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953,000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95,300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38,104</w:t>
            </w:r>
          </w:p>
        </w:tc>
      </w:tr>
      <w:tr>
        <w:trPr>
          <w:trHeight w:val="229"/>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65,625</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62,500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462,000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23,732</w:t>
            </w:r>
          </w:p>
        </w:tc>
      </w:tr>
      <w:tr>
        <w:trPr>
          <w:trHeight w:val="181"/>
        </w:trPr>
        <w:tc>
          <w:tcPr>
            <w:tcW w:w="50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16"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63" w:lineRule="exact"/>
        <w:rPr>
          <w:rFonts w:ascii="Arial" w:cs="Arial" w:eastAsia="Arial" w:hAnsi="Arial"/>
          <w:sz w:val="18"/>
          <w:szCs w:val="18"/>
          <w:color w:val="auto"/>
        </w:rPr>
      </w:pPr>
    </w:p>
    <w:p>
      <w:pPr>
        <w:ind w:left="420" w:right="160" w:hanging="412"/>
        <w:spacing w:after="0" w:line="277"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periods from January 1, 2016 through December 31, 2016, from January 1, 2015 through December 31, 2015 and from August 4, 2014 through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Officers or employees of Westlake or its affiliates who also serve as directors do not receive additional compensation for such service. The directors who are not also officers or employees of Westlake or its affiliates receive compensation for service on our board of directors and committees thereof. Our general partner implemented an annual retainer compensation package for the non-employee directors valued at approximately $140,000, of which approximately $65,000 is paid in the form of an annual cash retainer and the remaining $75,000 retainer fee is paid in a grant of phantom unit awards under the LTIP. In addition, our general partner pays the audit committee chairman an additional annual amount of $15,000.</w:t>
      </w:r>
    </w:p>
    <w:p>
      <w:pPr>
        <w:spacing w:after="0" w:line="10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our partnership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 summary of the compensation we paid to our non-employee directors in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 Paid in</w:t>
            </w:r>
          </w:p>
        </w:tc>
        <w:tc>
          <w:tcPr>
            <w:tcW w:w="1760" w:type="dxa"/>
            <w:vAlign w:val="bottom"/>
            <w:gridSpan w:val="4"/>
          </w:tcPr>
          <w:p>
            <w:pPr>
              <w:ind w:left="60"/>
              <w:spacing w:after="0"/>
              <w:rPr>
                <w:sz w:val="20"/>
                <w:szCs w:val="20"/>
                <w:color w:val="auto"/>
              </w:rPr>
            </w:pPr>
            <w:r>
              <w:rPr>
                <w:rFonts w:ascii="Arial" w:cs="Arial" w:eastAsia="Arial" w:hAnsi="Arial"/>
                <w:sz w:val="14"/>
                <w:szCs w:val="14"/>
                <w:b w:val="1"/>
                <w:bCs w:val="1"/>
                <w:color w:val="auto"/>
              </w:rPr>
              <w:t>Phantom Unit Awards</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6"/>
                <w:szCs w:val="16"/>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Cash</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K. Adams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177,241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Max L. Lukens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163,212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Lumpkins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Angela Minas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92,402</w:t>
            </w:r>
          </w:p>
        </w:tc>
        <w:tc>
          <w:tcPr>
            <w:tcW w:w="0" w:type="dxa"/>
            <w:vAlign w:val="bottom"/>
          </w:tcPr>
          <w:p>
            <w:pPr>
              <w:spacing w:after="0"/>
              <w:rPr>
                <w:sz w:val="1"/>
                <w:szCs w:val="1"/>
                <w:color w:val="auto"/>
              </w:rPr>
            </w:pPr>
          </w:p>
        </w:tc>
      </w:tr>
      <w:tr>
        <w:trPr>
          <w:trHeight w:val="181"/>
        </w:trPr>
        <w:tc>
          <w:tcPr>
            <w:tcW w:w="50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180" w:hanging="332"/>
        <w:spacing w:after="0" w:line="25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restricted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2016, Messrs. Lukens and Lumpkins and Ms. Minas held 8,755, 9,109 and 3,436 phantom units, respectively.</w:t>
      </w:r>
    </w:p>
    <w:p>
      <w:pPr>
        <w:spacing w:after="0" w:line="132" w:lineRule="exact"/>
        <w:rPr>
          <w:rFonts w:ascii="Arial" w:cs="Arial" w:eastAsia="Arial" w:hAnsi="Arial"/>
          <w:sz w:val="18"/>
          <w:szCs w:val="18"/>
          <w:color w:val="auto"/>
        </w:rPr>
      </w:pPr>
    </w:p>
    <w:p>
      <w:pPr>
        <w:ind w:left="340" w:right="40" w:hanging="332"/>
        <w:spacing w:after="0" w:line="31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reflected in this column represent (a) the amount of cash paid with respect to distribution equivalent rights granted in tandem with the phantom unit awards and (b) with respect to Mr. Adams, an amount ($123,221) awarded by our general partner’s board of directors in November 2016 in recognition of his service on the board and equivalent in value to the phantom units he surrendered upon his retirement from the board in October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beneficial ownership of our outstanding common units and subordinated units held by:</w:t>
      </w:r>
    </w:p>
    <w:p>
      <w:pPr>
        <w:spacing w:after="0" w:line="9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March 1, 2017,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Common Units</w:t>
            </w:r>
          </w:p>
        </w:tc>
        <w:tc>
          <w:tcPr>
            <w:tcW w:w="1540" w:type="dxa"/>
            <w:vAlign w:val="bottom"/>
            <w:gridSpan w:val="2"/>
            <w:vMerge w:val="continue"/>
          </w:tcPr>
          <w:p>
            <w:pPr>
              <w:spacing w:after="0"/>
              <w:rPr>
                <w:sz w:val="12"/>
                <w:szCs w:val="1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Subordinated Units</w:t>
            </w:r>
          </w:p>
        </w:tc>
        <w:tc>
          <w:tcPr>
            <w:tcW w:w="14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and</w:t>
            </w: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 Units</w:t>
            </w: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Beneficially Owned</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Beneficially Owned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Westlake Chemical Corporation</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1,436,115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GP LLC</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David Lumpkins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Angela Minas</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as a group (9 persons)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247,500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171"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The following table sets forth, as of March 1, 2017, the number of shares of common stock of Westlake Chemical Corporation beneficially owned by each director and named executive officer of our general partner and by all directors and executive officers of our general partner as a group: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Amount and Nature of</w:t>
            </w:r>
          </w:p>
        </w:tc>
        <w:tc>
          <w:tcPr>
            <w:tcW w:w="136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 xml:space="preserve">Beneficial Ownership of Common Stock </w:t>
            </w:r>
            <w:r>
              <w:rPr>
                <w:rFonts w:ascii="Arial" w:cs="Arial" w:eastAsia="Arial" w:hAnsi="Arial"/>
                <w:sz w:val="8"/>
                <w:szCs w:val="8"/>
                <w:b w:val="1"/>
                <w:bCs w:val="1"/>
                <w:color w:val="auto"/>
                <w:w w:val="92"/>
              </w:rPr>
              <w:t>(1)</w:t>
            </w:r>
          </w:p>
        </w:tc>
        <w:tc>
          <w:tcPr>
            <w:tcW w:w="136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Directors and Named Executive Officers of Our General Partner</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xml:space="preserve">Direct </w:t>
            </w:r>
            <w:r>
              <w:rPr>
                <w:rFonts w:ascii="Arial" w:cs="Arial" w:eastAsia="Arial" w:hAnsi="Arial"/>
                <w:sz w:val="8"/>
                <w:szCs w:val="8"/>
                <w:b w:val="1"/>
                <w:bCs w:val="1"/>
                <w:color w:val="auto"/>
              </w:rPr>
              <w:t>(2)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Other</w:t>
            </w:r>
          </w:p>
        </w:tc>
        <w:tc>
          <w:tcPr>
            <w:tcW w:w="8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Percent of Class</w:t>
            </w: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945,260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3"/>
                <w:szCs w:val="13"/>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420" w:type="dxa"/>
            <w:vAlign w:val="bottom"/>
          </w:tcPr>
          <w:p>
            <w:pPr>
              <w:jc w:val="right"/>
              <w:spacing w:after="0"/>
              <w:rPr>
                <w:sz w:val="20"/>
                <w:szCs w:val="20"/>
                <w:color w:val="auto"/>
              </w:rPr>
            </w:pPr>
            <w:r>
              <w:rPr>
                <w:rFonts w:ascii="Arial" w:cs="Arial" w:eastAsia="Arial" w:hAnsi="Arial"/>
                <w:sz w:val="18"/>
                <w:szCs w:val="18"/>
                <w:color w:val="auto"/>
              </w:rPr>
              <w:t>233,533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jc w:val="right"/>
              <w:ind w:right="537"/>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178,239</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14,896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David Lumpkins</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Angela Minas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1,428,057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72.4%</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0" w:lineRule="exact"/>
        <w:rPr>
          <w:rFonts w:ascii="Arial" w:cs="Arial" w:eastAsia="Arial" w:hAnsi="Arial"/>
          <w:sz w:val="18"/>
          <w:szCs w:val="18"/>
          <w:color w:val="auto"/>
        </w:rPr>
      </w:pPr>
    </w:p>
    <w:p>
      <w:pPr>
        <w:ind w:left="340" w:right="42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include shares of common stock that may be acquired within 60 days from March 1, 2017 through the exercise of options held by Mr. Albert Chao (671,242), Mr. James Chao (114,564), Mr. Bender (107,996), Mr. Ederington (9,172) and all directors and executive officers as a group (925,469).</w:t>
      </w:r>
    </w:p>
    <w:p>
      <w:pPr>
        <w:spacing w:after="0" w:line="46" w:lineRule="exact"/>
        <w:rPr>
          <w:rFonts w:ascii="Arial" w:cs="Arial" w:eastAsia="Arial" w:hAnsi="Arial"/>
          <w:sz w:val="18"/>
          <w:szCs w:val="18"/>
          <w:color w:val="auto"/>
        </w:rPr>
      </w:pPr>
    </w:p>
    <w:p>
      <w:pPr>
        <w:ind w:left="340" w:right="20" w:hanging="332"/>
        <w:spacing w:after="0" w:line="293"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Two trusts for the benefit of members of the Chao family, including James Chao and Albert Chao, are the managers of TTWFGP LLC, a Delaware limited liability company, which is the general partner of TTWF LP.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James Chao and Albert Chao. James Chao, Albert Chao, TTWF LP and TTWFGP LLC share voting and dispositive power with respect to the shares of Westlake's common stock beneficially owned by TTWF LP. James Chao and Albert Chao disclaim beneficial ownership of the 92,010,554 shares held by TTWF LP except to the extent of their respective pecuniary interest therein.</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Common Units</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 Common</w:t>
            </w: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Subordinated Units</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Common</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Beneficially</w:t>
            </w: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Subordinated Units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Beneficially Owned</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228"/>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Oppenheimer Funds, Inc. and</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Oppenheimer SteelPath MLP</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Alpha Fund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 World Financial Center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225 Liberty Street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10282</w:t>
            </w:r>
          </w:p>
        </w:tc>
        <w:tc>
          <w:tcPr>
            <w:tcW w:w="146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3,335,980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9"/>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Harvest Fund Advisors LLC</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100 W. Lancaster Avenue, Suite 200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Wayne, PA 19087</w:t>
            </w:r>
          </w:p>
        </w:tc>
        <w:tc>
          <w:tcPr>
            <w:tcW w:w="1460" w:type="dxa"/>
            <w:vAlign w:val="bottom"/>
          </w:tcPr>
          <w:p>
            <w:pPr>
              <w:jc w:val="right"/>
              <w:spacing w:after="0" w:line="257" w:lineRule="exact"/>
              <w:rPr>
                <w:sz w:val="20"/>
                <w:szCs w:val="20"/>
                <w:color w:val="auto"/>
              </w:rPr>
            </w:pPr>
            <w:r>
              <w:rPr>
                <w:rFonts w:ascii="Arial" w:cs="Arial" w:eastAsia="Arial" w:hAnsi="Arial"/>
                <w:sz w:val="18"/>
                <w:szCs w:val="18"/>
                <w:color w:val="auto"/>
              </w:rPr>
              <w:t xml:space="preserve">1,983,230 </w:t>
            </w:r>
            <w:r>
              <w:rPr>
                <w:rFonts w:ascii="Arial" w:cs="Arial" w:eastAsia="Arial" w:hAnsi="Arial"/>
                <w:sz w:val="25"/>
                <w:szCs w:val="25"/>
                <w:color w:val="auto"/>
                <w:vertAlign w:val="superscript"/>
              </w:rPr>
              <w:t>(2)</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Energy Income Partners, LLC</w:t>
            </w: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Wright Street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Westport, CT 06880</w:t>
            </w:r>
          </w:p>
        </w:tc>
        <w:tc>
          <w:tcPr>
            <w:tcW w:w="146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777,327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8" w:lineRule="exact"/>
        <w:rPr>
          <w:sz w:val="20"/>
          <w:szCs w:val="20"/>
          <w:color w:val="auto"/>
        </w:rPr>
      </w:pPr>
    </w:p>
    <w:p>
      <w:pPr>
        <w:ind w:left="340" w:right="22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an Amendment No. 2 to a Schedule 13G filed on January 25, 2017. According to the filing, Oppenheimer Funds, Inc. had shared voting and shared dispositive power over 3,335,980 common units, and Oppenheimer SteelPath MLP Alpha Fund had shared voting and shared dispositive power over 2,690,933 common units.</w:t>
      </w:r>
    </w:p>
    <w:p>
      <w:pPr>
        <w:spacing w:after="0" w:line="46"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a Schedule 13G filed on February 10, 2017. According to the filing, Harvest Fund Advisors LLC had sole voting and dispositive power over 1,983,230 common units.</w:t>
      </w:r>
    </w:p>
    <w:p>
      <w:pPr>
        <w:spacing w:after="0" w:line="35" w:lineRule="exact"/>
        <w:rPr>
          <w:rFonts w:ascii="Arial" w:cs="Arial" w:eastAsia="Arial" w:hAnsi="Arial"/>
          <w:sz w:val="18"/>
          <w:szCs w:val="18"/>
          <w:color w:val="auto"/>
        </w:rPr>
      </w:pPr>
    </w:p>
    <w:p>
      <w:pPr>
        <w:ind w:left="340" w:right="22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a Schedule 13G filed on February 14, 2017. According to the filing, Energy Income Partners, LLC had shared voting power and shared dispositive power over 77,327 common units, and each of James J. Murchie, Eva Pao, Linda A. Longville, Saul Ballesteros and John K. Tysseland had shared voting power and shared dispositive power over 777,327 common units.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Number of units</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 rights</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21,320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1,248,680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84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21,320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1,248,680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right="140" w:hanging="412"/>
        <w:spacing w:after="0" w:line="277"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16"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For more information about the plan, please see Note 13 to our consolidated and combined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Westlake owns (1) 1,436,115 common units and 12,686,115 subordinated units, representing an aggregate approximate 52.2% limited partner interest in us; (2) a 100% interest in our general partner; and (3)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our partnership agreement, of any agreement contemplated thereby or of any duty, if the resolution, course of action or transaction in respect of such conflict of interest is:</w:t>
      </w:r>
    </w:p>
    <w:p>
      <w:pPr>
        <w:spacing w:after="0" w:line="5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approved by the holders of a majority of our outstanding common units, excluding any such units owned by our general partner or any of its affiliates.</w:t>
      </w:r>
    </w:p>
    <w:p>
      <w:pPr>
        <w:spacing w:after="0" w:line="11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our partnership agreement, the board of directors or its conflicts committee, as applicable, may consider any factors it determines in good faith to consider when resolving a conflict. An independent third party is not required to evaluate the resolution. Under our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7"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Assuming we have sufficient available cash to pay the full minimum quarterly distribution on all of our outstanding units for four quarters, Westlake would receive an annual distribution of approximately $15.5 million on its common and subordinated units. During 2016, we made a $1.286 per unit distribution to all of our unitholders and a distribution of $139,000 to the IDR Holders, resulting in Westlake receiving approximately $18.1 million.</w:t>
      </w:r>
    </w:p>
    <w:p>
      <w:pPr>
        <w:spacing w:after="0" w:line="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w:t>
      </w:r>
    </w:p>
    <w:p>
      <w:pPr>
        <w:sectPr>
          <w:pgSz w:w="11900" w:h="16838" w:orient="portrait"/>
          <w:cols w:equalWidth="0" w:num="1">
            <w:col w:w="11420"/>
          </w:cols>
          <w:pgMar w:left="240" w:top="122" w:right="239" w:bottom="933"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2" w:right="239" w:bottom="933"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to the extent specified in the omnibus agreement or services agreement, our general partner will determine the expenses that are allocable to us in good faith, but there is no limit on the amount of expenses for which our general partner and its affiliates will be reimbursed. For the year ended December 31, 2016, we paid approximately $160.4 million for such expenses.</w:t>
      </w:r>
    </w:p>
    <w:p>
      <w:pPr>
        <w:spacing w:after="0" w:line="12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94"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The operating agreements described below became effective on August 4, 2014, concurrent with the closing of the IPO. For amounts paid by us or Westlake, as applicable, under the agreements described below, see Note 2 to our consolidated and combined financial statements included in "Item 8. Financial Statements and Supplementary Data."</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183"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also entered into the MLP Revolver in 2015. OpCo entered into the OpCo Revolver and assumed various promissory notes at the closing of the IPO. See "Item 7. Management's Discussion &amp; Analysis of Financial Condition and Results of Operations—Liquidity and Capital Resources—Indebtedness.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13"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Feedstock Supply Agreement provides that OpCo may obtain feedstock from Westlake based on Westlake's total cost of purchasing and delivering the feedstock, including applicable transportation, storage and other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2" w:right="25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OpCo and Westlake entered into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entered into the Omnibus Agreement with Westlake and OpCo,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0"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OpCo and Westlake entered into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7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following table presents fees for professional services rendered by PricewaterhouseCoopers LLP in connection with the 2016 and 2015 audits and fees billed by PricewaterhouseCoopers LLP for other services rendered in the years ended December 31, 2016 and December 31,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703,000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756,190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220,082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176,647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923,082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932,837</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80" w:hanging="412"/>
        <w:spacing w:after="0" w:line="264"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aggregate fees for professional services rendered for the audit of the Partnership's financial statements for the years ended December 31, 2016 and 2015, respectively. Also includes the review of the consolidated financial statements included in the Partnership's quarterly reports on Form 10-Q.</w:t>
      </w:r>
    </w:p>
    <w:p>
      <w:pPr>
        <w:spacing w:after="0" w:line="19" w:lineRule="exact"/>
        <w:rPr>
          <w:rFonts w:ascii="Arial" w:cs="Arial" w:eastAsia="Arial" w:hAnsi="Arial"/>
          <w:sz w:val="18"/>
          <w:szCs w:val="18"/>
          <w:color w:val="auto"/>
        </w:rPr>
      </w:pPr>
    </w:p>
    <w:p>
      <w:pPr>
        <w:ind w:left="420" w:right="220" w:hanging="412"/>
        <w:spacing w:after="0" w:line="277"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2015 K-1 statements in 2016, and the preparation of the Partnership’s 2014 K-1 statements in 2015, and compliance services in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charter of the Audit Committee of the Board of Directors of our general partner,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Our Audit Committee pre-approved all services provided by PricewaterhouseCoopers during the fiscal year ended December 31, 2016.</w:t>
      </w: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121" w:right="35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240" w:top="121" w:right="5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Equity Purchase Agreement by and among Westlake Chemical Partners LP, Westlake Chemical OpCo LP and WPT LLC, dated as of</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April 29, 2015 (incorporated by reference to Exhibit 2.1 to Westlake Chemical Partners LP's Current Report on Form 8-K, filed on April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30, 2015, File No 001-36567).</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Certificate of Limited Partnership of Westlake Chemical Partners LP (incorporated by reference to Exhibit 3.1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Partners LP's Registration Statement on Form S-1 (File No. 333-195551), filed on April 29,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First Amended and Restated Agreement of Limited Partnership of Westlake Chemical Partners LP (incorporated by reference to Exhibit</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3.1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Indenture dated as of January 1, 2006 by and among Westlake Chemical Corporation, the potential subsidiary guarantors listed therein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and JPMorgan Chase Bank, National Association, as trustee (incorporated by reference to Exhibit 4.1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as of November 1, 2007,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defined therein) and The Bank of New York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December 18, 2007,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Third Supplemental Indenture, dated as of July 2, 2010,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Fourth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4.2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Fifth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4.3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Company, N.A. related to the 6 ¾% senior notes (incorporated by reference to Exhibit 4.7 to Westlake Chemical Corporation's Annual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Sixth Supplemental Indenture, dated as of July 17, 2012,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16, 2012,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Seventh Supplemental Indenture, dated as of February 12, 2013,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4.16 to</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Westlake Chemical Corporation's Annual Report on Form 10-K for the year ended December 31, 2012, filed on February 22, 2013, File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Supplemental Indenture, dated as of May 1, 2013, among North American Specialty Products LLC, a Delaware limited liability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company, Westlake Chemical Corporation, the other Subsidiary Guarantors (as defined therein) and The Bank of New York Mellon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Trust Company, N.A., as trustee (incorporated by reference to Exhibit 4.2 to Westlake Chemical Corporation's Quarterly Report on Form</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8-K,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Supplemental Indenture, dated as of June 1, 2013, among Westlake Pipeline Investments LLC, a Delaware limited liability company,</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Westlake Chemical Corporation, the other Subsidiary Guarantors (as defined therein) and The Bank of New York Mellon Trust</w:t>
            </w:r>
          </w:p>
        </w:tc>
      </w:tr>
    </w:tbl>
    <w:p>
      <w:pPr>
        <w:ind w:left="1520" w:right="40"/>
        <w:spacing w:after="0" w:line="261" w:lineRule="auto"/>
        <w:rPr>
          <w:sz w:val="20"/>
          <w:szCs w:val="20"/>
          <w:color w:val="auto"/>
        </w:rPr>
      </w:pPr>
      <w:r>
        <w:rPr>
          <w:rFonts w:ascii="Arial" w:cs="Arial" w:eastAsia="Arial" w:hAnsi="Arial"/>
          <w:sz w:val="18"/>
          <w:szCs w:val="18"/>
          <w:color w:val="auto"/>
        </w:rPr>
        <w:t>Company, N.A., as trustee (incorporated by reference to Exhibit 4.3 to Westlake Chemical Corporation's Quarterly Report on Form 8-K, filed on July 31, 2013, File No. 1-32260).</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2" w:right="27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1, 2013, among Westlake NG IV Corporation, a Delaware corporation, and Westlake NG V</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Corporation, a Delaware corporation, Westlake Chemical Corporation, the other Subsidiary Guarantors (as defined therein) and The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 (incorporated by reference to Exhibit 4.4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Corporation's Quarterly Report on Form 8-K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Supplemental Indenture dated as of July 17, 2014 among Westlake Chemical OpCo LP, Westlake Chemical Corporation, the other</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Subsidiary Guarantors (as defined therein) and The Bank of New York Mellon Trust Company, N.A., as trustee (incorporated by</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reference to Westlake Chemical Corporation's Quarterly Report on Form 10-Q, filed on August 6, 2014,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Eighth Supplemental Indenture (including the form of the Notes), dated as of August 10, 2016, among Westlake Chemical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the Guarantors (as defined therein) and The Bank of New York Mellon Trust Company, N.A., as trustee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Exhibit 4.2 to Westlake Chemical Corporation's Current Report on Form 8-K, filed on August 10, 2016, File No. 001-32260).</w:t>
            </w:r>
          </w:p>
        </w:tc>
      </w:tr>
      <w:tr>
        <w:trPr>
          <w:trHeight w:val="526"/>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Ninth Supplemental Indenture (including the form of the Notes), dated as of September 7, 2016, among Westlake Chemical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the Guarantors (as defined therein) and The Bank of New York Mellon Trust Company, N.A., as trustee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Exhibit 4.2 to Westlake Chemical Corporation's Current Report on Form 8-K, filed on September 7, 2016, File No. 001-32260).</w:t>
            </w:r>
          </w:p>
        </w:tc>
      </w:tr>
      <w:tr>
        <w:trPr>
          <w:trHeight w:val="526"/>
        </w:trPr>
        <w:tc>
          <w:tcPr>
            <w:tcW w:w="1260" w:type="dxa"/>
            <w:vAlign w:val="bottom"/>
          </w:tcPr>
          <w:p>
            <w:pPr>
              <w:spacing w:after="0"/>
              <w:rPr>
                <w:sz w:val="20"/>
                <w:szCs w:val="20"/>
                <w:color w:val="auto"/>
              </w:rPr>
            </w:pPr>
            <w:r>
              <w:rPr>
                <w:rFonts w:ascii="Arial" w:cs="Arial" w:eastAsia="Arial" w:hAnsi="Arial"/>
                <w:sz w:val="18"/>
                <w:szCs w:val="18"/>
                <w:color w:val="auto"/>
              </w:rPr>
              <w:t>4.15</w:t>
            </w: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Indenture dated as of September 8, 2016, among Westlake and The Bank of New York Mellon Trust Company, N.A., as trustee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4.4 to Westlake Chemical Corporation's Current Report on Form S-3, filed on September 8, 2016,</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File No. 333-213548).</w:t>
            </w:r>
          </w:p>
        </w:tc>
      </w:tr>
      <w:tr>
        <w:trPr>
          <w:trHeight w:val="526"/>
        </w:trPr>
        <w:tc>
          <w:tcPr>
            <w:tcW w:w="1260" w:type="dxa"/>
            <w:vAlign w:val="bottom"/>
          </w:tcPr>
          <w:p>
            <w:pPr>
              <w:spacing w:after="0"/>
              <w:rPr>
                <w:sz w:val="20"/>
                <w:szCs w:val="20"/>
                <w:color w:val="auto"/>
              </w:rPr>
            </w:pPr>
            <w:r>
              <w:rPr>
                <w:rFonts w:ascii="Arial" w:cs="Arial" w:eastAsia="Arial" w:hAnsi="Arial"/>
                <w:sz w:val="18"/>
                <w:szCs w:val="18"/>
                <w:color w:val="auto"/>
              </w:rPr>
              <w:t>4.16</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Supplemental Indenture, dated as of October 25, 2016, among the Company, the Guaranteeing Subsidiaries (as defined therein) and the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other Subsidiary Guarantors (as defined therein) and the Bank of New York Mellon Trust Company, as trustee (incorporated by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reference to Exhibit 4.18 to Westlake Chemical Corporation's Annual Report on Form 10-K for the year ended December 31, 2016,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February 22, 2017,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Omnibus Agreement among Westlake Management Services, Inc., Westlake Vinyls Corporation, Westlake Chemical Partners GP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Partners LP, WPT LLC, Westlake Petrochemicals LLC, Westlake Vinyls, Inc., Westlake Longview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OpCo GP LLC, Westlake Chemical OpCo LP, Westlake PVC Corporation, Westlake Styrene LLC and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Polymers LLC (incorporated by reference to Exhibit 10.1 to Westlake Chemical Partners LP's Current Report on Form 8-K (File No.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Services and Secondment Agreement by and among Westlake Chemical OpCo LP, Westlake Management Services, Inc.,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Vinyls, Inc., WPT LLC and Westlake Petrochemicals LLC (incorporated by reference to Exhibit 10.2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Feedstock Supply Agreement between Westlake Petrochemicals LLC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10.3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Ethylene Sales Agreement between Westlake Chemical OpCo LP, WPT LLC, Westlake Vinyls, Inc. and Westlake Petrochemicals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10.4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Site Lease Agreement (Calvert City) between Westlake Vinyls, Inc.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10.5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Site Lease Agreement (Lake Charles) between Westlake Petrochemical LLC and Westlake Chemical OpCo LP (incorporated by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reference to Exhibit 10.6 to Westlake Chemical Partners LP's Current Report on Form 8-K (File No. 001-36567) filed on August 8,</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Amended and Restated Limited Partnership Agreement of Westlake Chemical OpCo LP (incorporated by reference to Exhibit 10.7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Partners LP's Current Report on Form 8-K (File No. 001-36567) filed on August 8, 2014).</w:t>
            </w:r>
          </w:p>
        </w:tc>
      </w:tr>
      <w:tr>
        <w:trPr>
          <w:trHeight w:val="608"/>
        </w:trPr>
        <w:tc>
          <w:tcPr>
            <w:tcW w:w="126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380"/>
          </w:cols>
          <w:pgMar w:left="240" w:top="121" w:right="27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Westlake Chemical Partners LP Long-Term Incentive Plan (incorporated by reference to Exhibit 10.8 to Westlake Chemical Partners</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Form of Phantom Unit Agreement under the Westlake Chemical Partners LP Long-Term Incentive Plan (incorporated by reference to</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Exhibit 10.14 to Amendment 4 to Westlake Chemical Partner LP's Registration Statement on Form S-1 (File No. 333-195551) filed on</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July 15,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940" w:type="dxa"/>
            <w:vAlign w:val="bottom"/>
          </w:tcPr>
          <w:p>
            <w:pPr>
              <w:ind w:left="220"/>
              <w:spacing w:after="0"/>
              <w:rPr>
                <w:sz w:val="20"/>
                <w:szCs w:val="20"/>
                <w:color w:val="auto"/>
              </w:rPr>
            </w:pPr>
            <w:r>
              <w:rPr>
                <w:rFonts w:ascii="Arial" w:cs="Arial" w:eastAsia="Arial" w:hAnsi="Arial"/>
                <w:sz w:val="18"/>
                <w:szCs w:val="18"/>
                <w:color w:val="auto"/>
                <w:w w:val="95"/>
              </w:rPr>
              <w:t>Form of Global Amendment to Phantom Unit Agreements under the Westlake Chemical Partners LP Long-Term Incentive Plan.</w:t>
            </w:r>
          </w:p>
        </w:tc>
      </w:tr>
      <w:tr>
        <w:trPr>
          <w:trHeight w:val="540"/>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40" w:type="dxa"/>
            <w:vAlign w:val="bottom"/>
          </w:tcPr>
          <w:p>
            <w:pPr>
              <w:ind w:left="220"/>
              <w:spacing w:after="0"/>
              <w:rPr>
                <w:sz w:val="20"/>
                <w:szCs w:val="20"/>
                <w:color w:val="auto"/>
              </w:rPr>
            </w:pPr>
            <w:r>
              <w:rPr>
                <w:rFonts w:ascii="Arial" w:cs="Arial" w:eastAsia="Arial" w:hAnsi="Arial"/>
                <w:sz w:val="18"/>
                <w:szCs w:val="18"/>
                <w:color w:val="auto"/>
              </w:rPr>
              <w:t>Form of Phantom Unit Agreement.</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40" w:type="dxa"/>
            <w:vAlign w:val="bottom"/>
          </w:tcPr>
          <w:p>
            <w:pPr>
              <w:ind w:left="220"/>
              <w:spacing w:after="0"/>
              <w:rPr>
                <w:sz w:val="20"/>
                <w:szCs w:val="20"/>
                <w:color w:val="auto"/>
              </w:rPr>
            </w:pPr>
            <w:r>
              <w:rPr>
                <w:rFonts w:ascii="Arial" w:cs="Arial" w:eastAsia="Arial" w:hAnsi="Arial"/>
                <w:sz w:val="18"/>
                <w:szCs w:val="18"/>
                <w:color w:val="auto"/>
                <w:w w:val="99"/>
              </w:rPr>
              <w:t>Intercompany Revolving Credit Agreement between Westlake Chemical OpCo LP and Westlake Development Corporation</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10.9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Unsecured Promissory Note between WPT LLC and Westlake Development Corporation (incorporated by reference to Exhibit 10.8 to</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Westlake Chemical Partners LP's Registration Statement on Form S-1 (File No. 333-195551), filed on June 30,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4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94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Petrochemicals LLC and Westlake Development Corporation.</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Senior Unsecured Revolving Credit Agreement by and among Westlake Chemical Partners GP LLC and Westlake Chemical Finance</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Corporation, dated as of April 29, 2015 (incorporated by reference to Exhibit 10.1 to Westlake Chemical Partners LP's Current Report</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on Form 8-K, filed on April 30, 2015, File No. 001-36567).</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Credit Agreement, dated as of August 10, 2016, by and between Bank of America, N.A. and Westlake International Holdings II C.V.</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10.3 to Westlake Chemical Corporation's Quarterly Report on Form 10-Q for the quarter ended</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September 30, 2016, and filed on November 9, 2016, File No. 001-32260).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Credit Agreement, dated as of August 23, 2016, by and among Westlake Chemical Corporation, the other borrowers and guarantors</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referred to therein, the lenders from time to time party thereto, the issuing banks party thereto and JPMorgan Chase Bank, National</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4"/>
              </w:rPr>
              <w:t>Association, as Administrative Agent, relating to a $1 billion senior unsecured revolving credit facility (incorporated by reference to</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Exhibit 10.1 to Westlake Chemical Corporation's Current Report on Form 8-K, filed on August 24, 2016,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First Amendment to Ethylene Sales Agreement (incorporated herein by reference to Exhibit 10.1 to Westlake Chemical Partners LP's</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Quarterly Report on Form 10-Q for the quarter ended June 30, 2016, filed on August 9, 2016, File No. 1-32260)</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9940" w:type="dxa"/>
            <w:vAlign w:val="bottom"/>
          </w:tcPr>
          <w:p>
            <w:pPr>
              <w:ind w:left="220"/>
              <w:spacing w:after="0"/>
              <w:rPr>
                <w:sz w:val="20"/>
                <w:szCs w:val="20"/>
                <w:color w:val="auto"/>
              </w:rPr>
            </w:pPr>
            <w:r>
              <w:rPr>
                <w:rFonts w:ascii="Arial" w:cs="Arial" w:eastAsia="Arial" w:hAnsi="Arial"/>
                <w:sz w:val="18"/>
                <w:szCs w:val="18"/>
                <w:color w:val="auto"/>
              </w:rPr>
              <w:t>Exchange Agreement, effective as of August 1, 2014, by and between WPT LLC and Westlake Chemical OpCo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40" w:type="dxa"/>
            <w:vAlign w:val="bottom"/>
          </w:tcPr>
          <w:p>
            <w:pPr>
              <w:ind w:left="220"/>
              <w:spacing w:after="0"/>
              <w:rPr>
                <w:sz w:val="20"/>
                <w:szCs w:val="20"/>
                <w:color w:val="auto"/>
              </w:rPr>
            </w:pPr>
            <w:r>
              <w:rPr>
                <w:rFonts w:ascii="Arial" w:cs="Arial" w:eastAsia="Arial" w:hAnsi="Arial"/>
                <w:sz w:val="18"/>
                <w:szCs w:val="18"/>
                <w:color w:val="auto"/>
              </w:rPr>
              <w:t>List of Subsidiaries of Westlake Chemical Partners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2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240"/>
          </w:cols>
          <w:pgMar w:left="240" w:top="121" w:right="419" w:bottom="1440" w:gutter="0" w:footer="0" w:header="0"/>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240" w:top="121" w:right="41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6"/>
          <w:szCs w:val="16"/>
          <w:color w:val="auto"/>
        </w:rPr>
      </w:pPr>
    </w:p>
    <w:p>
      <w:pPr>
        <w:ind w:left="420" w:right="40" w:hanging="412"/>
        <w:spacing w:after="0" w:line="277"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10.13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2" w:right="25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PARTNERS LP</w:t>
      </w:r>
    </w:p>
    <w:p>
      <w:pPr>
        <w:spacing w:after="0" w:line="36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300"/>
          </w:cols>
          <w:pgMar w:left="240" w:top="121" w:right="359" w:bottom="1440" w:gutter="0" w:footer="0" w:header="0"/>
        </w:sectPr>
      </w:pPr>
    </w:p>
    <w:p>
      <w:pPr>
        <w:spacing w:after="0" w:line="35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 Steven Bender</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J. M</w:t>
      </w:r>
      <w:r>
        <w:rPr>
          <w:rFonts w:ascii="Arial" w:cs="Arial" w:eastAsia="Arial" w:hAnsi="Arial"/>
          <w:sz w:val="13"/>
          <w:szCs w:val="13"/>
          <w:color w:val="auto"/>
        </w:rPr>
        <w:t>ANGIERI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George J. Mangieri</w:t>
      </w:r>
    </w:p>
    <w:p>
      <w:pPr>
        <w:spacing w:after="0" w:line="199"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L. B</w:t>
      </w:r>
      <w:r>
        <w:rPr>
          <w:rFonts w:ascii="Arial" w:cs="Arial" w:eastAsia="Arial" w:hAnsi="Arial"/>
          <w:sz w:val="13"/>
          <w:szCs w:val="13"/>
          <w:color w:val="auto"/>
        </w:rPr>
        <w:t>ENJAMIN</w:t>
      </w:r>
      <w:r>
        <w:rPr>
          <w:rFonts w:ascii="Arial" w:cs="Arial" w:eastAsia="Arial" w:hAnsi="Arial"/>
          <w:sz w:val="17"/>
          <w:szCs w:val="17"/>
          <w:color w:val="auto"/>
        </w:rPr>
        <w:t xml:space="preserve"> E</w:t>
      </w:r>
      <w:r>
        <w:rPr>
          <w:rFonts w:ascii="Arial" w:cs="Arial" w:eastAsia="Arial" w:hAnsi="Arial"/>
          <w:sz w:val="13"/>
          <w:szCs w:val="13"/>
          <w:color w:val="auto"/>
        </w:rPr>
        <w:t>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L. Benjamin Ederington</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James Chao</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Max L. Lukens</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L</w:t>
      </w:r>
      <w:r>
        <w:rPr>
          <w:rFonts w:ascii="Arial" w:cs="Arial" w:eastAsia="Arial" w:hAnsi="Arial"/>
          <w:sz w:val="14"/>
          <w:szCs w:val="14"/>
          <w:color w:val="auto"/>
        </w:rPr>
        <w:t>UMPKINS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David Lumpkins</w:t>
      </w:r>
    </w:p>
    <w:p>
      <w:pPr>
        <w:spacing w:after="0" w:line="199"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NGELA</w:t>
      </w:r>
      <w:r>
        <w:rPr>
          <w:rFonts w:ascii="Arial" w:cs="Arial" w:eastAsia="Arial" w:hAnsi="Arial"/>
          <w:sz w:val="18"/>
          <w:szCs w:val="18"/>
          <w:color w:val="auto"/>
        </w:rPr>
        <w:t xml:space="preserve"> M</w:t>
      </w:r>
      <w:r>
        <w:rPr>
          <w:rFonts w:ascii="Arial" w:cs="Arial" w:eastAsia="Arial" w:hAnsi="Arial"/>
          <w:sz w:val="14"/>
          <w:szCs w:val="14"/>
          <w:color w:val="auto"/>
        </w:rPr>
        <w:t>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Angela Minas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ind w:left="140" w:right="980" w:hanging="134"/>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184" w:lineRule="exact"/>
        <w:rPr>
          <w:sz w:val="20"/>
          <w:szCs w:val="20"/>
          <w:color w:val="auto"/>
        </w:rPr>
      </w:pPr>
    </w:p>
    <w:p>
      <w:pPr>
        <w:ind w:left="140" w:right="1060" w:hanging="134"/>
        <w:spacing w:after="0" w:line="342" w:lineRule="auto"/>
        <w:rPr>
          <w:sz w:val="20"/>
          <w:szCs w:val="20"/>
          <w:color w:val="auto"/>
        </w:rPr>
      </w:pPr>
      <w:r>
        <w:rPr>
          <w:rFonts w:ascii="Arial" w:cs="Arial" w:eastAsia="Arial" w:hAnsi="Arial"/>
          <w:sz w:val="16"/>
          <w:szCs w:val="16"/>
          <w:color w:val="auto"/>
        </w:rPr>
        <w:t>Senior Vice President, Chief Financial Officer, Director (Principal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General Counsel, Secretary</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Director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2017</w:t>
      </w:r>
    </w:p>
    <w:p>
      <w:pPr>
        <w:spacing w:after="0" w:line="344" w:lineRule="exact"/>
        <w:rPr>
          <w:sz w:val="20"/>
          <w:szCs w:val="20"/>
          <w:color w:val="auto"/>
        </w:rPr>
      </w:pPr>
    </w:p>
    <w:p>
      <w:pPr>
        <w:sectPr>
          <w:pgSz w:w="11900" w:h="16838" w:orient="portrait"/>
          <w:cols w:equalWidth="0" w:num="3">
            <w:col w:w="4000" w:space="720"/>
            <w:col w:w="4420" w:space="720"/>
            <w:col w:w="1440"/>
          </w:cols>
          <w:pgMar w:left="240" w:top="121" w:right="359" w:bottom="1440" w:gutter="0" w:footer="0" w:header="0"/>
          <w:type w:val="continuous"/>
        </w:sectPr>
      </w:pP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00"/>
          </w:cols>
          <w:pgMar w:left="240" w:top="121" w:right="35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08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534"/>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Equity Purchase Agreement by and among Westlake Chemical Partners LP, Westlake Chemical OpCo LP and WPT LLC, dated as of</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April 29, 2015 (incorporated by reference to Exhibit 2.1 to Westlake Chemical Partners LP's Current Report on Form 8-K, filed on April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30, 2015, File No 001-36567).</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Certificate of Limited Partnership of Westlake Chemical Partners LP (incorporated by reference to Exhibit 3.1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Partners LP's Registration Statement on Form S-1 (File No. 333-195551), filed on April 29,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First Amended and Restated Agreement of Limited Partnership of Westlake Chemical Partners LP (incorporated by reference to Exhibit</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3.1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Indenture dated as of January 1, 2006 by and among Westlake Chemical Corporation, the potential subsidiary guarantors listed therein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and JPMorgan Chase Bank, National Association, as trustee (incorporated by reference to Exhibit 4.1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as of November 1, 2007,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defined therein) and The Bank of New York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December 18, 2007,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Third Supplemental Indenture, dated as of July 2, 2010,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Fourth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4.2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Fifth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defined therein) and The Bank of New York Mellon Trust Company, N.A., as trustee (incorporated by reference to Exhibit 4.3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Company, N.A. related to the 6 ¾% senior notes (incorporated by reference to Exhibit 4.7 to Westlake Chemical Corporation's Annual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Sixth Supplemental Indenture, dated as of July 17, 2012,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16, 2012,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Seventh Supplemental Indenture, dated as of February 12, 2013, among Westlake Chemical Corporation, the Subsidiary Guarantors (as</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4.16 to</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Westlake Chemical Corporation's Annual Report on Form 10-K for the year ended December 31, 2012, filed on February 22, 2013, File</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Supplemental Indenture, dated as of May 1, 2013, among North American Specialty Products LLC, a Delaware limited liability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company, Westlake Chemical Corporation, the other Subsidiary Guarantors (as defined therein) and The Bank of New York Mellon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Trust Company, N.A., as trustee (incorporated by reference to Exhibit 4.2 to Westlake Chemical Corporation's Quarterly Report on Form</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8-K,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Supplemental Indenture, dated as of June 1, 2013, among Westlake Pipeline Investments LLC, a Delaware limited liability company,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Westlake Chemical Corporation, the other Subsidiary Guarantors (as defined therein) and The Bank of New York Mellon Trust</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Company, N.A., as trustee (incorporated by reference to Exhibit 4.3 to Westlake Chemical Corporation's Quarterly Report on Form 8-K,</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filed on July 31, 2013, File No. 1-32260).</w:t>
            </w:r>
          </w:p>
        </w:tc>
      </w:tr>
      <w:tr>
        <w:trPr>
          <w:trHeight w:val="486"/>
        </w:trPr>
        <w:tc>
          <w:tcPr>
            <w:tcW w:w="126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380"/>
          </w:cols>
          <w:pgMar w:left="240" w:top="121" w:right="27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1, 2013, among Westlake NG IV Corporation, a Delaware corporation, and Westlake NG V</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Corporation, a Delaware corporation, Westlake Chemical Corporation, the other Subsidiary Guarantors (as defined therein) and The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 (incorporated by reference to Exhibit 4.4 to Westlake Chemical</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Corporation's Quarterly Report on Form 8-K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Supplemental Indenture dated as of July 17, 2014 among Westlake Chemical OpCo LP, Westlake Chemical Corporation, the other</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Subsidiary Guarantors (as defined therein) and The Bank of New York Mellon Trust Company, N.A., as trustee (incorporated by</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reference to Westlake Chemical Corporation's Quarterly Report on Form 10-Q, filed on August 6, 2014, File No. 001-32260).</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Eighth Supplemental Indenture (including the form of the Notes), dated as of August 10, 2016, among Westlake Chemical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the Guarantors (as defined therein) and The Bank of New York Mellon Trust Company, N.A., as trustee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Exhibit 4.2 to Westlake Chemical Corporation's Current Report on Form 8-K, filed on August 10, 2016,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Ninth Supplemental Indenture (including the form of the Notes), dated as of September 7, 2016, among Westlake Chemical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the Guarantors (as defined therein) and The Bank of New York Mellon Trust Company, N.A., as trustee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8"/>
              </w:rPr>
              <w:t>Exhibit 4.2 to Westlake Chemical Corporation's Current Report on Form 8-K, filed on September 7, 2016,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4.15</w:t>
            </w: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Indenture dated as of September 8, 2016, among Westlake and The Bank of New York Mellon Trust Company, N.A., as trustee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4.4 to Westlake Chemical Corporation's Current Report on Form S-3, filed on September 8, 2016,</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File No. 333-213548).</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4.16</w:t>
            </w:r>
          </w:p>
        </w:tc>
        <w:tc>
          <w:tcPr>
            <w:tcW w:w="10080" w:type="dxa"/>
            <w:vAlign w:val="bottom"/>
          </w:tcPr>
          <w:p>
            <w:pPr>
              <w:ind w:left="220"/>
              <w:spacing w:after="0"/>
              <w:rPr>
                <w:sz w:val="20"/>
                <w:szCs w:val="20"/>
                <w:color w:val="auto"/>
              </w:rPr>
            </w:pPr>
            <w:r>
              <w:rPr>
                <w:rFonts w:ascii="Arial" w:cs="Arial" w:eastAsia="Arial" w:hAnsi="Arial"/>
                <w:sz w:val="18"/>
                <w:szCs w:val="18"/>
                <w:color w:val="auto"/>
                <w:w w:val="90"/>
              </w:rPr>
              <w:t>Supplemental Indenture, dated as of October 25, 2016, among the Company, the Guaranteeing Subsidiaries (as defined therein) and the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7"/>
              </w:rPr>
              <w:t>other Subsidiary Guarantors (as defined therein) and the Bank of New York Mellon Trust Company, as trustee (incorporated by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reference to Exhibit 4.18 to Westlake Chemical Corporation's Annual Report on Form 10-K for the year ended December 31, 2016,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February 22, 2017,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tcPr>
          <w:p>
            <w:pPr>
              <w:ind w:left="220"/>
              <w:spacing w:after="0"/>
              <w:rPr>
                <w:sz w:val="20"/>
                <w:szCs w:val="20"/>
                <w:color w:val="auto"/>
              </w:rPr>
            </w:pPr>
            <w:r>
              <w:rPr>
                <w:rFonts w:ascii="Arial" w:cs="Arial" w:eastAsia="Arial" w:hAnsi="Arial"/>
                <w:sz w:val="18"/>
                <w:szCs w:val="18"/>
                <w:color w:val="auto"/>
                <w:w w:val="91"/>
              </w:rPr>
              <w:t>Omnibus Agreement among Westlake Management Services, Inc., Westlake Vinyls Corporation, Westlake Chemical Partners GP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Partners LP, WPT LLC, Westlake Petrochemicals LLC, Westlake Vinyls, Inc., Westlake Longview Corporation,</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Westlake Chemical OpCo GP LLC, Westlake Chemical OpCo LP, Westlake PVC Corporation, Westlake Styrene LLC and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Polymers LLC (incorporated by reference to Exhibit 10.1 to Westlake Chemical Partners LP's Current Report on Form 8-K (File No.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Services and Secondment Agreement by and among Westlake Chemical OpCo LP, Westlake Management Services, Inc., Westlake</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Vinyls, Inc., WPT LLC and Westlake Petrochemicals LLC (incorporated by reference to Exhibit 10.2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Feedstock Supply Agreement between Westlake Petrochemicals LLC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10.3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Ethylene Sales Agreement between Westlake Chemical OpCo LP, WPT LLC, Westlake Vinyls, Inc. and Westlake Petrochemicals LLC</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10.4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Pr>
          <w:p>
            <w:pPr>
              <w:ind w:left="220"/>
              <w:spacing w:after="0"/>
              <w:rPr>
                <w:sz w:val="20"/>
                <w:szCs w:val="20"/>
                <w:color w:val="auto"/>
              </w:rPr>
            </w:pPr>
            <w:r>
              <w:rPr>
                <w:rFonts w:ascii="Arial" w:cs="Arial" w:eastAsia="Arial" w:hAnsi="Arial"/>
                <w:sz w:val="18"/>
                <w:szCs w:val="18"/>
                <w:color w:val="auto"/>
                <w:w w:val="94"/>
              </w:rPr>
              <w:t>Site Lease Agreement (Calvert City) between Westlake Vinyls, Inc. and Westlake Chemical OpCo LP (incorporated by reference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9"/>
              </w:rPr>
              <w:t>Exhibit 10.5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10080" w:type="dxa"/>
            <w:vAlign w:val="bottom"/>
          </w:tcPr>
          <w:p>
            <w:pPr>
              <w:ind w:left="220"/>
              <w:spacing w:after="0"/>
              <w:rPr>
                <w:sz w:val="20"/>
                <w:szCs w:val="20"/>
                <w:color w:val="auto"/>
              </w:rPr>
            </w:pPr>
            <w:r>
              <w:rPr>
                <w:rFonts w:ascii="Arial" w:cs="Arial" w:eastAsia="Arial" w:hAnsi="Arial"/>
                <w:sz w:val="18"/>
                <w:szCs w:val="18"/>
                <w:color w:val="auto"/>
                <w:w w:val="96"/>
              </w:rPr>
              <w:t>Site Lease Agreement (Lake Charles) between Westlake Petrochemical LLC and Westlake Chemical OpCo LP (incorporated by</w:t>
            </w:r>
          </w:p>
        </w:tc>
      </w:tr>
      <w:tr>
        <w:trPr>
          <w:trHeight w:val="216"/>
        </w:trPr>
        <w:tc>
          <w:tcPr>
            <w:tcW w:w="126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w w:val="95"/>
              </w:rPr>
              <w:t>reference to Exhibit 10.6 to Westlake Chemical Partners LP's Current Report on Form 8-K (File No. 001-36567) filed on August 8,</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Amended and Restated Limited Partnership Agreement of Westlake Chemical OpCo LP (incorporated by reference to Exhibit 10.7 to</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tcPr>
          <w:p>
            <w:pPr>
              <w:ind w:left="220"/>
              <w:spacing w:after="0"/>
              <w:rPr>
                <w:sz w:val="20"/>
                <w:szCs w:val="20"/>
                <w:color w:val="auto"/>
              </w:rPr>
            </w:pPr>
            <w:r>
              <w:rPr>
                <w:rFonts w:ascii="Arial" w:cs="Arial" w:eastAsia="Arial" w:hAnsi="Arial"/>
                <w:sz w:val="18"/>
                <w:szCs w:val="18"/>
                <w:color w:val="auto"/>
                <w:w w:val="93"/>
              </w:rPr>
              <w:t>Westlake Chemical Partners LP Long-Term Incentive Plan (incorporated by reference to Exhibit 10.8 to Westlake Chemical Partners</w:t>
            </w:r>
          </w:p>
        </w:tc>
      </w:tr>
      <w:tr>
        <w:trPr>
          <w:trHeight w:val="230"/>
        </w:trPr>
        <w:tc>
          <w:tcPr>
            <w:tcW w:w="1260" w:type="dxa"/>
            <w:vAlign w:val="bottom"/>
          </w:tcPr>
          <w:p>
            <w:pPr>
              <w:spacing w:after="0"/>
              <w:rPr>
                <w:sz w:val="20"/>
                <w:szCs w:val="20"/>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608"/>
        </w:trPr>
        <w:tc>
          <w:tcPr>
            <w:tcW w:w="126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380"/>
          </w:cols>
          <w:pgMar w:left="240" w:top="121" w:right="27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Form of Phantom Unit Agreement under the Westlake Chemical Partners LP Long-Term Incentive Plan (incorporated by reference to</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Exhibit 10.14 to Amendment 4 to Westlake Chemical Partner LP's Registration Statement on Form S-1 (File No. 333-195551) filed on</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July 15,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940" w:type="dxa"/>
            <w:vAlign w:val="bottom"/>
          </w:tcPr>
          <w:p>
            <w:pPr>
              <w:ind w:left="220"/>
              <w:spacing w:after="0"/>
              <w:rPr>
                <w:sz w:val="20"/>
                <w:szCs w:val="20"/>
                <w:color w:val="auto"/>
              </w:rPr>
            </w:pPr>
            <w:r>
              <w:rPr>
                <w:rFonts w:ascii="Arial" w:cs="Arial" w:eastAsia="Arial" w:hAnsi="Arial"/>
                <w:sz w:val="18"/>
                <w:szCs w:val="18"/>
                <w:color w:val="auto"/>
                <w:w w:val="95"/>
              </w:rPr>
              <w:t>Form of Global Amendment to Phantom Unit Agreements under the Westlake Chemical Partners LP Long-Term Incentive Plan.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40" w:type="dxa"/>
            <w:vAlign w:val="bottom"/>
          </w:tcPr>
          <w:p>
            <w:pPr>
              <w:ind w:left="220"/>
              <w:spacing w:after="0"/>
              <w:rPr>
                <w:sz w:val="20"/>
                <w:szCs w:val="20"/>
                <w:color w:val="auto"/>
              </w:rPr>
            </w:pPr>
            <w:r>
              <w:rPr>
                <w:rFonts w:ascii="Arial" w:cs="Arial" w:eastAsia="Arial" w:hAnsi="Arial"/>
                <w:sz w:val="18"/>
                <w:szCs w:val="18"/>
                <w:color w:val="auto"/>
              </w:rPr>
              <w:t>Form of Phantom Unit Agreement.</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40" w:type="dxa"/>
            <w:vAlign w:val="bottom"/>
          </w:tcPr>
          <w:p>
            <w:pPr>
              <w:ind w:left="220"/>
              <w:spacing w:after="0"/>
              <w:rPr>
                <w:sz w:val="20"/>
                <w:szCs w:val="20"/>
                <w:color w:val="auto"/>
              </w:rPr>
            </w:pPr>
            <w:r>
              <w:rPr>
                <w:rFonts w:ascii="Arial" w:cs="Arial" w:eastAsia="Arial" w:hAnsi="Arial"/>
                <w:sz w:val="18"/>
                <w:szCs w:val="18"/>
                <w:color w:val="auto"/>
                <w:w w:val="99"/>
              </w:rPr>
              <w:t>Intercompany Revolving Credit Agreement between Westlake Chemical OpCo LP and Westlake Development Corporation</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10.9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Unsecured Promissory Note between WPT LLC and Westlake Development Corporation (incorporated by reference to Exhibit 10.8 to</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Westlake Chemical Partners LP's Registration Statement on Form S-1 (File No. 333-195551), filed on June 30,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4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94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Petrochemicals LLC and Westlake Development Corporation.</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Senior Unsecured Revolving Credit Agreement by and among Westlake Chemical Partners GP LLC and Westlake Chemical Finance</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Corporation, dated as of April 29, 2015 (incorporated by reference to Exhibit 10.1 to Westlake Chemical Partners LP's Current Report</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on Form 8-K, filed on April 30, 2015, File No. 001-36567).</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Credit Agreement, dated as of August 10, 2016, by and between Bank of America, N.A. and Westlake International Holdings II C.V.</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10.3 to Westlake Chemical Corporation's Quarterly Report on Form 10-Q for the quarter ended</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September 30, 2016, and filed on November 9, 2016,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Credit Agreement, dated as of August 23, 2016, by and among Westlake Chemical Corporation, the other borrowers and guarantors</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referred to therein, the lenders from time to time party thereto, the issuing banks party thereto and JPMorgan Chase Bank, National</w:t>
            </w:r>
          </w:p>
        </w:tc>
      </w:tr>
      <w:tr>
        <w:trPr>
          <w:trHeight w:val="216"/>
        </w:trPr>
        <w:tc>
          <w:tcPr>
            <w:tcW w:w="126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4"/>
              </w:rPr>
              <w:t>Association, as Administrative Agent, relating to a $1 billion senior unsecured revolving credit facility (incorporated by reference to</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97"/>
              </w:rPr>
              <w:t>Exhibit 10.1 to Westlake Chemical Corporation's Current Report on Form 8-K, filed on August 24, 2016,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First Amendment to Ethylene Sales Agreement (incorporated herein by reference to Exhibit 10.1 to Westlake Chemical Partners LP's</w:t>
            </w:r>
          </w:p>
        </w:tc>
      </w:tr>
      <w:tr>
        <w:trPr>
          <w:trHeight w:val="230"/>
        </w:trPr>
        <w:tc>
          <w:tcPr>
            <w:tcW w:w="1260" w:type="dxa"/>
            <w:vAlign w:val="bottom"/>
          </w:tcPr>
          <w:p>
            <w:pPr>
              <w:spacing w:after="0"/>
              <w:rPr>
                <w:sz w:val="20"/>
                <w:szCs w:val="20"/>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Quarterly Report on Form 10-Q for the quarter ended June 30, 2016, filed on August 9, 2016, File No. 1-32260)</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9940" w:type="dxa"/>
            <w:vAlign w:val="bottom"/>
          </w:tcPr>
          <w:p>
            <w:pPr>
              <w:ind w:left="220"/>
              <w:spacing w:after="0"/>
              <w:rPr>
                <w:sz w:val="20"/>
                <w:szCs w:val="20"/>
                <w:color w:val="auto"/>
              </w:rPr>
            </w:pPr>
            <w:r>
              <w:rPr>
                <w:rFonts w:ascii="Arial" w:cs="Arial" w:eastAsia="Arial" w:hAnsi="Arial"/>
                <w:sz w:val="18"/>
                <w:szCs w:val="18"/>
                <w:color w:val="auto"/>
              </w:rPr>
              <w:t>Exchange Agreement, effective as of August 1, 2014, by and between WPT LLC and Westlake Chemical OpCo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40" w:type="dxa"/>
            <w:vAlign w:val="bottom"/>
          </w:tcPr>
          <w:p>
            <w:pPr>
              <w:ind w:left="220"/>
              <w:spacing w:after="0"/>
              <w:rPr>
                <w:sz w:val="20"/>
                <w:szCs w:val="20"/>
                <w:color w:val="auto"/>
              </w:rPr>
            </w:pPr>
            <w:r>
              <w:rPr>
                <w:rFonts w:ascii="Arial" w:cs="Arial" w:eastAsia="Arial" w:hAnsi="Arial"/>
                <w:sz w:val="18"/>
                <w:szCs w:val="18"/>
                <w:color w:val="auto"/>
              </w:rPr>
              <w:t>List of Subsidiaries of Westlake Chemical Partners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2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6"/>
          <w:szCs w:val="16"/>
          <w:color w:val="auto"/>
        </w:rPr>
      </w:pPr>
      <w:r>
        <w:rPr>
          <w:rFonts w:ascii="Arial" w:cs="Arial" w:eastAsia="Arial" w:hAnsi="Arial"/>
          <w:sz w:val="18"/>
          <w:szCs w:val="18"/>
          <w:color w:val="auto"/>
        </w:rPr>
        <w:t>Furnished herewith.</w:t>
      </w:r>
    </w:p>
    <w:p>
      <w:pPr>
        <w:sectPr>
          <w:pgSz w:w="11900" w:h="16838" w:orient="portrait"/>
          <w:cols w:equalWidth="0" w:num="1">
            <w:col w:w="11240"/>
          </w:cols>
          <w:pgMar w:left="240" w:top="121" w:right="419" w:bottom="1440" w:gutter="0" w:footer="0" w:header="0"/>
        </w:sect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40"/>
          </w:cols>
          <w:pgMar w:left="240" w:top="121" w:right="41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420" w:right="40" w:hanging="412"/>
        <w:spacing w:after="0" w:line="27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10.12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2" w:right="25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PHANTOM UNIT AGREEMENTS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WESTLAKE CHEMICAL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This Global Amendment to Phantom Unit Agreements under the Westlake Chemical Partners LP Long-Term Incentive Plan is hereby adopted by Westlake Chemical Partners GP LLC, a Delaware limited liability company (the “</w:t>
      </w:r>
      <w:r>
        <w:rPr>
          <w:rFonts w:ascii="Arial" w:cs="Arial" w:eastAsia="Arial" w:hAnsi="Arial"/>
          <w:sz w:val="22"/>
          <w:szCs w:val="22"/>
          <w:u w:val="single" w:color="auto"/>
          <w:color w:val="auto"/>
        </w:rPr>
        <w:t>General Partner</w:t>
      </w:r>
      <w:r>
        <w:rPr>
          <w:rFonts w:ascii="Arial" w:cs="Arial" w:eastAsia="Arial" w:hAnsi="Arial"/>
          <w:sz w:val="22"/>
          <w:szCs w:val="22"/>
          <w:color w:val="auto"/>
        </w:rPr>
        <w:t>”), as of [●],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Capitalized terms used but not defined herein shall have the meanings assigned to such terms in the Westlake Chemical Partners LP Long-Term Incentive Plan (the “</w:t>
      </w:r>
      <w:r>
        <w:rPr>
          <w:rFonts w:ascii="Arial" w:cs="Arial" w:eastAsia="Arial" w:hAnsi="Arial"/>
          <w:sz w:val="22"/>
          <w:szCs w:val="22"/>
          <w:u w:val="single" w:color="auto"/>
          <w:color w:val="auto"/>
        </w:rPr>
        <w:t>LTIP</w:t>
      </w:r>
      <w:r>
        <w:rPr>
          <w:rFonts w:ascii="Arial" w:cs="Arial" w:eastAsia="Arial" w:hAnsi="Arial"/>
          <w:sz w:val="22"/>
          <w:szCs w:val="22"/>
          <w:color w:val="auto"/>
        </w:rPr>
        <w:t>”).</w:t>
      </w:r>
    </w:p>
    <w:p>
      <w:pPr>
        <w:spacing w:after="0" w:line="14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General Partner has previously granted Phantom Units under the LTIP to Directors pursuant to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of Phantom Unit Agreements (collectively, the “</w:t>
      </w:r>
      <w:r>
        <w:rPr>
          <w:rFonts w:ascii="Arial" w:cs="Arial" w:eastAsia="Arial" w:hAnsi="Arial"/>
          <w:sz w:val="22"/>
          <w:szCs w:val="22"/>
          <w:u w:val="single" w:color="auto"/>
          <w:color w:val="auto"/>
        </w:rPr>
        <w:t>Outstanding Phantom Unit Agreements</w:t>
      </w:r>
      <w:r>
        <w:rPr>
          <w:rFonts w:ascii="Arial" w:cs="Arial" w:eastAsia="Arial" w:hAnsi="Arial"/>
          <w:sz w:val="22"/>
          <w:szCs w:val="22"/>
          <w:color w:val="auto"/>
        </w:rPr>
        <w:t>”) between the General Partner and such Directors (the “</w:t>
      </w:r>
      <w:r>
        <w:rPr>
          <w:rFonts w:ascii="Arial" w:cs="Arial" w:eastAsia="Arial" w:hAnsi="Arial"/>
          <w:sz w:val="22"/>
          <w:szCs w:val="22"/>
          <w:u w:val="single" w:color="auto"/>
          <w:color w:val="auto"/>
        </w:rPr>
        <w:t>Director Grantees</w:t>
      </w:r>
      <w:r>
        <w:rPr>
          <w:rFonts w:ascii="Arial" w:cs="Arial" w:eastAsia="Arial" w:hAnsi="Arial"/>
          <w:sz w:val="22"/>
          <w:szCs w:val="22"/>
          <w:color w:val="auto"/>
        </w:rPr>
        <w:t>”);</w:t>
      </w:r>
    </w:p>
    <w:p>
      <w:pPr>
        <w:spacing w:after="0" w:line="137"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LTIP and the Outstanding Phantom Unit Agreements, the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Phantom Unit Agreements may be amended without the consent of any Director Grantee, provided that such amendment does not materially reduce the benefits to any Director Grantee who holds an Award subject to such amendment; and</w:t>
      </w:r>
    </w:p>
    <w:p>
      <w:pPr>
        <w:spacing w:after="0" w:line="8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General Partner desires to amend each Outstanding Phantom Unit Agreement to provide for the ability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Director Grantees to elect to receive settlement of the Phantom Units granted thereunder in cash or Units.</w:t>
      </w:r>
    </w:p>
    <w:p>
      <w:pPr>
        <w:spacing w:after="0" w:line="9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effective as of the Effective Date, the Outstanding Phantom Unit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are hereby amended as follows: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Section 4 is hereby deleted in its entirety and replaced with the following:</w:t>
      </w:r>
    </w:p>
    <w:p>
      <w:pPr>
        <w:spacing w:after="0" w:line="254" w:lineRule="exact"/>
        <w:rPr>
          <w:sz w:val="20"/>
          <w:szCs w:val="20"/>
          <w:color w:val="auto"/>
        </w:rPr>
      </w:pPr>
    </w:p>
    <w:p>
      <w:pPr>
        <w:jc w:val="both"/>
        <w:ind w:left="1300"/>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Settlement of Phantom Units</w:t>
      </w:r>
      <w:r>
        <w:rPr>
          <w:rFonts w:ascii="Arial" w:cs="Arial" w:eastAsia="Arial" w:hAnsi="Arial"/>
          <w:sz w:val="21"/>
          <w:szCs w:val="21"/>
          <w:color w:val="auto"/>
        </w:rPr>
        <w:t>. As soon as administratively practicable after the vesting of a Phantom Unit, but not later than 30 days thereafter, the General Partner will pay, or cause to be paid, to the Director a cash payment equal to the Fair Market Value of a Unit on the date such Phantom Unit becomes vested in settlement of such Phantom Unit; provided, however, that, subject to compliance with the Partnership’s insider trading policies and all applicable laws, the Director may elect, in accordance with an executed election on the form prescribed by the Committee (the “</w:t>
      </w:r>
      <w:r>
        <w:rPr>
          <w:rFonts w:ascii="Arial" w:cs="Arial" w:eastAsia="Arial" w:hAnsi="Arial"/>
          <w:sz w:val="21"/>
          <w:szCs w:val="21"/>
          <w:u w:val="single" w:color="auto"/>
          <w:color w:val="auto"/>
        </w:rPr>
        <w:t>Election Form</w:t>
      </w:r>
      <w:r>
        <w:rPr>
          <w:rFonts w:ascii="Arial" w:cs="Arial" w:eastAsia="Arial" w:hAnsi="Arial"/>
          <w:sz w:val="21"/>
          <w:szCs w:val="21"/>
          <w:color w:val="auto"/>
        </w:rPr>
        <w:t>”), to have all or a portion of the Phantom Units that vest on the Vesting Date be settled in Units in lieu of cash by delivering to the Committee an executed Election Form no earlier than 90 days and no later than 30 days prior to the Vesting Date.”</w:t>
      </w:r>
    </w:p>
    <w:p>
      <w:pPr>
        <w:sectPr>
          <w:pgSz w:w="11900" w:h="16838" w:orient="portrait"/>
          <w:cols w:equalWidth="0" w:num="1">
            <w:col w:w="11420"/>
          </w:cols>
          <w:pgMar w:left="240" w:top="369" w:right="239" w:bottom="1440" w:gutter="0" w:footer="0" w:header="0"/>
        </w:sectPr>
      </w:pPr>
    </w:p>
    <w:bookmarkStart w:id="101" w:name="page102"/>
    <w:bookmarkEnd w:id="101"/>
    <w:p>
      <w:pPr>
        <w:spacing w:after="0" w:line="302" w:lineRule="auto"/>
        <w:rPr>
          <w:sz w:val="20"/>
          <w:szCs w:val="20"/>
          <w:color w:val="auto"/>
        </w:rPr>
      </w:pPr>
      <w:r>
        <w:rPr>
          <w:rFonts w:ascii="Arial" w:cs="Arial" w:eastAsia="Arial" w:hAnsi="Arial"/>
          <w:sz w:val="22"/>
          <w:szCs w:val="22"/>
          <w:color w:val="auto"/>
        </w:rPr>
        <w:t>Except as expressly amended hereby, the Phantom Unit Agreements shall remain in full force and effect and are specifically ratified and reaffirmed.</w:t>
      </w:r>
    </w:p>
    <w:p>
      <w:pPr>
        <w:sectPr>
          <w:pgSz w:w="11900" w:h="16838" w:orient="portrait"/>
          <w:cols w:equalWidth="0" w:num="1">
            <w:col w:w="11420"/>
          </w:cols>
          <w:pgMar w:left="240" w:top="388" w:right="239" w:bottom="1440" w:gutter="0" w:footer="0" w:header="0"/>
        </w:sectPr>
      </w:pPr>
    </w:p>
    <w:bookmarkStart w:id="102" w:name="page103"/>
    <w:bookmarkEnd w:id="102"/>
    <w:p>
      <w:pPr>
        <w:ind w:left="8220"/>
        <w:spacing w:after="0"/>
        <w:rPr>
          <w:sz w:val="20"/>
          <w:szCs w:val="20"/>
          <w:color w:val="auto"/>
        </w:rPr>
      </w:pPr>
      <w:r>
        <w:rPr>
          <w:rFonts w:ascii="Arial" w:cs="Arial" w:eastAsia="Arial" w:hAnsi="Arial"/>
          <w:sz w:val="22"/>
          <w:szCs w:val="22"/>
          <w:b w:val="1"/>
          <w:bCs w:val="1"/>
          <w:color w:val="auto"/>
        </w:rPr>
        <w:t>EXHIBIT 10.11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PHANTOM UNIT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Phantom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 ● ] (the “</w:t>
      </w:r>
      <w:r>
        <w:rPr>
          <w:rFonts w:ascii="Arial" w:cs="Arial" w:eastAsia="Arial" w:hAnsi="Arial"/>
          <w:sz w:val="19"/>
          <w:szCs w:val="19"/>
          <w:u w:val="single" w:color="auto"/>
          <w:color w:val="auto"/>
        </w:rPr>
        <w:t>Grant Date</w:t>
      </w:r>
      <w:r>
        <w:rPr>
          <w:rFonts w:ascii="Arial" w:cs="Arial" w:eastAsia="Arial" w:hAnsi="Arial"/>
          <w:sz w:val="19"/>
          <w:szCs w:val="19"/>
          <w:color w:val="auto"/>
        </w:rPr>
        <w:t>”) between Westlake Chemical Partners GP LLC, a Delaware limited liability company (the “</w:t>
      </w:r>
      <w:r>
        <w:rPr>
          <w:rFonts w:ascii="Arial" w:cs="Arial" w:eastAsia="Arial" w:hAnsi="Arial"/>
          <w:sz w:val="19"/>
          <w:szCs w:val="19"/>
          <w:u w:val="single" w:color="auto"/>
          <w:color w:val="auto"/>
        </w:rPr>
        <w:t>General Partner</w:t>
      </w:r>
      <w:r>
        <w:rPr>
          <w:rFonts w:ascii="Arial" w:cs="Arial" w:eastAsia="Arial" w:hAnsi="Arial"/>
          <w:sz w:val="19"/>
          <w:szCs w:val="19"/>
          <w:color w:val="auto"/>
        </w:rPr>
        <w:t>”), and [●] (the “</w:t>
      </w:r>
      <w:r>
        <w:rPr>
          <w:rFonts w:ascii="Arial" w:cs="Arial" w:eastAsia="Arial" w:hAnsi="Arial"/>
          <w:sz w:val="19"/>
          <w:szCs w:val="19"/>
          <w:u w:val="single" w:color="auto"/>
          <w:color w:val="auto"/>
        </w:rPr>
        <w:t>Director</w:t>
      </w:r>
      <w:r>
        <w:rPr>
          <w:rFonts w:ascii="Arial" w:cs="Arial" w:eastAsia="Arial" w:hAnsi="Arial"/>
          <w:sz w:val="19"/>
          <w:szCs w:val="19"/>
          <w:color w:val="auto"/>
        </w:rPr>
        <w:t>”) pursuant to the terms and conditions of the Westlake Chemical Partners LP Long-Term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used in this Agreement but not otherwise defined herein shall have the meanings ascribed to such terms in the Plan, unless the context requires otherwise.</w:t>
      </w:r>
    </w:p>
    <w:p>
      <w:pPr>
        <w:spacing w:after="0" w:line="1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General Partner has adopted the Plan to, among other things, attract, retain and motivate certain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and consultants of the General Partner, Westlake Chemical Partners LP (the “</w:t>
      </w:r>
      <w:r>
        <w:rPr>
          <w:rFonts w:ascii="Arial" w:cs="Arial" w:eastAsia="Arial" w:hAnsi="Arial"/>
          <w:sz w:val="22"/>
          <w:szCs w:val="22"/>
          <w:u w:val="single" w:color="auto"/>
          <w:color w:val="auto"/>
        </w:rPr>
        <w:t>Partnership</w:t>
      </w:r>
      <w:r>
        <w:rPr>
          <w:rFonts w:ascii="Arial" w:cs="Arial" w:eastAsia="Arial" w:hAnsi="Arial"/>
          <w:sz w:val="22"/>
          <w:szCs w:val="22"/>
          <w:color w:val="auto"/>
        </w:rPr>
        <w:t>”) and their respective Affiliates (collectively, the “</w:t>
      </w:r>
      <w:r>
        <w:rPr>
          <w:rFonts w:ascii="Arial" w:cs="Arial" w:eastAsia="Arial" w:hAnsi="Arial"/>
          <w:sz w:val="22"/>
          <w:szCs w:val="22"/>
          <w:u w:val="single" w:color="auto"/>
          <w:color w:val="auto"/>
        </w:rPr>
        <w:t>Westlake Group</w:t>
      </w:r>
      <w:r>
        <w:rPr>
          <w:rFonts w:ascii="Arial" w:cs="Arial" w:eastAsia="Arial" w:hAnsi="Arial"/>
          <w:sz w:val="22"/>
          <w:szCs w:val="22"/>
          <w:color w:val="auto"/>
        </w:rPr>
        <w:t>”); and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subject to the terms and conditions set forth in this Agreement and the Plan, the General Partner desires to</w:t>
      </w:r>
      <w:r>
        <w:rPr>
          <w:rFonts w:ascii="Arial" w:cs="Arial" w:eastAsia="Arial" w:hAnsi="Arial"/>
          <w:sz w:val="22"/>
          <w:szCs w:val="22"/>
          <w:b w:val="1"/>
          <w:bCs w:val="1"/>
          <w:color w:val="auto"/>
        </w:rPr>
        <w:t xml:space="preserve"> </w:t>
      </w:r>
      <w:r>
        <w:rPr>
          <w:rFonts w:ascii="Arial" w:cs="Arial" w:eastAsia="Arial" w:hAnsi="Arial"/>
          <w:sz w:val="22"/>
          <w:szCs w:val="22"/>
          <w:color w:val="auto"/>
        </w:rPr>
        <w:t>grant to the Director on the terms and conditions set forth herein, and the Director desires to accept on such terms and conditions, the number of Phantom Units specified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intending to be legally bound, hereby agree as follows:</w:t>
      </w:r>
    </w:p>
    <w:p>
      <w:pPr>
        <w:spacing w:after="0" w:line="220" w:lineRule="exact"/>
        <w:rPr>
          <w:sz w:val="20"/>
          <w:szCs w:val="20"/>
          <w:color w:val="auto"/>
        </w:rPr>
      </w:pPr>
    </w:p>
    <w:p>
      <w:pPr>
        <w:jc w:val="both"/>
        <w:ind w:firstLine="656"/>
        <w:spacing w:after="0" w:line="259" w:lineRule="auto"/>
        <w:tabs>
          <w:tab w:leader="none" w:pos="1459"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Phantom Units</w:t>
      </w:r>
      <w:r>
        <w:rPr>
          <w:rFonts w:ascii="Arial" w:cs="Arial" w:eastAsia="Arial" w:hAnsi="Arial"/>
          <w:sz w:val="21"/>
          <w:szCs w:val="21"/>
          <w:color w:val="auto"/>
        </w:rPr>
        <w:t>. The General Partner hereby grants [●] Phantom Units to the Director, effective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subject to all of the terms and conditions set forth in the Plan and in this Agreement (the “</w:t>
      </w:r>
      <w:r>
        <w:rPr>
          <w:rFonts w:ascii="Arial" w:cs="Arial" w:eastAsia="Arial" w:hAnsi="Arial"/>
          <w:sz w:val="21"/>
          <w:szCs w:val="21"/>
          <w:u w:val="single" w:color="auto"/>
          <w:color w:val="auto"/>
        </w:rPr>
        <w:t>Phantom Units</w:t>
      </w:r>
      <w:r>
        <w:rPr>
          <w:rFonts w:ascii="Arial" w:cs="Arial" w:eastAsia="Arial" w:hAnsi="Arial"/>
          <w:sz w:val="21"/>
          <w:szCs w:val="21"/>
          <w:color w:val="auto"/>
        </w:rPr>
        <w:t>”). The Director acknowledges receipt of a copy of the Plan, and agrees that the terms and provisions of the Plan, including any future amendments thereto, shall be deemed a part of this Agreement as if fully set forth herein. Unless and until a Phantom Unit vests pursuant to this Agreement, the Director will have no right to payment in respect of such Phantom Unit. Prior to settlement of a vested Phantom Unit, each Phantom Unit will represent an unsecured obligation, payable (if at all) only from the general assets of the Partnership. The Phantom Units granted pursuant to this Agreement do not and shall not entitle the Director to any rights of a holder of Units prior to the date, if any, on which Units are issued or recorded in book entry form on the records of the Partnership or its transfer agents or registrars, and delivered in certificate or book entry form to the Director or any Person claiming under or through the Director.</w:t>
      </w:r>
    </w:p>
    <w:p>
      <w:pPr>
        <w:spacing w:after="0" w:line="176" w:lineRule="exact"/>
        <w:rPr>
          <w:rFonts w:ascii="Arial" w:cs="Arial" w:eastAsia="Arial" w:hAnsi="Arial"/>
          <w:sz w:val="21"/>
          <w:szCs w:val="21"/>
          <w:color w:val="auto"/>
        </w:rPr>
      </w:pPr>
    </w:p>
    <w:p>
      <w:pPr>
        <w:jc w:val="both"/>
        <w:ind w:firstLine="656"/>
        <w:spacing w:after="0" w:line="248" w:lineRule="auto"/>
        <w:tabs>
          <w:tab w:leader="none" w:pos="1459"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Distribution Equivalent Rights (DERs)</w:t>
      </w:r>
      <w:r>
        <w:rPr>
          <w:rFonts w:ascii="Arial" w:cs="Arial" w:eastAsia="Arial" w:hAnsi="Arial"/>
          <w:sz w:val="22"/>
          <w:szCs w:val="22"/>
          <w:color w:val="auto"/>
        </w:rPr>
        <w:t>. This grant of Phantom Units includes a tandem grant of DERs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each Phantom Unit. Each DER granted hereunder shall remain outstanding from the Grant Date until the earlier of the payment or forfeiture of the Phantom Unit to which it corresponds. If the Partnership pays a cash distribution in respect of its outstanding Units and, on the record date for such distribution, the Participant holds Phantom Units granted pursuant to this Agreement that have not vested and been settled, then the Partnership shall pay to the Director, within 30 days following the record date of such distribution, an amount equal to the</w:t>
      </w:r>
    </w:p>
    <w:p>
      <w:pPr>
        <w:sectPr>
          <w:pgSz w:w="11900" w:h="16838" w:orient="portrait"/>
          <w:cols w:equalWidth="0" w:num="1">
            <w:col w:w="11420"/>
          </w:cols>
          <w:pgMar w:left="240" w:top="625" w:right="239" w:bottom="144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22"/>
          <w:szCs w:val="22"/>
          <w:color w:val="auto"/>
        </w:rPr>
        <w:t>aggregate cash distribution that would have been paid to the Director if the Director were the record owner, as of the record date of such distribution, of a number of Units equal to the number of Phantom Units granted hereunder.</w:t>
      </w:r>
    </w:p>
    <w:p>
      <w:pPr>
        <w:spacing w:after="0" w:line="169" w:lineRule="exact"/>
        <w:rPr>
          <w:sz w:val="20"/>
          <w:szCs w:val="20"/>
          <w:color w:val="auto"/>
        </w:rPr>
      </w:pPr>
    </w:p>
    <w:p>
      <w:pPr>
        <w:ind w:left="1460" w:hanging="804"/>
        <w:spacing w:after="0"/>
        <w:tabs>
          <w:tab w:leader="none" w:pos="1460"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and Forfeiture of the Phantom Units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firstLine="1305"/>
        <w:spacing w:after="0" w:line="358" w:lineRule="auto"/>
        <w:tabs>
          <w:tab w:leader="none" w:pos="1730"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The Phantom Units will vest on the third anniversary of the Grant Date (the “</w:t>
      </w:r>
      <w:r>
        <w:rPr>
          <w:rFonts w:ascii="Arial" w:cs="Arial" w:eastAsia="Arial" w:hAnsi="Arial"/>
          <w:sz w:val="19"/>
          <w:szCs w:val="19"/>
          <w:u w:val="single" w:color="auto"/>
          <w:color w:val="auto"/>
        </w:rPr>
        <w:t>Vesting Date</w:t>
      </w:r>
      <w:r>
        <w:rPr>
          <w:rFonts w:ascii="Arial" w:cs="Arial" w:eastAsia="Arial" w:hAnsi="Arial"/>
          <w:sz w:val="19"/>
          <w:szCs w:val="19"/>
          <w:color w:val="auto"/>
        </w:rPr>
        <w:t>”) so long as the Director continuously serves as a member of the Board from the Grant Date through the Vesting Date.</w:t>
      </w:r>
    </w:p>
    <w:p>
      <w:pPr>
        <w:spacing w:after="0" w:line="90" w:lineRule="exact"/>
        <w:rPr>
          <w:rFonts w:ascii="Arial" w:cs="Arial" w:eastAsia="Arial" w:hAnsi="Arial"/>
          <w:sz w:val="19"/>
          <w:szCs w:val="19"/>
          <w:color w:val="auto"/>
        </w:rPr>
      </w:pPr>
    </w:p>
    <w:p>
      <w:pPr>
        <w:jc w:val="both"/>
        <w:ind w:right="20" w:firstLine="1305"/>
        <w:spacing w:after="0" w:line="260" w:lineRule="auto"/>
        <w:tabs>
          <w:tab w:leader="none" w:pos="1769"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If, prior to the Vesting Date, the Director’s membership on the Board terminates for any reason or no reason whatsoever, then all unvested Phantom Units and DERs granted hereunder then held by Director shall be automatically forfeited upon such termination.</w:t>
      </w:r>
    </w:p>
    <w:p>
      <w:pPr>
        <w:spacing w:after="0" w:line="171" w:lineRule="exact"/>
        <w:rPr>
          <w:rFonts w:ascii="Arial" w:cs="Arial" w:eastAsia="Arial" w:hAnsi="Arial"/>
          <w:sz w:val="22"/>
          <w:szCs w:val="22"/>
          <w:color w:val="auto"/>
        </w:rPr>
      </w:pPr>
    </w:p>
    <w:p>
      <w:pPr>
        <w:jc w:val="both"/>
        <w:ind w:firstLine="656"/>
        <w:spacing w:after="0" w:line="293" w:lineRule="auto"/>
        <w:tabs>
          <w:tab w:leader="none" w:pos="1459"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Phantom Units</w:t>
      </w:r>
      <w:r>
        <w:rPr>
          <w:rFonts w:ascii="Arial" w:cs="Arial" w:eastAsia="Arial" w:hAnsi="Arial"/>
          <w:sz w:val="19"/>
          <w:szCs w:val="19"/>
          <w:color w:val="auto"/>
        </w:rPr>
        <w:t>. As soon as administratively practicable after the vesting of a Phantom Unit,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later than 30 days thereafter, the General Partner will pay, or cause to be paid, to the Director a cash payment equal to the Fair Market Value of a Unit on the date such Phantom Unit becomes vested in settlement of such Phantom Unit; provided, however, that, subject to compliance with the Partnership’s insider trading policies and all applicable laws, the Director may elect, in accordance with an executed election on the form prescribed by the Committee (the “</w:t>
      </w:r>
      <w:r>
        <w:rPr>
          <w:rFonts w:ascii="Arial" w:cs="Arial" w:eastAsia="Arial" w:hAnsi="Arial"/>
          <w:sz w:val="19"/>
          <w:szCs w:val="19"/>
          <w:u w:val="single" w:color="auto"/>
          <w:color w:val="auto"/>
        </w:rPr>
        <w:t>Election Form</w:t>
      </w:r>
      <w:r>
        <w:rPr>
          <w:rFonts w:ascii="Arial" w:cs="Arial" w:eastAsia="Arial" w:hAnsi="Arial"/>
          <w:sz w:val="19"/>
          <w:szCs w:val="19"/>
          <w:color w:val="auto"/>
        </w:rPr>
        <w:t>”), to have all or a portion of the Phantom Units that vest on the Vesting Date be settled in Units in lieu of cash by delivering to the Committee an executed Election Form no earlier than 90 days and no later than 30 days prior to the Vesting Date.</w:t>
      </w:r>
    </w:p>
    <w:p>
      <w:pPr>
        <w:spacing w:after="0" w:line="145" w:lineRule="exact"/>
        <w:rPr>
          <w:rFonts w:ascii="Arial" w:cs="Arial" w:eastAsia="Arial" w:hAnsi="Arial"/>
          <w:sz w:val="19"/>
          <w:szCs w:val="19"/>
          <w:color w:val="auto"/>
        </w:rPr>
      </w:pPr>
    </w:p>
    <w:p>
      <w:pPr>
        <w:jc w:val="both"/>
        <w:ind w:firstLine="656"/>
        <w:spacing w:after="0" w:line="288" w:lineRule="auto"/>
        <w:tabs>
          <w:tab w:leader="none" w:pos="1459"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Status of Units</w:t>
      </w:r>
      <w:r>
        <w:rPr>
          <w:rFonts w:ascii="Arial" w:cs="Arial" w:eastAsia="Arial" w:hAnsi="Arial"/>
          <w:sz w:val="19"/>
          <w:szCs w:val="19"/>
          <w:color w:val="auto"/>
        </w:rPr>
        <w:t>. The Phantom Units granted pursuant to this Agreement do not and shall not entitle the Director to</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rights of a holder of Units prior to the date Units, if any, are issued to the Director in settlement of vested Phantom Units. Any Units that the Director acquires upon vesting and settlement of the Phantom Units may not be sold or otherwise disposed of in any manner that would constitute a violation of any applicable federal or state securities laws or the rules, regulations and other requirements of the SEC and any stock exchange upon which the Units are then listed. All certificates representing Units issued hereunder (and all Units issued pursuant to book entry procedures hereunder) may bear such legend or legends as the Committee deems appropriate in order to assure compliance with applicable securities laws. The General Partner and the Partnership may refuse to issue or deliver the Units acquired under this award if such proposed issuance or delivery would, in the opinion of counsel satisfactory to the General Partner, constitute a violation of any applicable securities law. In addition to the terms and conditions provided herein, the General Partner may require that the Director make such covenants, agreements, and representations as the Committee, in its sole discretion, deems advisable in order to comply with applicable laws, rules, regulations, or requirements.</w:t>
      </w:r>
    </w:p>
    <w:p>
      <w:pPr>
        <w:spacing w:after="0" w:line="154" w:lineRule="exact"/>
        <w:rPr>
          <w:rFonts w:ascii="Arial" w:cs="Arial" w:eastAsia="Arial" w:hAnsi="Arial"/>
          <w:sz w:val="19"/>
          <w:szCs w:val="19"/>
          <w:color w:val="auto"/>
        </w:rPr>
      </w:pPr>
    </w:p>
    <w:p>
      <w:pPr>
        <w:jc w:val="both"/>
        <w:ind w:firstLine="656"/>
        <w:spacing w:after="0" w:line="256" w:lineRule="auto"/>
        <w:tabs>
          <w:tab w:leader="none" w:pos="1459"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Transferability and Assignment</w:t>
      </w:r>
      <w:r>
        <w:rPr>
          <w:rFonts w:ascii="Arial" w:cs="Arial" w:eastAsia="Arial" w:hAnsi="Arial"/>
          <w:sz w:val="22"/>
          <w:szCs w:val="22"/>
          <w:color w:val="auto"/>
        </w:rPr>
        <w:t>. This Agreement and the Phantom Units granted hereunder may not be assigned,</w:t>
      </w:r>
      <w:r>
        <w:rPr>
          <w:rFonts w:ascii="Arial" w:cs="Arial" w:eastAsia="Arial" w:hAnsi="Arial"/>
          <w:sz w:val="22"/>
          <w:szCs w:val="22"/>
          <w:b w:val="1"/>
          <w:bCs w:val="1"/>
          <w:color w:val="auto"/>
        </w:rPr>
        <w:t xml:space="preserve"> </w:t>
      </w:r>
      <w:r>
        <w:rPr>
          <w:rFonts w:ascii="Arial" w:cs="Arial" w:eastAsia="Arial" w:hAnsi="Arial"/>
          <w:sz w:val="22"/>
          <w:szCs w:val="22"/>
          <w:color w:val="auto"/>
        </w:rPr>
        <w:t>alienated, pledged, attached, sold or otherwise transferred or encumbered by the Director (or any permitted transferee) other than by will or the laws of descent</w:t>
      </w:r>
    </w:p>
    <w:p>
      <w:pPr>
        <w:sectPr>
          <w:pgSz w:w="11900" w:h="16838" w:orient="portrait"/>
          <w:cols w:equalWidth="0" w:num="1">
            <w:col w:w="11420"/>
          </w:cols>
          <w:pgMar w:left="240" w:top="375" w:right="23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22"/>
          <w:szCs w:val="22"/>
          <w:color w:val="auto"/>
        </w:rPr>
        <w:t>and distribution. Any purported assignment, alienation, pledge, attachment, sale, transfer or encumbrance shall be null, void and unenforceable against the Westlake Group.</w:t>
      </w:r>
    </w:p>
    <w:p>
      <w:pPr>
        <w:spacing w:after="0" w:line="169" w:lineRule="exact"/>
        <w:rPr>
          <w:sz w:val="20"/>
          <w:szCs w:val="20"/>
          <w:color w:val="auto"/>
        </w:rPr>
      </w:pPr>
    </w:p>
    <w:p>
      <w:pPr>
        <w:jc w:val="both"/>
        <w:ind w:firstLine="656"/>
        <w:spacing w:after="0" w:line="304" w:lineRule="auto"/>
        <w:tabs>
          <w:tab w:leader="none" w:pos="1459"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Upon any taxable event arising in connection with the Phantom Units, the General Partner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authority and the right to deduct or withhold (or cause another member of the Westlake Group to deduct or withhold), or to require the Director to remit to the General Partner (or another member of the Westlake Group), an amount sufficient to satisfy all applicable federal, state and local taxes required by law to be withheld with respect to such event.</w:t>
      </w:r>
    </w:p>
    <w:p>
      <w:pPr>
        <w:spacing w:after="0" w:line="135" w:lineRule="exact"/>
        <w:rPr>
          <w:rFonts w:ascii="Arial" w:cs="Arial" w:eastAsia="Arial" w:hAnsi="Arial"/>
          <w:sz w:val="19"/>
          <w:szCs w:val="19"/>
          <w:color w:val="auto"/>
        </w:rPr>
      </w:pPr>
    </w:p>
    <w:p>
      <w:pPr>
        <w:ind w:left="1460" w:hanging="804"/>
        <w:spacing w:after="0"/>
        <w:tabs>
          <w:tab w:leader="none" w:pos="146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5"/>
        <w:spacing w:after="0" w:line="251" w:lineRule="auto"/>
        <w:tabs>
          <w:tab w:leader="none" w:pos="1838"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This Agreement shall at all times be subject to the terms and conditions of the Plan. The Committee shall have sole and complete discretion with respect to all matters reserved to it by the Plan and all decisions of a majority of the Committee with respect thereto and this Agreement shall be final and binding upon the Director and the General Partner. In the event of any conflict between the terms and conditions of this Agreement and the Plan, the provisions of the Plan shall control.</w:t>
      </w:r>
    </w:p>
    <w:p>
      <w:pPr>
        <w:spacing w:after="0" w:line="189" w:lineRule="exact"/>
        <w:rPr>
          <w:rFonts w:ascii="Arial" w:cs="Arial" w:eastAsia="Arial" w:hAnsi="Arial"/>
          <w:sz w:val="22"/>
          <w:szCs w:val="22"/>
          <w:color w:val="auto"/>
        </w:rPr>
      </w:pPr>
    </w:p>
    <w:p>
      <w:pPr>
        <w:jc w:val="both"/>
        <w:ind w:firstLine="1305"/>
        <w:spacing w:after="0" w:line="294" w:lineRule="auto"/>
        <w:tabs>
          <w:tab w:leader="none" w:pos="181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Tax Consultation</w:t>
      </w:r>
      <w:r>
        <w:rPr>
          <w:rFonts w:ascii="Arial" w:cs="Arial" w:eastAsia="Arial" w:hAnsi="Arial"/>
          <w:sz w:val="19"/>
          <w:szCs w:val="19"/>
          <w:color w:val="auto"/>
        </w:rPr>
        <w:t>. Neither the Board, the Committee nor any member of the Westlake Group has made any warranty or representation to the Director with respect to the income tax consequences of the grant, vesting or settlement of the Phantom Units or the DERs or the transactions contemplated by this Agreement, and the Director represents that the Director is in no manner relying on such entities or any of their respective managers, directors, officers, employees or authorized representatives (including attorneys, accountants, consultants, bankers, lenders, prospective lenders and financial representatives) for tax advice or an assessment of such tax consequences. The Director represents that the Director has consulted with any tax consultants that the Director deems advisable in connection with the Phantom Units.</w:t>
      </w:r>
    </w:p>
    <w:p>
      <w:pPr>
        <w:spacing w:after="0" w:line="152" w:lineRule="exact"/>
        <w:rPr>
          <w:rFonts w:ascii="Arial" w:cs="Arial" w:eastAsia="Arial" w:hAnsi="Arial"/>
          <w:sz w:val="19"/>
          <w:szCs w:val="19"/>
          <w:color w:val="auto"/>
        </w:rPr>
      </w:pPr>
    </w:p>
    <w:p>
      <w:pPr>
        <w:ind w:firstLine="1305"/>
        <w:spacing w:after="0" w:line="276" w:lineRule="auto"/>
        <w:tabs>
          <w:tab w:leader="none" w:pos="1838"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the Director, the Director’s legal representatives, heirs, legatees and distributees, and upon the General Partner, its successors and assigns.</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No Liability for Good Faith Determinations</w:t>
      </w:r>
      <w:r>
        <w:rPr>
          <w:rFonts w:ascii="Arial" w:cs="Arial" w:eastAsia="Arial" w:hAnsi="Arial"/>
          <w:sz w:val="22"/>
          <w:szCs w:val="22"/>
          <w:color w:val="auto"/>
        </w:rPr>
        <w:t>. The General Partner, the Partnership and their Affiliates, and the members of the Board and the Committee, shall not be liable for any act, omission or determination taken or made in good faith with respect to this Agreement or the Phantom Units granted hereunder.</w:t>
      </w:r>
    </w:p>
    <w:p>
      <w:pPr>
        <w:spacing w:after="0" w:line="177" w:lineRule="exact"/>
        <w:rPr>
          <w:rFonts w:ascii="Arial" w:cs="Arial" w:eastAsia="Arial" w:hAnsi="Arial"/>
          <w:sz w:val="22"/>
          <w:szCs w:val="22"/>
          <w:color w:val="auto"/>
        </w:rPr>
      </w:pPr>
    </w:p>
    <w:p>
      <w:pPr>
        <w:jc w:val="both"/>
        <w:ind w:firstLine="1305"/>
        <w:spacing w:after="0" w:line="266" w:lineRule="auto"/>
        <w:tabs>
          <w:tab w:leader="none" w:pos="1730"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Membership on the Board</w:t>
      </w:r>
      <w:r>
        <w:rPr>
          <w:rFonts w:ascii="Arial" w:cs="Arial" w:eastAsia="Arial" w:hAnsi="Arial"/>
          <w:sz w:val="21"/>
          <w:szCs w:val="21"/>
          <w:color w:val="auto"/>
        </w:rPr>
        <w:t>. Nothing in the adoption of the Plan, nor the grant of Phantom Units pursuant to this Agreement, shall confer upon the Director the right to continued membership on the Board or affect in any way the right of the General Partner to terminate such membership at any time. Any question as to whether and when there has been a termination of the Director’s membership on the Board, and the cause of such termination, shall be determined by the Committee or its delegate, and its determination shall be final and conclusive for all purposes.</w:t>
      </w:r>
    </w:p>
    <w:p>
      <w:pPr>
        <w:spacing w:after="0" w:line="174" w:lineRule="exact"/>
        <w:rPr>
          <w:rFonts w:ascii="Arial" w:cs="Arial" w:eastAsia="Arial" w:hAnsi="Arial"/>
          <w:sz w:val="21"/>
          <w:szCs w:val="21"/>
          <w:color w:val="auto"/>
        </w:rPr>
      </w:pPr>
    </w:p>
    <w:p>
      <w:pPr>
        <w:ind w:right="20" w:firstLine="1305"/>
        <w:spacing w:after="0" w:line="276" w:lineRule="auto"/>
        <w:tabs>
          <w:tab w:leader="none" w:pos="1773"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with regard to the subject matter hereof, and contains all the covenants, promises,</w:t>
      </w:r>
    </w:p>
    <w:p>
      <w:pPr>
        <w:sectPr>
          <w:pgSz w:w="11900" w:h="16838" w:orient="portrait"/>
          <w:cols w:equalWidth="0" w:num="1">
            <w:col w:w="11420"/>
          </w:cols>
          <w:pgMar w:left="240" w:top="375" w:right="239" w:bottom="1440" w:gutter="0" w:footer="0" w:header="0"/>
        </w:sectPr>
      </w:pPr>
    </w:p>
    <w:bookmarkStart w:id="105" w:name="page106"/>
    <w:bookmarkEnd w:id="105"/>
    <w:p>
      <w:pPr>
        <w:jc w:val="both"/>
        <w:spacing w:after="0" w:line="253" w:lineRule="auto"/>
        <w:rPr>
          <w:sz w:val="20"/>
          <w:szCs w:val="20"/>
          <w:color w:val="auto"/>
        </w:rPr>
      </w:pPr>
      <w:r>
        <w:rPr>
          <w:rFonts w:ascii="Arial" w:cs="Arial" w:eastAsia="Arial" w:hAnsi="Arial"/>
          <w:sz w:val="22"/>
          <w:szCs w:val="22"/>
          <w:color w:val="auto"/>
        </w:rPr>
        <w:t>representations, warranties and agreements between the parties with respect to the Phantom Units granted hereby. Without limiting the scope of the preceding sentence, all prior understandings and agreements, if any, among the parties hereto relating to the subject matter hereof are hereby null and void and of no further force and effect.</w:t>
      </w:r>
    </w:p>
    <w:p>
      <w:pPr>
        <w:spacing w:after="0" w:line="186" w:lineRule="exact"/>
        <w:rPr>
          <w:sz w:val="20"/>
          <w:szCs w:val="20"/>
          <w:color w:val="auto"/>
        </w:rPr>
      </w:pPr>
    </w:p>
    <w:p>
      <w:pPr>
        <w:ind w:right="20" w:firstLine="1305"/>
        <w:spacing w:after="0" w:line="276" w:lineRule="auto"/>
        <w:tabs>
          <w:tab w:leader="none" w:pos="174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regard to conflicts of law principles thereof.</w:t>
      </w:r>
    </w:p>
    <w:p>
      <w:pPr>
        <w:spacing w:after="0" w:line="160" w:lineRule="exact"/>
        <w:rPr>
          <w:rFonts w:ascii="Arial" w:cs="Arial" w:eastAsia="Arial" w:hAnsi="Arial"/>
          <w:sz w:val="22"/>
          <w:szCs w:val="22"/>
          <w:color w:val="auto"/>
        </w:rPr>
      </w:pPr>
    </w:p>
    <w:p>
      <w:pPr>
        <w:jc w:val="both"/>
        <w:ind w:firstLine="1305"/>
        <w:spacing w:after="0" w:line="250" w:lineRule="auto"/>
        <w:tabs>
          <w:tab w:leader="none" w:pos="175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Amendments, Suspension and Termination</w:t>
      </w:r>
      <w:r>
        <w:rPr>
          <w:rFonts w:ascii="Arial" w:cs="Arial" w:eastAsia="Arial" w:hAnsi="Arial"/>
          <w:sz w:val="22"/>
          <w:szCs w:val="22"/>
          <w:color w:val="auto"/>
        </w:rPr>
        <w:t>. This Agreement may be wholly or partially amended or otherwise modified, suspended or terminated at any time or from time to time by the Board or the Committee (i) to the extent permitted by the Plan, (ii) to the extent necessary to comply with applicable laws and regulations or to conform the provisions of this Agreement to any changes thereto and/or (iii) to settle vested Phantom Units pursuant to all applicable provisions of the Plan. Except as provided in the preceding sentence, this Agreement cannot be modified, altered or amended, except by a written agreement signed by both the General Partner and the Director.</w:t>
      </w:r>
    </w:p>
    <w:p>
      <w:pPr>
        <w:spacing w:after="0" w:line="188" w:lineRule="exact"/>
        <w:rPr>
          <w:rFonts w:ascii="Arial" w:cs="Arial" w:eastAsia="Arial" w:hAnsi="Arial"/>
          <w:sz w:val="22"/>
          <w:szCs w:val="22"/>
          <w:color w:val="auto"/>
        </w:rPr>
      </w:pPr>
    </w:p>
    <w:p>
      <w:pPr>
        <w:ind w:right="20" w:firstLine="1305"/>
        <w:spacing w:after="0" w:line="276" w:lineRule="auto"/>
        <w:tabs>
          <w:tab w:leader="none" w:pos="172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The Director acknowledges that the Phantom Units granted and the Units (if any) issued hereunder are subject to clawback as provided in Section 8(p) of the Plan.</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15"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Consent to Electronic Delivery; Electronic Signature</w:t>
      </w:r>
      <w:r>
        <w:rPr>
          <w:rFonts w:ascii="Arial" w:cs="Arial" w:eastAsia="Arial" w:hAnsi="Arial"/>
          <w:sz w:val="21"/>
          <w:szCs w:val="21"/>
          <w:color w:val="auto"/>
        </w:rPr>
        <w:t>. In lieu of receiving documents in paper format, the Director agrees, to the fullest extent permitted by law, to accept electronic delivery of any documents that any member of the Westlake Group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General Partner under the Plan. Electronic delivery may be made via the electronic mail system of the General Partner or one of its Affiliates or by reference to a location on an intranet site to which the Director has access. The Director hereby consents to any and all procedures the General Partner has established or may establish for an electronic signature system for delivery and acceptance of any such documents that the General Partner may be required to deliver, and agrees that the Director’s electronic signature is the same as, and shall have the same force and effect as, the Director’s manual signature.</w:t>
      </w:r>
    </w:p>
    <w:p>
      <w:pPr>
        <w:spacing w:after="0" w:line="179" w:lineRule="exact"/>
        <w:rPr>
          <w:rFonts w:ascii="Arial" w:cs="Arial" w:eastAsia="Arial" w:hAnsi="Arial"/>
          <w:sz w:val="21"/>
          <w:szCs w:val="21"/>
          <w:color w:val="auto"/>
        </w:rPr>
      </w:pPr>
    </w:p>
    <w:p>
      <w:pPr>
        <w:jc w:val="both"/>
        <w:ind w:firstLine="1305"/>
        <w:spacing w:after="0" w:line="300" w:lineRule="auto"/>
        <w:tabs>
          <w:tab w:leader="none" w:pos="185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Neither the Phantom Units nor any amounts payable pursuant to this Agreement are intended to constitute or provide for a deferral of compensation that is subject to Section 409A. Notwithstanding the foregoing, the General Partner makes no representations that the payments and benefits provided under this Agreement are exempt from Section 409A and in no event shall the General Partner be liable for all or any portion of any taxes, penalties, interest or other expenses that may be incurred by the Director on account of non-compliance with Section 409A.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Blank;</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375" w:right="239" w:bottom="1440" w:gutter="0" w:footer="0" w:header="0"/>
        </w:sectPr>
      </w:pPr>
    </w:p>
    <w:bookmarkStart w:id="106" w:name="page107"/>
    <w:bookmarkEnd w:id="1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both"/>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General Partner has caused this Agreement to be executed by its duly authorized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Director has executed this Agreement as of the ____ day of __________, 20___, effective for all purposes as provided above.</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WESTLAKE CHEMICAL PARTNERS GP LLC</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1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474345</wp:posOffset>
            </wp:positionV>
            <wp:extent cx="1097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[Insert name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PHANTOM UNIT AGREEMENT</w:t>
      </w:r>
    </w:p>
    <w:p>
      <w:pPr>
        <w:sectPr>
          <w:pgSz w:w="11900" w:h="16838" w:orient="portrait"/>
          <w:cols w:equalWidth="0" w:num="1">
            <w:col w:w="11420"/>
          </w:cols>
          <w:pgMar w:left="240" w:top="6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u w:val="single" w:color="auto"/>
          <w:color w:val="auto"/>
        </w:rPr>
        <w:t>Annex 2</w:t>
      </w:r>
    </w:p>
    <w:p>
      <w:pPr>
        <w:spacing w:after="0" w:line="26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WESTLAKE CHEMICAL PARTNERS LP NON-EMPLOYEE DIRECTOR ELECTION TO RECEIVE UNITS IN SETTLEMENT OF PHANTOM UNITS</w:t>
      </w:r>
    </w:p>
    <w:p>
      <w:pPr>
        <w:spacing w:after="0" w:line="37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Director’s</w:t>
      </w:r>
      <w:r>
        <w:rPr>
          <w:sz w:val="20"/>
          <w:szCs w:val="20"/>
          <w:color w:val="auto"/>
        </w:rPr>
        <w:tab/>
      </w:r>
      <w:r>
        <w:rPr>
          <w:rFonts w:ascii="Arial" w:cs="Arial" w:eastAsia="Arial" w:hAnsi="Arial"/>
          <w:sz w:val="17"/>
          <w:szCs w:val="17"/>
          <w:b w:val="1"/>
          <w:bCs w:val="1"/>
          <w:color w:val="auto"/>
        </w:rPr>
        <w:t>Full</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w:t>
      </w:r>
    </w:p>
    <w:p>
      <w:pPr>
        <w:spacing w:after="0" w:line="16" w:lineRule="exact"/>
        <w:rPr>
          <w:sz w:val="20"/>
          <w:szCs w:val="20"/>
          <w:color w:val="auto"/>
        </w:rPr>
      </w:pPr>
    </w:p>
    <w:tbl>
      <w:tblPr>
        <w:tblLayout w:type="fixed"/>
        <w:tblInd w:w="1180" w:type="dxa"/>
        <w:tblCellMar>
          <w:top w:w="0" w:type="dxa"/>
          <w:left w:w="0" w:type="dxa"/>
          <w:bottom w:w="0" w:type="dxa"/>
          <w:right w:w="0" w:type="dxa"/>
        </w:tblCellMar>
      </w:tblPr>
      <w:tr>
        <w:trPr>
          <w:trHeight w:val="242"/>
        </w:trPr>
        <w:tc>
          <w:tcPr>
            <w:tcW w:w="440" w:type="dxa"/>
            <w:vAlign w:val="bottom"/>
          </w:tcPr>
          <w:p>
            <w:pPr>
              <w:spacing w:after="0"/>
              <w:rPr>
                <w:sz w:val="20"/>
                <w:szCs w:val="20"/>
                <w:color w:val="auto"/>
              </w:rPr>
            </w:pPr>
            <w:r>
              <w:rPr>
                <w:rFonts w:ascii="Arial" w:cs="Arial" w:eastAsia="Arial" w:hAnsi="Arial"/>
                <w:sz w:val="18"/>
                <w:szCs w:val="18"/>
                <w:i w:val="1"/>
                <w:iCs w:val="1"/>
                <w:color w:val="auto"/>
              </w:rPr>
              <w:t>Last</w:t>
            </w:r>
          </w:p>
        </w:tc>
        <w:tc>
          <w:tcPr>
            <w:tcW w:w="43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Borders>
              <w:top w:val="single" w:sz="8" w:color="auto"/>
            </w:tcBorders>
          </w:tcPr>
          <w:p>
            <w:pPr>
              <w:ind w:left="680"/>
              <w:spacing w:after="0"/>
              <w:rPr>
                <w:sz w:val="20"/>
                <w:szCs w:val="20"/>
                <w:color w:val="auto"/>
              </w:rPr>
            </w:pPr>
            <w:r>
              <w:rPr>
                <w:rFonts w:ascii="Arial" w:cs="Arial" w:eastAsia="Arial" w:hAnsi="Arial"/>
                <w:sz w:val="18"/>
                <w:szCs w:val="18"/>
                <w:i w:val="1"/>
                <w:iCs w:val="1"/>
                <w:color w:val="auto"/>
              </w:rPr>
              <w:t>First</w:t>
            </w:r>
          </w:p>
        </w:tc>
        <w:tc>
          <w:tcPr>
            <w:tcW w:w="340" w:type="dxa"/>
            <w:vAlign w:val="bottom"/>
          </w:tcPr>
          <w:p>
            <w:pPr>
              <w:spacing w:after="0"/>
              <w:rPr>
                <w:sz w:val="21"/>
                <w:szCs w:val="21"/>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Middle</w:t>
            </w:r>
          </w:p>
        </w:tc>
      </w:tr>
      <w:tr>
        <w:trPr>
          <w:trHeight w:val="230"/>
        </w:trPr>
        <w:tc>
          <w:tcPr>
            <w:tcW w:w="4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i w:val="1"/>
                <w:iCs w:val="1"/>
                <w:color w:val="auto"/>
              </w:rPr>
              <w:t>Initial</w:t>
            </w:r>
          </w:p>
        </w:tc>
      </w:tr>
    </w:tbl>
    <w:p>
      <w:pPr>
        <w:spacing w:after="0" w:line="172" w:lineRule="exact"/>
        <w:rPr>
          <w:sz w:val="20"/>
          <w:szCs w:val="20"/>
          <w:color w:val="auto"/>
        </w:rPr>
      </w:pPr>
    </w:p>
    <w:p>
      <w:pPr>
        <w:jc w:val="both"/>
        <w:ind w:firstLine="656"/>
        <w:spacing w:after="0" w:line="282" w:lineRule="auto"/>
        <w:tabs>
          <w:tab w:leader="none" w:pos="10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Election to Receive Units in Lieu of Cash</w:t>
      </w:r>
      <w:r>
        <w:rPr>
          <w:rFonts w:ascii="Arial" w:cs="Arial" w:eastAsia="Arial" w:hAnsi="Arial"/>
          <w:sz w:val="18"/>
          <w:szCs w:val="18"/>
          <w:color w:val="auto"/>
        </w:rPr>
        <w:t>. Pursuant to the terms of the Westlake Chemical Partners LP Long-Term Incentive Plan (the “</w:t>
      </w:r>
      <w:r>
        <w:rPr>
          <w:rFonts w:ascii="Arial" w:cs="Arial" w:eastAsia="Arial" w:hAnsi="Arial"/>
          <w:sz w:val="18"/>
          <w:szCs w:val="18"/>
          <w:u w:val="single" w:color="auto"/>
          <w:color w:val="auto"/>
        </w:rPr>
        <w:t>LTIP</w:t>
      </w:r>
      <w:r>
        <w:rPr>
          <w:rFonts w:ascii="Arial" w:cs="Arial" w:eastAsia="Arial" w:hAnsi="Arial"/>
          <w:sz w:val="18"/>
          <w:szCs w:val="18"/>
          <w:color w:val="auto"/>
        </w:rPr>
        <w:t>”) and the Phantom Unit Agreement dated the ____ day of __________, 20___, as amended (the “</w:t>
      </w:r>
      <w:r>
        <w:rPr>
          <w:rFonts w:ascii="Arial" w:cs="Arial" w:eastAsia="Arial" w:hAnsi="Arial"/>
          <w:sz w:val="18"/>
          <w:szCs w:val="18"/>
          <w:u w:val="single" w:color="auto"/>
          <w:color w:val="auto"/>
        </w:rPr>
        <w:t>Phantom Unit Agreement</w:t>
      </w:r>
      <w:r>
        <w:rPr>
          <w:rFonts w:ascii="Arial" w:cs="Arial" w:eastAsia="Arial" w:hAnsi="Arial"/>
          <w:sz w:val="18"/>
          <w:szCs w:val="18"/>
          <w:color w:val="auto"/>
        </w:rPr>
        <w:t>”), I hereby elect to receive common units (“</w:t>
      </w:r>
      <w:r>
        <w:rPr>
          <w:rFonts w:ascii="Arial" w:cs="Arial" w:eastAsia="Arial" w:hAnsi="Arial"/>
          <w:sz w:val="18"/>
          <w:szCs w:val="18"/>
          <w:u w:val="single" w:color="auto"/>
          <w:color w:val="auto"/>
        </w:rPr>
        <w:t>Units</w:t>
      </w:r>
      <w:r>
        <w:rPr>
          <w:rFonts w:ascii="Arial" w:cs="Arial" w:eastAsia="Arial" w:hAnsi="Arial"/>
          <w:sz w:val="18"/>
          <w:szCs w:val="18"/>
          <w:color w:val="auto"/>
        </w:rPr>
        <w:t>”) of Westlake Chemical Partners LP (the “</w:t>
      </w:r>
      <w:r>
        <w:rPr>
          <w:rFonts w:ascii="Arial" w:cs="Arial" w:eastAsia="Arial" w:hAnsi="Arial"/>
          <w:sz w:val="18"/>
          <w:szCs w:val="18"/>
          <w:u w:val="single" w:color="auto"/>
          <w:color w:val="auto"/>
        </w:rPr>
        <w:t>Partnership</w:t>
      </w:r>
      <w:r>
        <w:rPr>
          <w:rFonts w:ascii="Arial" w:cs="Arial" w:eastAsia="Arial" w:hAnsi="Arial"/>
          <w:sz w:val="18"/>
          <w:szCs w:val="18"/>
          <w:color w:val="auto"/>
        </w:rPr>
        <w:t>”) in lieu of cash in settlement of __25% __50% __75% __100% (</w:t>
      </w:r>
      <w:r>
        <w:rPr>
          <w:rFonts w:ascii="Arial" w:cs="Arial" w:eastAsia="Arial" w:hAnsi="Arial"/>
          <w:sz w:val="18"/>
          <w:szCs w:val="18"/>
          <w:i w:val="1"/>
          <w:iCs w:val="1"/>
          <w:color w:val="auto"/>
        </w:rPr>
        <w:t>check one</w:t>
      </w:r>
      <w:r>
        <w:rPr>
          <w:rFonts w:ascii="Arial" w:cs="Arial" w:eastAsia="Arial" w:hAnsi="Arial"/>
          <w:sz w:val="18"/>
          <w:szCs w:val="18"/>
          <w:color w:val="auto"/>
        </w:rPr>
        <w:t>) of the Phantom Units held by me that vest on the ____ day of __________, 20___ (the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656"/>
        <w:spacing w:after="0" w:line="246" w:lineRule="auto"/>
        <w:tabs>
          <w:tab w:leader="none" w:pos="995"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Number of Units to be Issued</w:t>
      </w:r>
      <w:r>
        <w:rPr>
          <w:rFonts w:ascii="Arial" w:cs="Arial" w:eastAsia="Arial" w:hAnsi="Arial"/>
          <w:sz w:val="20"/>
          <w:szCs w:val="20"/>
          <w:color w:val="auto"/>
        </w:rPr>
        <w:t>. I understand that the number of Units to be issued to me will be one Unit for each Phantom Unit that vests on the Vesting Date up to the percentage elected above, rounded to the nearest whole Unit. I acknowledge and agree that I will receive a cash payment equal to the value of any remaining Phantom Units, including fractional Phantom Units, in accordance with the terms of the LTIP and the Phantom Unit Agreement.</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089"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Type of Units to be Issued</w:t>
      </w:r>
      <w:r>
        <w:rPr>
          <w:rFonts w:ascii="Arial" w:cs="Arial" w:eastAsia="Arial" w:hAnsi="Arial"/>
          <w:sz w:val="19"/>
          <w:szCs w:val="19"/>
          <w:color w:val="auto"/>
        </w:rPr>
        <w:t>. I further understand that Units issued in settlement of the Phantom Units in accordance with this election will be fully vested and unrestricted Units issued pursuant to the LTIP. Notwithstanding anything in the preceding sentence to the contrary, I acknowledge and agree that if Units issuable to me cannot be delivered to me due to a Partnership blackout period, then such Units will be delivered to me on the first business day following the end of such blackout period.</w:t>
      </w:r>
    </w:p>
    <w:p>
      <w:pPr>
        <w:spacing w:after="0" w:line="176" w:lineRule="exact"/>
        <w:rPr>
          <w:rFonts w:ascii="Arial" w:cs="Arial" w:eastAsia="Arial" w:hAnsi="Arial"/>
          <w:sz w:val="19"/>
          <w:szCs w:val="19"/>
          <w:color w:val="auto"/>
        </w:rPr>
      </w:pPr>
    </w:p>
    <w:p>
      <w:pPr>
        <w:jc w:val="both"/>
        <w:ind w:firstLine="656"/>
        <w:spacing w:after="0" w:line="243" w:lineRule="auto"/>
        <w:tabs>
          <w:tab w:leader="none" w:pos="1035"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Timing and Effect of Election</w:t>
      </w:r>
      <w:r>
        <w:rPr>
          <w:rFonts w:ascii="Arial" w:cs="Arial" w:eastAsia="Arial" w:hAnsi="Arial"/>
          <w:sz w:val="20"/>
          <w:szCs w:val="20"/>
          <w:color w:val="auto"/>
        </w:rPr>
        <w:t xml:space="preserve">. I understand that this election will be effective with respect to the Phantom Units that vest on the Vesting Date so long as I submit this election </w:t>
      </w:r>
      <w:r>
        <w:rPr>
          <w:rFonts w:ascii="Arial" w:cs="Arial" w:eastAsia="Arial" w:hAnsi="Arial"/>
          <w:sz w:val="20"/>
          <w:szCs w:val="20"/>
          <w:b w:val="1"/>
          <w:bCs w:val="1"/>
          <w:color w:val="auto"/>
        </w:rPr>
        <w:t>within the period that begins 90 calendar days prior to the Vesting Date and ends 30</w:t>
      </w:r>
      <w:r>
        <w:rPr>
          <w:rFonts w:ascii="Arial" w:cs="Arial" w:eastAsia="Arial" w:hAnsi="Arial"/>
          <w:sz w:val="20"/>
          <w:szCs w:val="20"/>
          <w:color w:val="auto"/>
        </w:rPr>
        <w:t xml:space="preserve"> </w:t>
      </w:r>
      <w:r>
        <w:rPr>
          <w:rFonts w:ascii="Arial" w:cs="Arial" w:eastAsia="Arial" w:hAnsi="Arial"/>
          <w:sz w:val="20"/>
          <w:szCs w:val="20"/>
          <w:b w:val="1"/>
          <w:bCs w:val="1"/>
          <w:color w:val="auto"/>
        </w:rPr>
        <w:t>calendar days prior to the Vesting Date</w:t>
      </w:r>
      <w:r>
        <w:rPr>
          <w:rFonts w:ascii="Arial" w:cs="Arial" w:eastAsia="Arial" w:hAnsi="Arial"/>
          <w:sz w:val="20"/>
          <w:szCs w:val="20"/>
          <w:color w:val="auto"/>
        </w:rPr>
        <w:t>. I understand that, if I submit this election within period that begins 90 calendar days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Date and ends 30 calendar days prior to the Vesting Date, this election will become irrevocable on the date that is 30 calendar days prior to the Vesting Date and will apply with respect to the Phantom Units held by me that vest on the Vesting Date. I understand that this election applies only to the Phantom Units that vest on the Vesting Date and I must timely submit a new election form in respect of any Phantom Units that may vest in the future.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By signing below, I understand and agree to the election I have made above and acknowledge that I have received sufficient information to make an informed election. I hereby represent and warrant to Westlake Chemical Partners GP LLC that, as of the date on which I am making this election, I am not in possession of material non-public information regarding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530225</wp:posOffset>
            </wp:positionV>
            <wp:extent cx="1633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SignatureDate</w:t>
      </w:r>
    </w:p>
    <w:p>
      <w:pPr>
        <w:sectPr>
          <w:pgSz w:w="11900" w:h="16838" w:orient="portrait"/>
          <w:cols w:equalWidth="0" w:num="1">
            <w:col w:w="11420"/>
          </w:cols>
          <w:pgMar w:left="240" w:top="625" w:right="239" w:bottom="1440" w:gutter="0" w:footer="0" w:header="0"/>
        </w:sectPr>
      </w:pPr>
    </w:p>
    <w:bookmarkStart w:id="109" w:name="page110"/>
    <w:bookmarkEnd w:id="109"/>
    <w:tbl>
      <w:tblPr>
        <w:tblLayout w:type="fixed"/>
        <w:tblInd w:w="1300" w:type="dxa"/>
        <w:tblCellMar>
          <w:top w:w="0" w:type="dxa"/>
          <w:left w:w="0" w:type="dxa"/>
          <w:bottom w:w="0" w:type="dxa"/>
          <w:right w:w="0" w:type="dxa"/>
        </w:tblCellMar>
      </w:tblPr>
      <w:tr>
        <w:trPr>
          <w:trHeight w:val="310"/>
        </w:trPr>
        <w:tc>
          <w:tcPr>
            <w:tcW w:w="3000" w:type="dxa"/>
            <w:vAlign w:val="bottom"/>
            <w:gridSpan w:val="2"/>
          </w:tcPr>
          <w:p>
            <w:pPr>
              <w:spacing w:after="0"/>
              <w:rPr>
                <w:sz w:val="20"/>
                <w:szCs w:val="20"/>
                <w:color w:val="auto"/>
              </w:rPr>
            </w:pPr>
            <w:r>
              <w:rPr>
                <w:rFonts w:ascii="Arial" w:cs="Arial" w:eastAsia="Arial" w:hAnsi="Arial"/>
                <w:sz w:val="27"/>
                <w:szCs w:val="27"/>
                <w:b w:val="1"/>
                <w:bCs w:val="1"/>
                <w:color w:val="auto"/>
              </w:rPr>
              <w:t>WPT LLC</w:t>
            </w:r>
          </w:p>
        </w:tc>
        <w:tc>
          <w:tcPr>
            <w:tcW w:w="1660" w:type="dxa"/>
            <w:vAlign w:val="bottom"/>
          </w:tcPr>
          <w:p>
            <w:pPr>
              <w:ind w:left="200"/>
              <w:spacing w:after="0"/>
              <w:rPr>
                <w:sz w:val="20"/>
                <w:szCs w:val="20"/>
                <w:color w:val="auto"/>
              </w:rPr>
            </w:pPr>
            <w:r>
              <w:rPr>
                <w:rFonts w:ascii="Arial" w:cs="Arial" w:eastAsia="Arial" w:hAnsi="Arial"/>
                <w:sz w:val="22"/>
                <w:szCs w:val="22"/>
                <w:b w:val="1"/>
                <w:bCs w:val="1"/>
                <w:color w:val="auto"/>
                <w:w w:val="97"/>
              </w:rPr>
              <w:t>EXHIBIT 10.20</w:t>
            </w:r>
          </w:p>
        </w:tc>
      </w:tr>
      <w:tr>
        <w:trPr>
          <w:trHeight w:val="27"/>
        </w:trPr>
        <w:tc>
          <w:tcPr>
            <w:tcW w:w="124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391"/>
        </w:trPr>
        <w:tc>
          <w:tcPr>
            <w:tcW w:w="3000" w:type="dxa"/>
            <w:vAlign w:val="bottom"/>
            <w:gridSpan w:val="2"/>
          </w:tcPr>
          <w:p>
            <w:pPr>
              <w:spacing w:after="0"/>
              <w:rPr>
                <w:sz w:val="20"/>
                <w:szCs w:val="20"/>
                <w:color w:val="auto"/>
              </w:rPr>
            </w:pPr>
            <w:r>
              <w:rPr>
                <w:rFonts w:ascii="Arial" w:cs="Arial" w:eastAsia="Arial" w:hAnsi="Arial"/>
                <w:sz w:val="27"/>
                <w:szCs w:val="27"/>
                <w:b w:val="1"/>
                <w:bCs w:val="1"/>
                <w:color w:val="auto"/>
                <w:w w:val="99"/>
              </w:rPr>
              <w:t>(“Westlake” or “Party”)</w:t>
            </w:r>
          </w:p>
        </w:tc>
        <w:tc>
          <w:tcPr>
            <w:tcW w:w="1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EXCHANGE AGREEMENT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Counterparty: </w:t>
      </w:r>
      <w:r>
        <w:rPr>
          <w:rFonts w:ascii="Arial" w:cs="Arial" w:eastAsia="Arial" w:hAnsi="Arial"/>
          <w:sz w:val="18"/>
          <w:szCs w:val="18"/>
          <w:color w:val="auto"/>
        </w:rPr>
        <w:t>Westlake Chemical OpCo LP (hereinafter “Counterparty” or “Party”)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2801 Post Oak Blvd, Houston TX 77056</w:t>
      </w:r>
    </w:p>
    <w:p>
      <w:pPr>
        <w:spacing w:after="0" w:line="153" w:lineRule="exact"/>
        <w:rPr>
          <w:sz w:val="20"/>
          <w:szCs w:val="20"/>
          <w:color w:val="auto"/>
        </w:rPr>
      </w:pPr>
    </w:p>
    <w:p>
      <w:pPr>
        <w:jc w:val="both"/>
        <w:ind w:left="2520" w:right="20" w:hanging="2511"/>
        <w:spacing w:after="0" w:line="264" w:lineRule="auto"/>
        <w:tabs>
          <w:tab w:leader="none" w:pos="2500" w:val="left"/>
        </w:tabs>
        <w:rPr>
          <w:sz w:val="20"/>
          <w:szCs w:val="20"/>
          <w:color w:val="auto"/>
        </w:rPr>
      </w:pPr>
      <w:r>
        <w:rPr>
          <w:rFonts w:ascii="Arial" w:cs="Arial" w:eastAsia="Arial" w:hAnsi="Arial"/>
          <w:sz w:val="18"/>
          <w:szCs w:val="18"/>
          <w:b w:val="1"/>
          <w:bCs w:val="1"/>
          <w:color w:val="auto"/>
        </w:rPr>
        <w:t>Exchange Period/Term:</w:t>
      </w:r>
      <w:r>
        <w:rPr>
          <w:sz w:val="20"/>
          <w:szCs w:val="20"/>
          <w:color w:val="auto"/>
        </w:rPr>
        <w:tab/>
      </w:r>
      <w:r>
        <w:rPr>
          <w:rFonts w:ascii="Arial" w:cs="Arial" w:eastAsia="Arial" w:hAnsi="Arial"/>
          <w:sz w:val="18"/>
          <w:szCs w:val="18"/>
          <w:color w:val="auto"/>
        </w:rPr>
        <w:t>August 1, 2014 through August 1, 2015 and continuing year to year thereafter, unless otherwise terminated by either Party by giving written notice of termination to the other Party at least three (3) months in advance of the date of termination specified in such notice (“Term”).</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Westlake Delivers: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 w:type="dxa"/>
            <w:vAlign w:val="bottom"/>
            <w:tcBorders>
              <w:right w:val="single" w:sz="8" w:color="00000A"/>
            </w:tcBorders>
          </w:tcPr>
          <w:p>
            <w:pPr>
              <w:spacing w:after="0"/>
              <w:rPr>
                <w:sz w:val="22"/>
                <w:szCs w:val="22"/>
                <w:color w:val="auto"/>
              </w:rPr>
            </w:pPr>
          </w:p>
        </w:tc>
        <w:tc>
          <w:tcPr>
            <w:tcW w:w="2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Delivery Point(s)</w:t>
            </w:r>
          </w:p>
        </w:tc>
        <w:tc>
          <w:tcPr>
            <w:tcW w:w="12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Product</w:t>
            </w:r>
          </w:p>
        </w:tc>
        <w:tc>
          <w:tcPr>
            <w:tcW w:w="20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Quantity</w:t>
            </w:r>
          </w:p>
        </w:tc>
        <w:tc>
          <w:tcPr>
            <w:tcW w:w="1580" w:type="dxa"/>
            <w:vAlign w:val="bottom"/>
            <w:tcBorders>
              <w:top w:val="single" w:sz="8" w:color="00000A"/>
              <w:right w:val="single" w:sz="8" w:color="00000A"/>
            </w:tcBorders>
          </w:tcPr>
          <w:p>
            <w:pPr>
              <w:spacing w:after="0"/>
              <w:rPr>
                <w:sz w:val="22"/>
                <w:szCs w:val="22"/>
                <w:color w:val="auto"/>
              </w:rPr>
            </w:pPr>
          </w:p>
        </w:tc>
        <w:tc>
          <w:tcPr>
            <w:tcW w:w="3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Differential Fees Payable by Counterparty</w:t>
            </w:r>
          </w:p>
        </w:tc>
        <w:tc>
          <w:tcPr>
            <w:tcW w:w="0" w:type="dxa"/>
            <w:vAlign w:val="bottom"/>
          </w:tcPr>
          <w:p>
            <w:pPr>
              <w:spacing w:after="0"/>
              <w:rPr>
                <w:sz w:val="1"/>
                <w:szCs w:val="1"/>
                <w:color w:val="auto"/>
              </w:rPr>
            </w:pPr>
          </w:p>
        </w:tc>
      </w:tr>
      <w:tr>
        <w:trPr>
          <w:trHeight w:val="27"/>
        </w:trPr>
        <w:tc>
          <w:tcPr>
            <w:tcW w:w="10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36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0" w:type="dxa"/>
            <w:vAlign w:val="bottom"/>
            <w:tcBorders>
              <w:right w:val="single" w:sz="8" w:color="00000A"/>
            </w:tcBorders>
          </w:tcPr>
          <w:p>
            <w:pPr>
              <w:spacing w:after="0"/>
              <w:rPr>
                <w:sz w:val="18"/>
                <w:szCs w:val="18"/>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6"/>
              </w:rPr>
              <w:t>Williams Storage Hub in Mt Belvieu TX</w:t>
            </w: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9"/>
              </w:rPr>
              <w:t>Ethylene</w:t>
            </w:r>
          </w:p>
        </w:tc>
        <w:tc>
          <w:tcPr>
            <w:tcW w:w="20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4"/>
              </w:rPr>
              <w:t>Ratably, Up to 200 MM lbs.</w:t>
            </w:r>
          </w:p>
        </w:tc>
        <w:tc>
          <w:tcPr>
            <w:tcW w:w="1580" w:type="dxa"/>
            <w:vAlign w:val="bottom"/>
            <w:tcBorders>
              <w:right w:val="single" w:sz="8" w:color="00000A"/>
            </w:tcBorders>
          </w:tcPr>
          <w:p>
            <w:pPr>
              <w:spacing w:after="0"/>
              <w:rPr>
                <w:sz w:val="18"/>
                <w:szCs w:val="18"/>
                <w:color w:val="auto"/>
              </w:rPr>
            </w:pPr>
          </w:p>
        </w:tc>
        <w:tc>
          <w:tcPr>
            <w:tcW w:w="36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0.6 cents per pound, to be revised annually upon</w:t>
            </w:r>
          </w:p>
        </w:tc>
        <w:tc>
          <w:tcPr>
            <w:tcW w:w="0" w:type="dxa"/>
            <w:vAlign w:val="bottom"/>
          </w:tcPr>
          <w:p>
            <w:pPr>
              <w:spacing w:after="0"/>
              <w:rPr>
                <w:sz w:val="1"/>
                <w:szCs w:val="1"/>
                <w:color w:val="auto"/>
              </w:rPr>
            </w:pPr>
          </w:p>
        </w:tc>
      </w:tr>
      <w:tr>
        <w:trPr>
          <w:trHeight w:val="54"/>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1"/>
              </w:rPr>
              <w:t>per year, or mutually</w:t>
            </w: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0"/>
              </w:rPr>
              <w:t>mutual consent by the Parties; provided that the</w:t>
            </w:r>
          </w:p>
        </w:tc>
        <w:tc>
          <w:tcPr>
            <w:tcW w:w="0" w:type="dxa"/>
            <w:vAlign w:val="bottom"/>
          </w:tcPr>
          <w:p>
            <w:pPr>
              <w:spacing w:after="0"/>
              <w:rPr>
                <w:sz w:val="1"/>
                <w:szCs w:val="1"/>
                <w:color w:val="auto"/>
              </w:rPr>
            </w:pPr>
          </w:p>
        </w:tc>
      </w:tr>
      <w:tr>
        <w:trPr>
          <w:trHeight w:val="145"/>
        </w:trPr>
        <w:tc>
          <w:tcPr>
            <w:tcW w:w="100" w:type="dxa"/>
            <w:vAlign w:val="bottom"/>
            <w:tcBorders>
              <w:right w:val="single" w:sz="8" w:color="00000A"/>
            </w:tcBorders>
          </w:tcPr>
          <w:p>
            <w:pPr>
              <w:spacing w:after="0"/>
              <w:rPr>
                <w:sz w:val="12"/>
                <w:szCs w:val="12"/>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Or other mutually agreeable locations</w:t>
            </w: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9"/>
              </w:rPr>
              <w:t>(meeting</w:t>
            </w:r>
          </w:p>
        </w:tc>
        <w:tc>
          <w:tcPr>
            <w:tcW w:w="2040" w:type="dxa"/>
            <w:vAlign w:val="bottom"/>
            <w:tcBorders>
              <w:right w:val="single" w:sz="8" w:color="00000A"/>
            </w:tcBorders>
            <w:vMerge w:val="continue"/>
          </w:tcPr>
          <w:p>
            <w:pPr>
              <w:spacing w:after="0"/>
              <w:rPr>
                <w:sz w:val="12"/>
                <w:szCs w:val="12"/>
                <w:color w:val="auto"/>
              </w:rPr>
            </w:pPr>
          </w:p>
        </w:tc>
        <w:tc>
          <w:tcPr>
            <w:tcW w:w="1580" w:type="dxa"/>
            <w:vAlign w:val="bottom"/>
            <w:tcBorders>
              <w:right w:val="single" w:sz="8" w:color="00000A"/>
            </w:tcBorders>
          </w:tcPr>
          <w:p>
            <w:pPr>
              <w:spacing w:after="0"/>
              <w:rPr>
                <w:sz w:val="12"/>
                <w:szCs w:val="12"/>
                <w:color w:val="auto"/>
              </w:rPr>
            </w:pPr>
          </w:p>
        </w:tc>
        <w:tc>
          <w:tcPr>
            <w:tcW w:w="362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00000A"/>
            </w:tcBorders>
          </w:tcPr>
          <w:p>
            <w:pPr>
              <w:spacing w:after="0"/>
              <w:rPr>
                <w:sz w:val="9"/>
                <w:szCs w:val="9"/>
                <w:color w:val="auto"/>
              </w:rPr>
            </w:pPr>
          </w:p>
        </w:tc>
        <w:tc>
          <w:tcPr>
            <w:tcW w:w="2840" w:type="dxa"/>
            <w:vAlign w:val="bottom"/>
            <w:tcBorders>
              <w:right w:val="single" w:sz="8" w:color="00000A"/>
            </w:tcBorders>
            <w:vMerge w:val="continue"/>
          </w:tcPr>
          <w:p>
            <w:pPr>
              <w:spacing w:after="0"/>
              <w:rPr>
                <w:sz w:val="9"/>
                <w:szCs w:val="9"/>
                <w:color w:val="auto"/>
              </w:rPr>
            </w:pPr>
          </w:p>
        </w:tc>
        <w:tc>
          <w:tcPr>
            <w:tcW w:w="1260" w:type="dxa"/>
            <w:vAlign w:val="bottom"/>
            <w:tcBorders>
              <w:right w:val="single" w:sz="8" w:color="00000A"/>
            </w:tcBorders>
            <w:vMerge w:val="continue"/>
          </w:tcPr>
          <w:p>
            <w:pPr>
              <w:spacing w:after="0"/>
              <w:rPr>
                <w:sz w:val="9"/>
                <w:szCs w:val="9"/>
                <w:color w:val="auto"/>
              </w:rPr>
            </w:pPr>
          </w:p>
        </w:tc>
        <w:tc>
          <w:tcPr>
            <w:tcW w:w="20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7"/>
              </w:rPr>
              <w:t>agreeable</w:t>
            </w:r>
          </w:p>
        </w:tc>
        <w:tc>
          <w:tcPr>
            <w:tcW w:w="1580" w:type="dxa"/>
            <w:vAlign w:val="bottom"/>
            <w:tcBorders>
              <w:right w:val="single" w:sz="8" w:color="00000A"/>
            </w:tcBorders>
          </w:tcPr>
          <w:p>
            <w:pPr>
              <w:spacing w:after="0"/>
              <w:rPr>
                <w:sz w:val="9"/>
                <w:szCs w:val="9"/>
                <w:color w:val="auto"/>
              </w:rPr>
            </w:pPr>
          </w:p>
        </w:tc>
        <w:tc>
          <w:tcPr>
            <w:tcW w:w="36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1"/>
              </w:rPr>
              <w:t>Differential Fees shall never be lower than 0.6 cents</w:t>
            </w:r>
          </w:p>
        </w:tc>
        <w:tc>
          <w:tcPr>
            <w:tcW w:w="0" w:type="dxa"/>
            <w:vAlign w:val="bottom"/>
          </w:tcPr>
          <w:p>
            <w:pPr>
              <w:spacing w:after="0"/>
              <w:rPr>
                <w:sz w:val="1"/>
                <w:szCs w:val="1"/>
                <w:color w:val="auto"/>
              </w:rPr>
            </w:pPr>
          </w:p>
        </w:tc>
      </w:tr>
      <w:tr>
        <w:trPr>
          <w:trHeight w:val="95"/>
        </w:trPr>
        <w:tc>
          <w:tcPr>
            <w:tcW w:w="100" w:type="dxa"/>
            <w:vAlign w:val="bottom"/>
            <w:tcBorders>
              <w:right w:val="single" w:sz="8" w:color="00000A"/>
            </w:tcBorders>
          </w:tcPr>
          <w:p>
            <w:pPr>
              <w:spacing w:after="0"/>
              <w:rPr>
                <w:sz w:val="8"/>
                <w:szCs w:val="8"/>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5"/>
              </w:rPr>
              <w:t>from time to time</w:t>
            </w: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4"/>
              </w:rPr>
              <w:t>specifications of</w:t>
            </w:r>
          </w:p>
        </w:tc>
        <w:tc>
          <w:tcPr>
            <w:tcW w:w="2040" w:type="dxa"/>
            <w:vAlign w:val="bottom"/>
            <w:tcBorders>
              <w:right w:val="single" w:sz="8" w:color="00000A"/>
            </w:tcBorders>
            <w:vMerge w:val="continue"/>
          </w:tcPr>
          <w:p>
            <w:pPr>
              <w:spacing w:after="0"/>
              <w:rPr>
                <w:sz w:val="8"/>
                <w:szCs w:val="8"/>
                <w:color w:val="auto"/>
              </w:rPr>
            </w:pPr>
          </w:p>
        </w:tc>
        <w:tc>
          <w:tcPr>
            <w:tcW w:w="1580" w:type="dxa"/>
            <w:vAlign w:val="bottom"/>
            <w:tcBorders>
              <w:right w:val="single" w:sz="8" w:color="00000A"/>
            </w:tcBorders>
          </w:tcPr>
          <w:p>
            <w:pPr>
              <w:spacing w:after="0"/>
              <w:rPr>
                <w:sz w:val="8"/>
                <w:szCs w:val="8"/>
                <w:color w:val="auto"/>
              </w:rPr>
            </w:pPr>
          </w:p>
        </w:tc>
        <w:tc>
          <w:tcPr>
            <w:tcW w:w="362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00000A"/>
            </w:tcBorders>
          </w:tcPr>
          <w:p>
            <w:pPr>
              <w:spacing w:after="0"/>
              <w:rPr>
                <w:sz w:val="9"/>
                <w:szCs w:val="9"/>
                <w:color w:val="auto"/>
              </w:rPr>
            </w:pPr>
          </w:p>
        </w:tc>
        <w:tc>
          <w:tcPr>
            <w:tcW w:w="2840" w:type="dxa"/>
            <w:vAlign w:val="bottom"/>
            <w:tcBorders>
              <w:right w:val="single" w:sz="8" w:color="00000A"/>
            </w:tcBorders>
            <w:vMerge w:val="continue"/>
          </w:tcPr>
          <w:p>
            <w:pPr>
              <w:spacing w:after="0"/>
              <w:rPr>
                <w:sz w:val="9"/>
                <w:szCs w:val="9"/>
                <w:color w:val="auto"/>
              </w:rPr>
            </w:pPr>
          </w:p>
        </w:tc>
        <w:tc>
          <w:tcPr>
            <w:tcW w:w="1260" w:type="dxa"/>
            <w:vAlign w:val="bottom"/>
            <w:tcBorders>
              <w:right w:val="single" w:sz="8" w:color="00000A"/>
            </w:tcBorders>
            <w:vMerge w:val="continue"/>
          </w:tcPr>
          <w:p>
            <w:pPr>
              <w:spacing w:after="0"/>
              <w:rPr>
                <w:sz w:val="9"/>
                <w:szCs w:val="9"/>
                <w:color w:val="auto"/>
              </w:rPr>
            </w:pPr>
          </w:p>
        </w:tc>
        <w:tc>
          <w:tcPr>
            <w:tcW w:w="2040" w:type="dxa"/>
            <w:vAlign w:val="bottom"/>
            <w:tcBorders>
              <w:right w:val="single" w:sz="8" w:color="00000A"/>
            </w:tcBorders>
          </w:tcPr>
          <w:p>
            <w:pPr>
              <w:spacing w:after="0"/>
              <w:rPr>
                <w:sz w:val="9"/>
                <w:szCs w:val="9"/>
                <w:color w:val="auto"/>
              </w:rPr>
            </w:pPr>
          </w:p>
        </w:tc>
        <w:tc>
          <w:tcPr>
            <w:tcW w:w="1580" w:type="dxa"/>
            <w:vAlign w:val="bottom"/>
            <w:tcBorders>
              <w:right w:val="single" w:sz="8" w:color="00000A"/>
            </w:tcBorders>
          </w:tcPr>
          <w:p>
            <w:pPr>
              <w:spacing w:after="0"/>
              <w:rPr>
                <w:sz w:val="9"/>
                <w:szCs w:val="9"/>
                <w:color w:val="auto"/>
              </w:rPr>
            </w:pPr>
          </w:p>
        </w:tc>
        <w:tc>
          <w:tcPr>
            <w:tcW w:w="36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8"/>
              </w:rPr>
              <w:t>per pound.</w:t>
            </w:r>
          </w:p>
        </w:tc>
        <w:tc>
          <w:tcPr>
            <w:tcW w:w="0" w:type="dxa"/>
            <w:vAlign w:val="bottom"/>
          </w:tcPr>
          <w:p>
            <w:pPr>
              <w:spacing w:after="0"/>
              <w:rPr>
                <w:sz w:val="1"/>
                <w:szCs w:val="1"/>
                <w:color w:val="auto"/>
              </w:rPr>
            </w:pPr>
          </w:p>
        </w:tc>
      </w:tr>
      <w:tr>
        <w:trPr>
          <w:trHeight w:val="98"/>
        </w:trPr>
        <w:tc>
          <w:tcPr>
            <w:tcW w:w="100" w:type="dxa"/>
            <w:vAlign w:val="bottom"/>
            <w:tcBorders>
              <w:right w:val="single" w:sz="8" w:color="00000A"/>
            </w:tcBorders>
          </w:tcPr>
          <w:p>
            <w:pPr>
              <w:spacing w:after="0"/>
              <w:rPr>
                <w:sz w:val="8"/>
                <w:szCs w:val="8"/>
                <w:color w:val="auto"/>
              </w:rPr>
            </w:pPr>
          </w:p>
        </w:tc>
        <w:tc>
          <w:tcPr>
            <w:tcW w:w="2840" w:type="dxa"/>
            <w:vAlign w:val="bottom"/>
            <w:tcBorders>
              <w:right w:val="single" w:sz="8" w:color="00000A"/>
            </w:tcBorders>
          </w:tcPr>
          <w:p>
            <w:pPr>
              <w:spacing w:after="0"/>
              <w:rPr>
                <w:sz w:val="8"/>
                <w:szCs w:val="8"/>
                <w:color w:val="auto"/>
              </w:rPr>
            </w:pP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6"/>
              </w:rPr>
              <w:t>Delivery Points)</w:t>
            </w:r>
          </w:p>
        </w:tc>
        <w:tc>
          <w:tcPr>
            <w:tcW w:w="2040" w:type="dxa"/>
            <w:vAlign w:val="bottom"/>
            <w:tcBorders>
              <w:right w:val="single" w:sz="8" w:color="00000A"/>
            </w:tcBorders>
          </w:tcPr>
          <w:p>
            <w:pPr>
              <w:spacing w:after="0"/>
              <w:rPr>
                <w:sz w:val="8"/>
                <w:szCs w:val="8"/>
                <w:color w:val="auto"/>
              </w:rPr>
            </w:pPr>
          </w:p>
        </w:tc>
        <w:tc>
          <w:tcPr>
            <w:tcW w:w="1580" w:type="dxa"/>
            <w:vAlign w:val="bottom"/>
            <w:tcBorders>
              <w:right w:val="single" w:sz="8" w:color="00000A"/>
            </w:tcBorders>
          </w:tcPr>
          <w:p>
            <w:pPr>
              <w:spacing w:after="0"/>
              <w:rPr>
                <w:sz w:val="8"/>
                <w:szCs w:val="8"/>
                <w:color w:val="auto"/>
              </w:rPr>
            </w:pPr>
          </w:p>
        </w:tc>
        <w:tc>
          <w:tcPr>
            <w:tcW w:w="362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00000A"/>
            </w:tcBorders>
          </w:tcPr>
          <w:p>
            <w:pPr>
              <w:spacing w:after="0"/>
              <w:rPr>
                <w:sz w:val="9"/>
                <w:szCs w:val="9"/>
                <w:color w:val="auto"/>
              </w:rPr>
            </w:pPr>
          </w:p>
        </w:tc>
        <w:tc>
          <w:tcPr>
            <w:tcW w:w="2840" w:type="dxa"/>
            <w:vAlign w:val="bottom"/>
            <w:tcBorders>
              <w:right w:val="single" w:sz="8" w:color="00000A"/>
            </w:tcBorders>
          </w:tcPr>
          <w:p>
            <w:pPr>
              <w:spacing w:after="0"/>
              <w:rPr>
                <w:sz w:val="9"/>
                <w:szCs w:val="9"/>
                <w:color w:val="auto"/>
              </w:rPr>
            </w:pPr>
          </w:p>
        </w:tc>
        <w:tc>
          <w:tcPr>
            <w:tcW w:w="1260" w:type="dxa"/>
            <w:vAlign w:val="bottom"/>
            <w:tcBorders>
              <w:right w:val="single" w:sz="8" w:color="00000A"/>
            </w:tcBorders>
            <w:vMerge w:val="continue"/>
          </w:tcPr>
          <w:p>
            <w:pPr>
              <w:spacing w:after="0"/>
              <w:rPr>
                <w:sz w:val="9"/>
                <w:szCs w:val="9"/>
                <w:color w:val="auto"/>
              </w:rPr>
            </w:pPr>
          </w:p>
        </w:tc>
        <w:tc>
          <w:tcPr>
            <w:tcW w:w="2040" w:type="dxa"/>
            <w:vAlign w:val="bottom"/>
            <w:tcBorders>
              <w:right w:val="single" w:sz="8" w:color="00000A"/>
            </w:tcBorders>
          </w:tcPr>
          <w:p>
            <w:pPr>
              <w:spacing w:after="0"/>
              <w:rPr>
                <w:sz w:val="9"/>
                <w:szCs w:val="9"/>
                <w:color w:val="auto"/>
              </w:rPr>
            </w:pPr>
          </w:p>
        </w:tc>
        <w:tc>
          <w:tcPr>
            <w:tcW w:w="1580" w:type="dxa"/>
            <w:vAlign w:val="bottom"/>
            <w:tcBorders>
              <w:right w:val="single" w:sz="8" w:color="00000A"/>
            </w:tcBorders>
          </w:tcPr>
          <w:p>
            <w:pPr>
              <w:spacing w:after="0"/>
              <w:rPr>
                <w:sz w:val="9"/>
                <w:szCs w:val="9"/>
                <w:color w:val="auto"/>
              </w:rPr>
            </w:pPr>
          </w:p>
        </w:tc>
        <w:tc>
          <w:tcPr>
            <w:tcW w:w="362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36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Exchange Counterparty Delivers:</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840" w:type="dxa"/>
            <w:vAlign w:val="bottom"/>
            <w:tcBorders>
              <w:bottom w:val="single" w:sz="8" w:color="00000A"/>
            </w:tcBorders>
          </w:tcPr>
          <w:p>
            <w:pPr>
              <w:spacing w:after="0"/>
              <w:rPr>
                <w:sz w:val="22"/>
                <w:szCs w:val="22"/>
                <w:color w:val="auto"/>
              </w:rPr>
            </w:pPr>
          </w:p>
        </w:tc>
        <w:tc>
          <w:tcPr>
            <w:tcW w:w="1260" w:type="dxa"/>
            <w:vAlign w:val="bottom"/>
            <w:tcBorders>
              <w:bottom w:val="single" w:sz="8" w:color="00000A"/>
            </w:tcBorders>
          </w:tcPr>
          <w:p>
            <w:pPr>
              <w:spacing w:after="0"/>
              <w:rPr>
                <w:sz w:val="22"/>
                <w:szCs w:val="22"/>
                <w:color w:val="auto"/>
              </w:rPr>
            </w:pPr>
          </w:p>
        </w:tc>
        <w:tc>
          <w:tcPr>
            <w:tcW w:w="3620" w:type="dxa"/>
            <w:vAlign w:val="bottom"/>
            <w:tcBorders>
              <w:bottom w:val="single" w:sz="8" w:color="00000A"/>
            </w:tcBorders>
            <w:gridSpan w:val="2"/>
          </w:tcPr>
          <w:p>
            <w:pPr>
              <w:spacing w:after="0"/>
              <w:rPr>
                <w:sz w:val="22"/>
                <w:szCs w:val="22"/>
                <w:color w:val="auto"/>
              </w:rPr>
            </w:pPr>
          </w:p>
        </w:tc>
        <w:tc>
          <w:tcPr>
            <w:tcW w:w="3620" w:type="dxa"/>
            <w:vAlign w:val="bottom"/>
            <w:tcBorders>
              <w:bottom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Delivery Point(s)</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Product</w:t>
            </w:r>
          </w:p>
        </w:tc>
        <w:tc>
          <w:tcPr>
            <w:tcW w:w="20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Quantity</w:t>
            </w:r>
          </w:p>
        </w:tc>
        <w:tc>
          <w:tcPr>
            <w:tcW w:w="1580" w:type="dxa"/>
            <w:vAlign w:val="bottom"/>
            <w:tcBorders>
              <w:right w:val="single" w:sz="8" w:color="00000A"/>
            </w:tcBorders>
          </w:tcPr>
          <w:p>
            <w:pPr>
              <w:spacing w:after="0"/>
              <w:rPr>
                <w:sz w:val="20"/>
                <w:szCs w:val="20"/>
                <w:color w:val="auto"/>
              </w:rPr>
            </w:pPr>
          </w:p>
        </w:tc>
        <w:tc>
          <w:tcPr>
            <w:tcW w:w="3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Differential Fees Payable by Westlake</w:t>
            </w:r>
          </w:p>
        </w:tc>
        <w:tc>
          <w:tcPr>
            <w:tcW w:w="0" w:type="dxa"/>
            <w:vAlign w:val="bottom"/>
          </w:tcPr>
          <w:p>
            <w:pPr>
              <w:spacing w:after="0"/>
              <w:rPr>
                <w:sz w:val="1"/>
                <w:szCs w:val="1"/>
                <w:color w:val="auto"/>
              </w:rPr>
            </w:pPr>
          </w:p>
        </w:tc>
      </w:tr>
      <w:tr>
        <w:trPr>
          <w:trHeight w:val="27"/>
        </w:trPr>
        <w:tc>
          <w:tcPr>
            <w:tcW w:w="10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36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0" w:type="dxa"/>
            <w:vAlign w:val="bottom"/>
            <w:tcBorders>
              <w:right w:val="single" w:sz="8" w:color="00000A"/>
            </w:tcBorders>
          </w:tcPr>
          <w:p>
            <w:pPr>
              <w:spacing w:after="0"/>
              <w:rPr>
                <w:sz w:val="18"/>
                <w:szCs w:val="18"/>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The applicable Delivery Points as set forth</w:t>
            </w: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9"/>
              </w:rPr>
              <w:t>Ethylene</w:t>
            </w:r>
          </w:p>
        </w:tc>
        <w:tc>
          <w:tcPr>
            <w:tcW w:w="20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4"/>
              </w:rPr>
              <w:t>Ratably, Up to 200 MM lbs.</w:t>
            </w:r>
          </w:p>
        </w:tc>
        <w:tc>
          <w:tcPr>
            <w:tcW w:w="1580" w:type="dxa"/>
            <w:vAlign w:val="bottom"/>
            <w:tcBorders>
              <w:right w:val="single" w:sz="8" w:color="00000A"/>
            </w:tcBorders>
          </w:tcPr>
          <w:p>
            <w:pPr>
              <w:spacing w:after="0"/>
              <w:rPr>
                <w:sz w:val="18"/>
                <w:szCs w:val="18"/>
                <w:color w:val="auto"/>
              </w:rPr>
            </w:pPr>
          </w:p>
        </w:tc>
        <w:tc>
          <w:tcPr>
            <w:tcW w:w="36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none</w:t>
            </w:r>
          </w:p>
        </w:tc>
        <w:tc>
          <w:tcPr>
            <w:tcW w:w="0" w:type="dxa"/>
            <w:vAlign w:val="bottom"/>
          </w:tcPr>
          <w:p>
            <w:pPr>
              <w:spacing w:after="0"/>
              <w:rPr>
                <w:sz w:val="1"/>
                <w:szCs w:val="1"/>
                <w:color w:val="auto"/>
              </w:rPr>
            </w:pPr>
          </w:p>
        </w:tc>
      </w:tr>
      <w:tr>
        <w:trPr>
          <w:trHeight w:val="50"/>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1"/>
              </w:rPr>
              <w:t>per year, or mutually</w:t>
            </w: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 w:type="dxa"/>
            <w:vAlign w:val="bottom"/>
            <w:tcBorders>
              <w:right w:val="single" w:sz="8" w:color="00000A"/>
            </w:tcBorders>
          </w:tcPr>
          <w:p>
            <w:pPr>
              <w:spacing w:after="0"/>
              <w:rPr>
                <w:sz w:val="13"/>
                <w:szCs w:val="13"/>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0"/>
              </w:rPr>
              <w:t>in that certain ethylene sales agreement</w:t>
            </w: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9"/>
              </w:rPr>
              <w:t>(meeting</w:t>
            </w:r>
          </w:p>
        </w:tc>
        <w:tc>
          <w:tcPr>
            <w:tcW w:w="2040" w:type="dxa"/>
            <w:vAlign w:val="bottom"/>
            <w:tcBorders>
              <w:right w:val="single" w:sz="8" w:color="00000A"/>
            </w:tcBorders>
            <w:vMerge w:val="continue"/>
          </w:tcPr>
          <w:p>
            <w:pPr>
              <w:spacing w:after="0"/>
              <w:rPr>
                <w:sz w:val="13"/>
                <w:szCs w:val="13"/>
                <w:color w:val="auto"/>
              </w:rPr>
            </w:pPr>
          </w:p>
        </w:tc>
        <w:tc>
          <w:tcPr>
            <w:tcW w:w="1580" w:type="dxa"/>
            <w:vAlign w:val="bottom"/>
            <w:tcBorders>
              <w:right w:val="single" w:sz="8" w:color="00000A"/>
            </w:tcBorders>
          </w:tcPr>
          <w:p>
            <w:pPr>
              <w:spacing w:after="0"/>
              <w:rPr>
                <w:sz w:val="13"/>
                <w:szCs w:val="13"/>
                <w:color w:val="auto"/>
              </w:rPr>
            </w:pPr>
          </w:p>
        </w:tc>
        <w:tc>
          <w:tcPr>
            <w:tcW w:w="362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7"/>
              </w:rPr>
              <w:t>agreeable</w:t>
            </w: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0"/>
              </w:rPr>
              <w:t>among Westlake, Counterparty and</w:t>
            </w: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vMerge w:val="continue"/>
          </w:tcPr>
          <w:p>
            <w:pPr>
              <w:spacing w:after="0"/>
              <w:rPr>
                <w:sz w:val="4"/>
                <w:szCs w:val="4"/>
                <w:color w:val="auto"/>
              </w:rPr>
            </w:pP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100" w:type="dxa"/>
            <w:vAlign w:val="bottom"/>
            <w:tcBorders>
              <w:right w:val="single" w:sz="8" w:color="00000A"/>
            </w:tcBorders>
          </w:tcPr>
          <w:p>
            <w:pPr>
              <w:spacing w:after="0"/>
              <w:rPr>
                <w:sz w:val="9"/>
                <w:szCs w:val="9"/>
                <w:color w:val="auto"/>
              </w:rPr>
            </w:pPr>
          </w:p>
        </w:tc>
        <w:tc>
          <w:tcPr>
            <w:tcW w:w="2840" w:type="dxa"/>
            <w:vAlign w:val="bottom"/>
            <w:tcBorders>
              <w:right w:val="single" w:sz="8" w:color="00000A"/>
            </w:tcBorders>
            <w:vMerge w:val="continue"/>
          </w:tcPr>
          <w:p>
            <w:pPr>
              <w:spacing w:after="0"/>
              <w:rPr>
                <w:sz w:val="9"/>
                <w:szCs w:val="9"/>
                <w:color w:val="auto"/>
              </w:rPr>
            </w:pP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specifications in</w:t>
            </w:r>
          </w:p>
        </w:tc>
        <w:tc>
          <w:tcPr>
            <w:tcW w:w="2040" w:type="dxa"/>
            <w:vAlign w:val="bottom"/>
            <w:tcBorders>
              <w:right w:val="single" w:sz="8" w:color="00000A"/>
            </w:tcBorders>
            <w:vMerge w:val="continue"/>
          </w:tcPr>
          <w:p>
            <w:pPr>
              <w:spacing w:after="0"/>
              <w:rPr>
                <w:sz w:val="9"/>
                <w:szCs w:val="9"/>
                <w:color w:val="auto"/>
              </w:rPr>
            </w:pPr>
          </w:p>
        </w:tc>
        <w:tc>
          <w:tcPr>
            <w:tcW w:w="1580" w:type="dxa"/>
            <w:vAlign w:val="bottom"/>
            <w:tcBorders>
              <w:right w:val="single" w:sz="8" w:color="00000A"/>
            </w:tcBorders>
          </w:tcPr>
          <w:p>
            <w:pPr>
              <w:spacing w:after="0"/>
              <w:rPr>
                <w:sz w:val="9"/>
                <w:szCs w:val="9"/>
                <w:color w:val="auto"/>
              </w:rPr>
            </w:pPr>
          </w:p>
        </w:tc>
        <w:tc>
          <w:tcPr>
            <w:tcW w:w="362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tcPr>
          <w:p>
            <w:pPr>
              <w:spacing w:after="0"/>
              <w:rPr>
                <w:sz w:val="4"/>
                <w:szCs w:val="4"/>
                <w:color w:val="auto"/>
              </w:rPr>
            </w:pP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several other affiliates of Westlake (the</w:t>
            </w: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tcPr>
          <w:p>
            <w:pPr>
              <w:spacing w:after="0"/>
              <w:rPr>
                <w:sz w:val="4"/>
                <w:szCs w:val="4"/>
                <w:color w:val="auto"/>
              </w:rPr>
            </w:pP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00" w:type="dxa"/>
            <w:vAlign w:val="bottom"/>
            <w:tcBorders>
              <w:right w:val="single" w:sz="8" w:color="00000A"/>
            </w:tcBorders>
          </w:tcPr>
          <w:p>
            <w:pPr>
              <w:spacing w:after="0"/>
              <w:rPr>
                <w:sz w:val="13"/>
                <w:szCs w:val="13"/>
                <w:color w:val="auto"/>
              </w:rPr>
            </w:pPr>
          </w:p>
        </w:tc>
        <w:tc>
          <w:tcPr>
            <w:tcW w:w="2840" w:type="dxa"/>
            <w:vAlign w:val="bottom"/>
            <w:tcBorders>
              <w:right w:val="single" w:sz="8" w:color="00000A"/>
            </w:tcBorders>
            <w:vMerge w:val="continue"/>
          </w:tcPr>
          <w:p>
            <w:pPr>
              <w:spacing w:after="0"/>
              <w:rPr>
                <w:sz w:val="13"/>
                <w:szCs w:val="13"/>
                <w:color w:val="auto"/>
              </w:rPr>
            </w:pP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89"/>
              </w:rPr>
              <w:t>the Ethylene</w:t>
            </w:r>
          </w:p>
        </w:tc>
        <w:tc>
          <w:tcPr>
            <w:tcW w:w="2040" w:type="dxa"/>
            <w:vAlign w:val="bottom"/>
            <w:tcBorders>
              <w:right w:val="single" w:sz="8" w:color="00000A"/>
            </w:tcBorders>
          </w:tcPr>
          <w:p>
            <w:pPr>
              <w:spacing w:after="0"/>
              <w:rPr>
                <w:sz w:val="13"/>
                <w:szCs w:val="13"/>
                <w:color w:val="auto"/>
              </w:rPr>
            </w:pPr>
          </w:p>
        </w:tc>
        <w:tc>
          <w:tcPr>
            <w:tcW w:w="1580" w:type="dxa"/>
            <w:vAlign w:val="bottom"/>
            <w:tcBorders>
              <w:right w:val="single" w:sz="8" w:color="00000A"/>
            </w:tcBorders>
          </w:tcPr>
          <w:p>
            <w:pPr>
              <w:spacing w:after="0"/>
              <w:rPr>
                <w:sz w:val="13"/>
                <w:szCs w:val="13"/>
                <w:color w:val="auto"/>
              </w:rPr>
            </w:pPr>
          </w:p>
        </w:tc>
        <w:tc>
          <w:tcPr>
            <w:tcW w:w="362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00" w:type="dxa"/>
            <w:vAlign w:val="bottom"/>
            <w:tcBorders>
              <w:right w:val="single" w:sz="8" w:color="00000A"/>
            </w:tcBorders>
          </w:tcPr>
          <w:p>
            <w:pPr>
              <w:spacing w:after="0"/>
              <w:rPr>
                <w:sz w:val="3"/>
                <w:szCs w:val="3"/>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3"/>
              </w:rPr>
              <w:t>“Ethylene Sales Agreement”)</w:t>
            </w:r>
          </w:p>
        </w:tc>
        <w:tc>
          <w:tcPr>
            <w:tcW w:w="1260" w:type="dxa"/>
            <w:vAlign w:val="bottom"/>
            <w:tcBorders>
              <w:right w:val="single" w:sz="8" w:color="00000A"/>
            </w:tcBorders>
            <w:vMerge w:val="continue"/>
          </w:tcPr>
          <w:p>
            <w:pPr>
              <w:spacing w:after="0"/>
              <w:rPr>
                <w:sz w:val="3"/>
                <w:szCs w:val="3"/>
                <w:color w:val="auto"/>
              </w:rPr>
            </w:pPr>
          </w:p>
        </w:tc>
        <w:tc>
          <w:tcPr>
            <w:tcW w:w="2040" w:type="dxa"/>
            <w:vAlign w:val="bottom"/>
            <w:tcBorders>
              <w:right w:val="single" w:sz="8" w:color="00000A"/>
            </w:tcBorders>
          </w:tcPr>
          <w:p>
            <w:pPr>
              <w:spacing w:after="0"/>
              <w:rPr>
                <w:sz w:val="3"/>
                <w:szCs w:val="3"/>
                <w:color w:val="auto"/>
              </w:rPr>
            </w:pPr>
          </w:p>
        </w:tc>
        <w:tc>
          <w:tcPr>
            <w:tcW w:w="1580" w:type="dxa"/>
            <w:vAlign w:val="bottom"/>
            <w:tcBorders>
              <w:right w:val="single" w:sz="8" w:color="00000A"/>
            </w:tcBorders>
          </w:tcPr>
          <w:p>
            <w:pPr>
              <w:spacing w:after="0"/>
              <w:rPr>
                <w:sz w:val="3"/>
                <w:szCs w:val="3"/>
                <w:color w:val="auto"/>
              </w:rPr>
            </w:pPr>
          </w:p>
        </w:tc>
        <w:tc>
          <w:tcPr>
            <w:tcW w:w="3620" w:type="dxa"/>
            <w:vAlign w:val="bottom"/>
            <w:tcBorders>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00" w:type="dxa"/>
            <w:vAlign w:val="bottom"/>
            <w:tcBorders>
              <w:right w:val="single" w:sz="8" w:color="00000A"/>
            </w:tcBorders>
          </w:tcPr>
          <w:p>
            <w:pPr>
              <w:spacing w:after="0"/>
              <w:rPr>
                <w:sz w:val="13"/>
                <w:szCs w:val="13"/>
                <w:color w:val="auto"/>
              </w:rPr>
            </w:pPr>
          </w:p>
        </w:tc>
        <w:tc>
          <w:tcPr>
            <w:tcW w:w="2840" w:type="dxa"/>
            <w:vAlign w:val="bottom"/>
            <w:tcBorders>
              <w:right w:val="single" w:sz="8" w:color="00000A"/>
            </w:tcBorders>
            <w:vMerge w:val="continue"/>
          </w:tcPr>
          <w:p>
            <w:pPr>
              <w:spacing w:after="0"/>
              <w:rPr>
                <w:sz w:val="13"/>
                <w:szCs w:val="13"/>
                <w:color w:val="auto"/>
              </w:rPr>
            </w:pP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0"/>
              </w:rPr>
              <w:t>Sales Agreement)</w:t>
            </w:r>
          </w:p>
        </w:tc>
        <w:tc>
          <w:tcPr>
            <w:tcW w:w="2040" w:type="dxa"/>
            <w:vAlign w:val="bottom"/>
            <w:tcBorders>
              <w:right w:val="single" w:sz="8" w:color="00000A"/>
            </w:tcBorders>
          </w:tcPr>
          <w:p>
            <w:pPr>
              <w:spacing w:after="0"/>
              <w:rPr>
                <w:sz w:val="13"/>
                <w:szCs w:val="13"/>
                <w:color w:val="auto"/>
              </w:rPr>
            </w:pPr>
          </w:p>
        </w:tc>
        <w:tc>
          <w:tcPr>
            <w:tcW w:w="1580" w:type="dxa"/>
            <w:vAlign w:val="bottom"/>
            <w:tcBorders>
              <w:right w:val="single" w:sz="8" w:color="00000A"/>
            </w:tcBorders>
          </w:tcPr>
          <w:p>
            <w:pPr>
              <w:spacing w:after="0"/>
              <w:rPr>
                <w:sz w:val="13"/>
                <w:szCs w:val="13"/>
                <w:color w:val="auto"/>
              </w:rPr>
            </w:pPr>
          </w:p>
        </w:tc>
        <w:tc>
          <w:tcPr>
            <w:tcW w:w="3620" w:type="dxa"/>
            <w:vAlign w:val="bottom"/>
            <w:tcBorders>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0" w:type="dxa"/>
            <w:vAlign w:val="bottom"/>
            <w:tcBorders>
              <w:right w:val="single" w:sz="8" w:color="00000A"/>
            </w:tcBorders>
          </w:tcPr>
          <w:p>
            <w:pPr>
              <w:spacing w:after="0"/>
              <w:rPr>
                <w:sz w:val="4"/>
                <w:szCs w:val="4"/>
                <w:color w:val="auto"/>
              </w:rPr>
            </w:pPr>
          </w:p>
        </w:tc>
        <w:tc>
          <w:tcPr>
            <w:tcW w:w="28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6"/>
                <w:szCs w:val="16"/>
                <w:color w:val="auto"/>
                <w:w w:val="92"/>
              </w:rPr>
              <w:t>Or other mutually agreeable locations</w:t>
            </w:r>
          </w:p>
        </w:tc>
        <w:tc>
          <w:tcPr>
            <w:tcW w:w="1260" w:type="dxa"/>
            <w:vAlign w:val="bottom"/>
            <w:tcBorders>
              <w:right w:val="single" w:sz="8" w:color="00000A"/>
            </w:tcBorders>
            <w:vMerge w:val="continue"/>
          </w:tcPr>
          <w:p>
            <w:pPr>
              <w:spacing w:after="0"/>
              <w:rPr>
                <w:sz w:val="4"/>
                <w:szCs w:val="4"/>
                <w:color w:val="auto"/>
              </w:rPr>
            </w:pPr>
          </w:p>
        </w:tc>
        <w:tc>
          <w:tcPr>
            <w:tcW w:w="2040" w:type="dxa"/>
            <w:vAlign w:val="bottom"/>
            <w:tcBorders>
              <w:right w:val="single" w:sz="8" w:color="00000A"/>
            </w:tcBorders>
          </w:tcPr>
          <w:p>
            <w:pPr>
              <w:spacing w:after="0"/>
              <w:rPr>
                <w:sz w:val="4"/>
                <w:szCs w:val="4"/>
                <w:color w:val="auto"/>
              </w:rPr>
            </w:pPr>
          </w:p>
        </w:tc>
        <w:tc>
          <w:tcPr>
            <w:tcW w:w="1580" w:type="dxa"/>
            <w:vAlign w:val="bottom"/>
            <w:tcBorders>
              <w:right w:val="single" w:sz="8" w:color="00000A"/>
            </w:tcBorders>
          </w:tcPr>
          <w:p>
            <w:pPr>
              <w:spacing w:after="0"/>
              <w:rPr>
                <w:sz w:val="4"/>
                <w:szCs w:val="4"/>
                <w:color w:val="auto"/>
              </w:rPr>
            </w:pPr>
          </w:p>
        </w:tc>
        <w:tc>
          <w:tcPr>
            <w:tcW w:w="36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0" w:type="dxa"/>
            <w:vAlign w:val="bottom"/>
            <w:tcBorders>
              <w:right w:val="single" w:sz="8" w:color="00000A"/>
            </w:tcBorders>
          </w:tcPr>
          <w:p>
            <w:pPr>
              <w:spacing w:after="0"/>
              <w:rPr>
                <w:sz w:val="17"/>
                <w:szCs w:val="17"/>
                <w:color w:val="auto"/>
              </w:rPr>
            </w:pPr>
          </w:p>
        </w:tc>
        <w:tc>
          <w:tcPr>
            <w:tcW w:w="2840" w:type="dxa"/>
            <w:vAlign w:val="bottom"/>
            <w:tcBorders>
              <w:right w:val="single" w:sz="8" w:color="00000A"/>
            </w:tcBorders>
            <w:vMerge w:val="continue"/>
          </w:tcPr>
          <w:p>
            <w:pPr>
              <w:spacing w:after="0"/>
              <w:rPr>
                <w:sz w:val="17"/>
                <w:szCs w:val="17"/>
                <w:color w:val="auto"/>
              </w:rPr>
            </w:pPr>
          </w:p>
        </w:tc>
        <w:tc>
          <w:tcPr>
            <w:tcW w:w="1260" w:type="dxa"/>
            <w:vAlign w:val="bottom"/>
            <w:tcBorders>
              <w:right w:val="single" w:sz="8" w:color="00000A"/>
            </w:tcBorders>
          </w:tcPr>
          <w:p>
            <w:pPr>
              <w:spacing w:after="0"/>
              <w:rPr>
                <w:sz w:val="17"/>
                <w:szCs w:val="17"/>
                <w:color w:val="auto"/>
              </w:rPr>
            </w:pPr>
          </w:p>
        </w:tc>
        <w:tc>
          <w:tcPr>
            <w:tcW w:w="2040" w:type="dxa"/>
            <w:vAlign w:val="bottom"/>
            <w:tcBorders>
              <w:right w:val="single" w:sz="8" w:color="00000A"/>
            </w:tcBorders>
          </w:tcPr>
          <w:p>
            <w:pPr>
              <w:spacing w:after="0"/>
              <w:rPr>
                <w:sz w:val="17"/>
                <w:szCs w:val="17"/>
                <w:color w:val="auto"/>
              </w:rPr>
            </w:pPr>
          </w:p>
        </w:tc>
        <w:tc>
          <w:tcPr>
            <w:tcW w:w="1580" w:type="dxa"/>
            <w:vAlign w:val="bottom"/>
            <w:tcBorders>
              <w:right w:val="single" w:sz="8" w:color="00000A"/>
            </w:tcBorders>
          </w:tcPr>
          <w:p>
            <w:pPr>
              <w:spacing w:after="0"/>
              <w:rPr>
                <w:sz w:val="17"/>
                <w:szCs w:val="17"/>
                <w:color w:val="auto"/>
              </w:rPr>
            </w:pPr>
          </w:p>
        </w:tc>
        <w:tc>
          <w:tcPr>
            <w:tcW w:w="36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 w:type="dxa"/>
            <w:vAlign w:val="bottom"/>
            <w:tcBorders>
              <w:right w:val="single" w:sz="8" w:color="00000A"/>
            </w:tcBorders>
          </w:tcPr>
          <w:p>
            <w:pPr>
              <w:spacing w:after="0"/>
              <w:rPr>
                <w:sz w:val="17"/>
                <w:szCs w:val="17"/>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5"/>
              </w:rPr>
              <w:t>from time to time</w:t>
            </w:r>
          </w:p>
        </w:tc>
        <w:tc>
          <w:tcPr>
            <w:tcW w:w="1260" w:type="dxa"/>
            <w:vAlign w:val="bottom"/>
            <w:tcBorders>
              <w:right w:val="single" w:sz="8" w:color="00000A"/>
            </w:tcBorders>
          </w:tcPr>
          <w:p>
            <w:pPr>
              <w:spacing w:after="0"/>
              <w:rPr>
                <w:sz w:val="17"/>
                <w:szCs w:val="17"/>
                <w:color w:val="auto"/>
              </w:rPr>
            </w:pPr>
          </w:p>
        </w:tc>
        <w:tc>
          <w:tcPr>
            <w:tcW w:w="2040" w:type="dxa"/>
            <w:vAlign w:val="bottom"/>
            <w:tcBorders>
              <w:right w:val="single" w:sz="8" w:color="00000A"/>
            </w:tcBorders>
          </w:tcPr>
          <w:p>
            <w:pPr>
              <w:spacing w:after="0"/>
              <w:rPr>
                <w:sz w:val="17"/>
                <w:szCs w:val="17"/>
                <w:color w:val="auto"/>
              </w:rPr>
            </w:pPr>
          </w:p>
        </w:tc>
        <w:tc>
          <w:tcPr>
            <w:tcW w:w="1580" w:type="dxa"/>
            <w:vAlign w:val="bottom"/>
            <w:tcBorders>
              <w:right w:val="single" w:sz="8" w:color="00000A"/>
            </w:tcBorders>
          </w:tcPr>
          <w:p>
            <w:pPr>
              <w:spacing w:after="0"/>
              <w:rPr>
                <w:sz w:val="17"/>
                <w:szCs w:val="17"/>
                <w:color w:val="auto"/>
              </w:rPr>
            </w:pPr>
          </w:p>
        </w:tc>
        <w:tc>
          <w:tcPr>
            <w:tcW w:w="36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36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2600" w:right="40" w:hanging="2592"/>
        <w:spacing w:after="0" w:line="286" w:lineRule="auto"/>
        <w:tabs>
          <w:tab w:leader="none" w:pos="2580" w:val="left"/>
        </w:tabs>
        <w:rPr>
          <w:sz w:val="20"/>
          <w:szCs w:val="20"/>
          <w:color w:val="auto"/>
        </w:rPr>
      </w:pPr>
      <w:r>
        <w:rPr>
          <w:rFonts w:ascii="Arial" w:cs="Arial" w:eastAsia="Arial" w:hAnsi="Arial"/>
          <w:sz w:val="18"/>
          <w:szCs w:val="18"/>
          <w:b w:val="1"/>
          <w:bCs w:val="1"/>
          <w:color w:val="auto"/>
        </w:rPr>
        <w:t>Special Provisions:</w:t>
      </w:r>
      <w:r>
        <w:rPr>
          <w:sz w:val="20"/>
          <w:szCs w:val="20"/>
          <w:color w:val="auto"/>
        </w:rPr>
        <w:tab/>
      </w:r>
      <w:r>
        <w:rPr>
          <w:rFonts w:ascii="Arial" w:cs="Arial" w:eastAsia="Arial" w:hAnsi="Arial"/>
          <w:sz w:val="17"/>
          <w:szCs w:val="17"/>
          <w:color w:val="auto"/>
        </w:rPr>
        <w:t>(1) Not less than five (5) days prior to the beginning of each month, Counterparty shall nominate Westlake of the quantity of Product to be exchanged that Westlake shall deliver during such month to Counterparty at the applicable Delivery Point(s). Westlake shall accept all such nominations pursuant to the terms and conditions of this Agreement.</w:t>
      </w:r>
    </w:p>
    <w:p>
      <w:pPr>
        <w:spacing w:after="0" w:line="170" w:lineRule="exact"/>
        <w:rPr>
          <w:sz w:val="20"/>
          <w:szCs w:val="20"/>
          <w:color w:val="auto"/>
        </w:rPr>
      </w:pPr>
    </w:p>
    <w:p>
      <w:pPr>
        <w:jc w:val="both"/>
        <w:ind w:left="2600" w:right="20" w:firstLine="1"/>
        <w:spacing w:after="0" w:line="290" w:lineRule="auto"/>
        <w:tabs>
          <w:tab w:leader="none" w:pos="28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IMBALANCE on exchange in any given month will not exceed 1 million pounds unless otherwise agreed upon by the Parties or as set forth below. Any IMBALANCE at the end of the Term (including any non-delivery of agreed-upon exchange) will be settled by invoice at a price equal to the weighted average ethylene spot price for Mt. Belvieu as reported by IHS for the months the imbalance has been in place, unless otherwise agreed. For the avoidance of doubt, (X) a complete failure to conduct any delivery or (Y) a delivery of insufficient quantity in excess of 1 million pounds in each exchange, in either case following mutual agreement on quantity as set forth in (1) above shall also constitute an IMBALANCE to be settled at the end of the Term, unless the Party failing to deliver any such quantity has earlier remedied such failure pursuant to “Limitations of Claims” as set forth in the </w:t>
      </w:r>
      <w:r>
        <w:rPr>
          <w:rFonts w:ascii="Arial" w:cs="Arial" w:eastAsia="Arial" w:hAnsi="Arial"/>
          <w:sz w:val="16"/>
          <w:szCs w:val="16"/>
          <w:i w:val="1"/>
          <w:iCs w:val="1"/>
          <w:color w:val="auto"/>
        </w:rPr>
        <w:t>General Terms and Conditions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920" w:right="20" w:hanging="2916"/>
        <w:spacing w:after="0" w:line="277" w:lineRule="auto"/>
        <w:tabs>
          <w:tab w:leader="none" w:pos="2900" w:val="left"/>
        </w:tabs>
        <w:rPr>
          <w:sz w:val="20"/>
          <w:szCs w:val="20"/>
          <w:color w:val="auto"/>
        </w:rPr>
      </w:pPr>
      <w:r>
        <w:rPr>
          <w:rFonts w:ascii="Arial" w:cs="Arial" w:eastAsia="Arial" w:hAnsi="Arial"/>
          <w:sz w:val="18"/>
          <w:szCs w:val="18"/>
          <w:b w:val="1"/>
          <w:bCs w:val="1"/>
          <w:color w:val="auto"/>
        </w:rPr>
        <w:t>Other Terms and Conditions:</w:t>
      </w:r>
      <w:r>
        <w:rPr>
          <w:sz w:val="20"/>
          <w:szCs w:val="20"/>
          <w:color w:val="auto"/>
        </w:rPr>
        <w:tab/>
      </w:r>
      <w:r>
        <w:rPr>
          <w:rFonts w:ascii="Arial" w:cs="Arial" w:eastAsia="Arial" w:hAnsi="Arial"/>
          <w:sz w:val="18"/>
          <w:szCs w:val="18"/>
          <w:color w:val="auto"/>
        </w:rPr>
        <w:t xml:space="preserve">Additional terms and conditions will apply per attached </w:t>
      </w:r>
      <w:r>
        <w:rPr>
          <w:rFonts w:ascii="Arial" w:cs="Arial" w:eastAsia="Arial" w:hAnsi="Arial"/>
          <w:sz w:val="18"/>
          <w:szCs w:val="18"/>
          <w:i w:val="1"/>
          <w:iCs w:val="1"/>
          <w:color w:val="auto"/>
        </w:rPr>
        <w:t>General Terms and Conditions</w:t>
      </w:r>
      <w:r>
        <w:rPr>
          <w:rFonts w:ascii="Arial" w:cs="Arial" w:eastAsia="Arial" w:hAnsi="Arial"/>
          <w:sz w:val="18"/>
          <w:szCs w:val="18"/>
          <w:color w:val="auto"/>
        </w:rPr>
        <w:t xml:space="preserve"> as well as Confirms for each exchange, incorporated by reference for all purposes.</w:t>
      </w:r>
    </w:p>
    <w:p>
      <w:pPr>
        <w:spacing w:after="0" w:line="197"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Page 1 of 1</w:t>
      </w:r>
    </w:p>
    <w:p>
      <w:pPr>
        <w:sectPr>
          <w:pgSz w:w="11900" w:h="16838" w:orient="portrait"/>
          <w:cols w:equalWidth="0" w:num="1">
            <w:col w:w="11440"/>
          </w:cols>
          <w:pgMar w:left="240" w:top="99" w:right="219" w:bottom="1440" w:gutter="0" w:footer="0" w:header="0"/>
        </w:sectPr>
      </w:pPr>
    </w:p>
    <w:bookmarkStart w:id="110" w:name="page111"/>
    <w:bookmarkEnd w:id="110"/>
    <w:p>
      <w:pPr>
        <w:ind w:left="1300"/>
        <w:spacing w:after="0"/>
        <w:rPr>
          <w:sz w:val="20"/>
          <w:szCs w:val="20"/>
          <w:color w:val="auto"/>
        </w:rPr>
      </w:pPr>
      <w:r>
        <w:rPr>
          <w:rFonts w:ascii="Arial" w:cs="Arial" w:eastAsia="Arial" w:hAnsi="Arial"/>
          <w:sz w:val="27"/>
          <w:szCs w:val="27"/>
          <w:b w:val="1"/>
          <w:bCs w:val="1"/>
          <w:u w:val="single" w:color="auto"/>
          <w:color w:val="auto"/>
        </w:rPr>
        <w:t>WPT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effective as of August 1, 2014.</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WPT LLC</w:t>
      </w:r>
      <w:r>
        <w:rPr>
          <w:sz w:val="20"/>
          <w:szCs w:val="20"/>
          <w:color w:val="auto"/>
        </w:rPr>
        <w:tab/>
      </w:r>
      <w:r>
        <w:rPr>
          <w:rFonts w:ascii="Arial" w:cs="Arial" w:eastAsia="Arial" w:hAnsi="Arial"/>
          <w:sz w:val="16"/>
          <w:szCs w:val="16"/>
          <w:b w:val="1"/>
          <w:bCs w:val="1"/>
          <w:color w:val="auto"/>
        </w:rPr>
        <w:t>Westlake Chemical OpCo LP</w:t>
      </w:r>
    </w:p>
    <w:p>
      <w:pPr>
        <w:spacing w:after="0" w:line="27"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b w:val="1"/>
          <w:bCs w:val="1"/>
          <w:color w:val="auto"/>
        </w:rPr>
        <w:t>By: Westlake Chemical Investments, Inc., its manager</w:t>
      </w:r>
      <w:r>
        <w:rPr>
          <w:sz w:val="20"/>
          <w:szCs w:val="20"/>
          <w:color w:val="auto"/>
        </w:rPr>
        <w:tab/>
      </w:r>
      <w:r>
        <w:rPr>
          <w:rFonts w:ascii="Arial" w:cs="Arial" w:eastAsia="Arial" w:hAnsi="Arial"/>
          <w:sz w:val="16"/>
          <w:szCs w:val="16"/>
          <w:b w:val="1"/>
          <w:bCs w:val="1"/>
          <w:color w:val="auto"/>
        </w:rPr>
        <w:t>By: Westlake Chemical OpCo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4"/>
          </w:tcPr>
          <w:p>
            <w:pPr>
              <w:spacing w:after="0"/>
              <w:rPr>
                <w:sz w:val="20"/>
                <w:szCs w:val="20"/>
                <w:color w:val="auto"/>
              </w:rPr>
            </w:pPr>
            <w:r>
              <w:rPr>
                <w:rFonts w:ascii="Arial" w:cs="Arial" w:eastAsia="Arial" w:hAnsi="Arial"/>
                <w:sz w:val="18"/>
                <w:szCs w:val="18"/>
                <w:color w:val="auto"/>
              </w:rPr>
              <w:t>By:   /s/ Amy E. Moore</w:t>
            </w:r>
          </w:p>
        </w:tc>
        <w:tc>
          <w:tcPr>
            <w:tcW w:w="640" w:type="dxa"/>
            <w:vAlign w:val="bottom"/>
          </w:tcPr>
          <w:p>
            <w:pPr>
              <w:ind w:left="180"/>
              <w:spacing w:after="0"/>
              <w:rPr>
                <w:sz w:val="20"/>
                <w:szCs w:val="20"/>
                <w:color w:val="auto"/>
              </w:rPr>
            </w:pPr>
            <w:r>
              <w:rPr>
                <w:rFonts w:ascii="Arial" w:cs="Arial" w:eastAsia="Arial" w:hAnsi="Arial"/>
                <w:sz w:val="18"/>
                <w:szCs w:val="18"/>
                <w:color w:val="auto"/>
              </w:rPr>
              <w:t>By:</w:t>
            </w:r>
          </w:p>
        </w:tc>
        <w:tc>
          <w:tcPr>
            <w:tcW w:w="3060" w:type="dxa"/>
            <w:vAlign w:val="bottom"/>
            <w:gridSpan w:val="5"/>
          </w:tcPr>
          <w:p>
            <w:pPr>
              <w:ind w:left="20"/>
              <w:spacing w:after="0"/>
              <w:rPr>
                <w:sz w:val="20"/>
                <w:szCs w:val="20"/>
                <w:color w:val="auto"/>
              </w:rPr>
            </w:pPr>
            <w:r>
              <w:rPr>
                <w:rFonts w:ascii="Arial" w:cs="Arial" w:eastAsia="Arial" w:hAnsi="Arial"/>
                <w:sz w:val="18"/>
                <w:szCs w:val="18"/>
                <w:color w:val="auto"/>
              </w:rPr>
              <w:t>/s/ Lawrence Teel</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8"/>
        </w:trPr>
        <w:tc>
          <w:tcPr>
            <w:tcW w:w="580" w:type="dxa"/>
            <w:vAlign w:val="bottom"/>
            <w:gridSpan w:val="2"/>
          </w:tcPr>
          <w:p>
            <w:pPr>
              <w:spacing w:after="0"/>
              <w:rPr>
                <w:sz w:val="20"/>
                <w:szCs w:val="20"/>
                <w:color w:val="auto"/>
              </w:rPr>
            </w:pPr>
            <w:r>
              <w:rPr>
                <w:rFonts w:ascii="Arial" w:cs="Arial" w:eastAsia="Arial" w:hAnsi="Arial"/>
                <w:sz w:val="18"/>
                <w:szCs w:val="18"/>
                <w:color w:val="auto"/>
                <w:w w:val="98"/>
              </w:rPr>
              <w:t>Printed</w:t>
            </w:r>
          </w:p>
        </w:tc>
        <w:tc>
          <w:tcPr>
            <w:tcW w:w="8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Arial" w:cs="Arial" w:eastAsia="Arial" w:hAnsi="Arial"/>
                <w:sz w:val="18"/>
                <w:szCs w:val="18"/>
                <w:color w:val="auto"/>
              </w:rPr>
              <w:t>Printed</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580" w:type="dxa"/>
            <w:vAlign w:val="bottom"/>
            <w:gridSpan w:val="2"/>
          </w:tcPr>
          <w:p>
            <w:pPr>
              <w:spacing w:after="0" w:line="190" w:lineRule="exact"/>
              <w:rPr>
                <w:sz w:val="20"/>
                <w:szCs w:val="20"/>
                <w:color w:val="auto"/>
              </w:rPr>
            </w:pPr>
            <w:r>
              <w:rPr>
                <w:rFonts w:ascii="Arial" w:cs="Arial" w:eastAsia="Arial" w:hAnsi="Arial"/>
                <w:sz w:val="18"/>
                <w:szCs w:val="18"/>
                <w:color w:val="auto"/>
              </w:rPr>
              <w:t>Name:</w:t>
            </w: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Amy E. Moore</w:t>
            </w:r>
          </w:p>
        </w:tc>
        <w:tc>
          <w:tcPr>
            <w:tcW w:w="640" w:type="dxa"/>
            <w:vAlign w:val="bottom"/>
          </w:tcPr>
          <w:p>
            <w:pPr>
              <w:ind w:left="140"/>
              <w:spacing w:after="0" w:line="190" w:lineRule="exact"/>
              <w:rPr>
                <w:sz w:val="20"/>
                <w:szCs w:val="20"/>
                <w:color w:val="auto"/>
              </w:rPr>
            </w:pPr>
            <w:r>
              <w:rPr>
                <w:rFonts w:ascii="Arial" w:cs="Arial" w:eastAsia="Arial" w:hAnsi="Arial"/>
                <w:sz w:val="18"/>
                <w:szCs w:val="18"/>
                <w:color w:val="auto"/>
                <w:w w:val="86"/>
              </w:rPr>
              <w:t>Name:</w:t>
            </w:r>
          </w:p>
        </w:tc>
        <w:tc>
          <w:tcPr>
            <w:tcW w:w="160" w:type="dxa"/>
            <w:vAlign w:val="bottom"/>
          </w:tcPr>
          <w:p>
            <w:pPr>
              <w:spacing w:after="0"/>
              <w:rPr>
                <w:sz w:val="16"/>
                <w:szCs w:val="16"/>
                <w:color w:val="auto"/>
              </w:rPr>
            </w:pPr>
          </w:p>
        </w:tc>
        <w:tc>
          <w:tcPr>
            <w:tcW w:w="16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rPr>
              <w:t>LE (Skip) Teel</w:t>
            </w:r>
          </w:p>
        </w:tc>
        <w:tc>
          <w:tcPr>
            <w:tcW w:w="1300" w:type="dxa"/>
            <w:vAlign w:val="bottom"/>
            <w:gridSpan w:val="2"/>
          </w:tcPr>
          <w:p>
            <w:pPr>
              <w:spacing w:after="0"/>
              <w:rPr>
                <w:sz w:val="16"/>
                <w:szCs w:val="16"/>
                <w:color w:val="auto"/>
              </w:rPr>
            </w:pPr>
          </w:p>
        </w:tc>
      </w:tr>
      <w:tr>
        <w:trPr>
          <w:trHeight w:val="628"/>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040" w:type="dxa"/>
            <w:vAlign w:val="bottom"/>
            <w:gridSpan w:val="3"/>
          </w:tcPr>
          <w:p>
            <w:pPr>
              <w:spacing w:after="0"/>
              <w:rPr>
                <w:sz w:val="20"/>
                <w:szCs w:val="20"/>
                <w:color w:val="auto"/>
              </w:rPr>
            </w:pPr>
            <w:r>
              <w:rPr>
                <w:rFonts w:ascii="Arial" w:cs="Arial" w:eastAsia="Arial" w:hAnsi="Arial"/>
                <w:sz w:val="18"/>
                <w:szCs w:val="18"/>
                <w:color w:val="auto"/>
                <w:w w:val="97"/>
              </w:rPr>
              <w:t>Product Manager, Olefins</w:t>
            </w:r>
          </w:p>
        </w:tc>
        <w:tc>
          <w:tcPr>
            <w:tcW w:w="16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18"/>
                <w:szCs w:val="18"/>
                <w:color w:val="auto"/>
              </w:rPr>
              <w:t>Title:  Principal Operation Officer</w:t>
            </w: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Page 2 of 2</w:t>
      </w:r>
    </w:p>
    <w:p>
      <w:pPr>
        <w:sectPr>
          <w:pgSz w:w="11900" w:h="16838" w:orient="portrait"/>
          <w:cols w:equalWidth="0" w:num="1">
            <w:col w:w="10219"/>
          </w:cols>
          <w:pgMar w:left="240" w:top="125" w:right="1440" w:bottom="1440" w:gutter="0" w:footer="0" w:header="0"/>
        </w:sectPr>
      </w:pPr>
    </w:p>
    <w:bookmarkStart w:id="111" w:name="page112"/>
    <w:bookmarkEnd w:id="111"/>
    <w:p>
      <w:pPr>
        <w:ind w:left="1300"/>
        <w:spacing w:after="0"/>
        <w:rPr>
          <w:sz w:val="20"/>
          <w:szCs w:val="20"/>
          <w:color w:val="auto"/>
        </w:rPr>
      </w:pPr>
      <w:r>
        <w:rPr>
          <w:rFonts w:ascii="Arial" w:cs="Arial" w:eastAsia="Arial" w:hAnsi="Arial"/>
          <w:sz w:val="27"/>
          <w:szCs w:val="27"/>
          <w:b w:val="1"/>
          <w:bCs w:val="1"/>
          <w:u w:val="single" w:color="auto"/>
          <w:color w:val="auto"/>
        </w:rPr>
        <w:t>WPT LLC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859"/>
        <w:spacing w:after="0"/>
        <w:rPr>
          <w:sz w:val="20"/>
          <w:szCs w:val="20"/>
          <w:color w:val="auto"/>
        </w:rPr>
      </w:pPr>
      <w:r>
        <w:rPr>
          <w:rFonts w:ascii="Arial" w:cs="Arial" w:eastAsia="Arial" w:hAnsi="Arial"/>
          <w:sz w:val="20"/>
          <w:szCs w:val="20"/>
          <w:b w:val="1"/>
          <w:bCs w:val="1"/>
          <w:color w:val="auto"/>
        </w:rPr>
        <w:t>GENERAL TERMS &amp; CONDITIONS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23" w:lineRule="exact"/>
        <w:rPr>
          <w:sz w:val="20"/>
          <w:szCs w:val="20"/>
          <w:color w:val="auto"/>
        </w:rPr>
      </w:pPr>
    </w:p>
    <w:p>
      <w:pPr>
        <w:jc w:val="both"/>
        <w:ind w:right="4739"/>
        <w:spacing w:after="0" w:line="276" w:lineRule="auto"/>
        <w:rPr>
          <w:sz w:val="20"/>
          <w:szCs w:val="20"/>
          <w:color w:val="auto"/>
        </w:rPr>
      </w:pPr>
      <w:r>
        <w:rPr>
          <w:rFonts w:ascii="Arial" w:cs="Arial" w:eastAsia="Arial" w:hAnsi="Arial"/>
          <w:sz w:val="15"/>
          <w:szCs w:val="15"/>
          <w:color w:val="auto"/>
        </w:rPr>
        <w:t>Any tax, excise, or other governmental charge imposed upon the production, sale, or transportation of any material delivered hereunder which delivering Party may be required to pay, shall be paid by receiving Party to delivering Party.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DELIVERIES</w:t>
      </w:r>
    </w:p>
    <w:p>
      <w:pPr>
        <w:spacing w:after="0" w:line="23" w:lineRule="exact"/>
        <w:rPr>
          <w:sz w:val="20"/>
          <w:szCs w:val="20"/>
          <w:color w:val="auto"/>
        </w:rPr>
      </w:pPr>
    </w:p>
    <w:p>
      <w:pPr>
        <w:jc w:val="both"/>
        <w:ind w:right="4739"/>
        <w:spacing w:after="0" w:line="257" w:lineRule="auto"/>
        <w:rPr>
          <w:sz w:val="20"/>
          <w:szCs w:val="20"/>
          <w:color w:val="auto"/>
        </w:rPr>
      </w:pPr>
      <w:r>
        <w:rPr>
          <w:rFonts w:ascii="Arial" w:cs="Arial" w:eastAsia="Arial" w:hAnsi="Arial"/>
          <w:sz w:val="16"/>
          <w:szCs w:val="16"/>
          <w:color w:val="auto"/>
        </w:rPr>
        <w:t>Deliveries are FOB the applicable Delivery Points. Delivery by Westlake shall be made by book transfer.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STATEMENTS AND INVOICES</w:t>
      </w:r>
    </w:p>
    <w:p>
      <w:pPr>
        <w:spacing w:after="0" w:line="23" w:lineRule="exact"/>
        <w:rPr>
          <w:sz w:val="20"/>
          <w:szCs w:val="20"/>
          <w:color w:val="auto"/>
        </w:rPr>
      </w:pPr>
    </w:p>
    <w:p>
      <w:pPr>
        <w:jc w:val="both"/>
        <w:ind w:left="660" w:right="4739" w:hanging="647"/>
        <w:spacing w:after="0" w:line="286" w:lineRule="auto"/>
        <w:rPr>
          <w:sz w:val="20"/>
          <w:szCs w:val="20"/>
          <w:color w:val="auto"/>
        </w:rPr>
      </w:pPr>
      <w:r>
        <w:rPr>
          <w:rFonts w:ascii="Arial" w:cs="Arial" w:eastAsia="Arial" w:hAnsi="Arial"/>
          <w:sz w:val="14"/>
          <w:szCs w:val="14"/>
          <w:color w:val="auto"/>
        </w:rPr>
        <w:t>On or before the 20th Day of each Month, Westlake shall provide to Counterparty a statement for each of the Delivery Points setting forth Westlake’s calculation of the total amount payable by Counterparty for the prior Month for deliveries made to each Delivery Point, including quantity, current and cumulative imbalances (each, a “</w:t>
      </w:r>
      <w:r>
        <w:rPr>
          <w:rFonts w:ascii="Arial" w:cs="Arial" w:eastAsia="Arial" w:hAnsi="Arial"/>
          <w:sz w:val="14"/>
          <w:szCs w:val="14"/>
          <w:b w:val="1"/>
          <w:bCs w:val="1"/>
          <w:color w:val="auto"/>
        </w:rPr>
        <w:t>Monthly Statement</w:t>
      </w:r>
      <w:r>
        <w:rPr>
          <w:rFonts w:ascii="Arial" w:cs="Arial" w:eastAsia="Arial" w:hAnsi="Arial"/>
          <w:sz w:val="14"/>
          <w:szCs w:val="14"/>
          <w:color w:val="auto"/>
        </w:rPr>
        <w:t>”). Counterparty shall pay the amount of each Monthly Statement no later than the 5th day following receipt by Counterparty of such Monthly Statement. Each Party has the right to set off against any amounts due to the other Party hereunder any and all amounts that the other Party owes to the first Party under this Agreement or the Ethylene Sales Agreement, and other transaction agreements entered into on or about the date hereof.</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MEASUREMENT</w:t>
      </w:r>
    </w:p>
    <w:p>
      <w:pPr>
        <w:spacing w:after="0" w:line="23" w:lineRule="exact"/>
        <w:rPr>
          <w:sz w:val="20"/>
          <w:szCs w:val="20"/>
          <w:color w:val="auto"/>
        </w:rPr>
      </w:pPr>
    </w:p>
    <w:p>
      <w:pPr>
        <w:ind w:right="4879"/>
        <w:spacing w:after="0" w:line="270" w:lineRule="auto"/>
        <w:rPr>
          <w:sz w:val="20"/>
          <w:szCs w:val="20"/>
          <w:color w:val="auto"/>
        </w:rPr>
      </w:pPr>
      <w:r>
        <w:rPr>
          <w:rFonts w:ascii="Arial" w:cs="Arial" w:eastAsia="Arial" w:hAnsi="Arial"/>
          <w:sz w:val="15"/>
          <w:szCs w:val="15"/>
          <w:color w:val="auto"/>
        </w:rPr>
        <w:t>Measurement and metering of Product to be physically delivered hereunder (a) by Counterparty shall be governed by the terms and conditions of the Ethylene Sales Agreement, and (b) by Westlake shall be agreed upon by the Parties in accordance with the Williams exchange agreement entered into between Counterparty and Williams Olefins, L.L.C. on or about the date hereof.</w:t>
      </w:r>
    </w:p>
    <w:p>
      <w:pPr>
        <w:spacing w:after="0" w:line="339" w:lineRule="exact"/>
        <w:rPr>
          <w:sz w:val="20"/>
          <w:szCs w:val="20"/>
          <w:color w:val="auto"/>
        </w:rPr>
      </w:pPr>
    </w:p>
    <w:p>
      <w:pPr>
        <w:jc w:val="both"/>
        <w:ind w:right="4739"/>
        <w:spacing w:after="0" w:line="286" w:lineRule="auto"/>
        <w:rPr>
          <w:sz w:val="20"/>
          <w:szCs w:val="20"/>
          <w:color w:val="auto"/>
        </w:rPr>
      </w:pPr>
      <w:r>
        <w:rPr>
          <w:rFonts w:ascii="Arial" w:cs="Arial" w:eastAsia="Arial" w:hAnsi="Arial"/>
          <w:sz w:val="15"/>
          <w:szCs w:val="15"/>
          <w:color w:val="auto"/>
        </w:rPr>
        <w:t>Both Parties shall have the right to witness the calibration and/or proving of meters, which are operated and maintained by the other Party or its designee; and, which are involved in the transfers covered under this Agreement.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TITLE/RISK OF LOSS</w:t>
      </w:r>
    </w:p>
    <w:p>
      <w:pPr>
        <w:spacing w:after="0" w:line="23" w:lineRule="exact"/>
        <w:rPr>
          <w:sz w:val="20"/>
          <w:szCs w:val="20"/>
          <w:color w:val="auto"/>
        </w:rPr>
      </w:pPr>
    </w:p>
    <w:p>
      <w:pPr>
        <w:jc w:val="both"/>
        <w:ind w:right="4739"/>
        <w:spacing w:after="0" w:line="297" w:lineRule="auto"/>
        <w:rPr>
          <w:sz w:val="20"/>
          <w:szCs w:val="20"/>
          <w:color w:val="auto"/>
        </w:rPr>
      </w:pPr>
      <w:r>
        <w:rPr>
          <w:rFonts w:ascii="Arial" w:cs="Arial" w:eastAsia="Arial" w:hAnsi="Arial"/>
          <w:sz w:val="14"/>
          <w:szCs w:val="14"/>
          <w:color w:val="auto"/>
        </w:rPr>
        <w:t>Unless otherwise agreed by Counterparty and Westlake in writing, title to, and all risk of loss or damage of, a Product delivered shall pass from the delivering Party to the receiving Party at the (1) “in-well” or via book transfer at the Williams Storage Hub, or (2) the Delivery Points as set forth in the Ethylene Sales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 WITH LAWS</w:t>
      </w:r>
    </w:p>
    <w:p>
      <w:pPr>
        <w:spacing w:after="0" w:line="23" w:lineRule="exact"/>
        <w:rPr>
          <w:sz w:val="20"/>
          <w:szCs w:val="20"/>
          <w:color w:val="auto"/>
        </w:rPr>
      </w:pPr>
    </w:p>
    <w:p>
      <w:pPr>
        <w:jc w:val="both"/>
        <w:ind w:right="4739"/>
        <w:spacing w:after="0" w:line="265" w:lineRule="auto"/>
        <w:rPr>
          <w:sz w:val="20"/>
          <w:szCs w:val="20"/>
          <w:color w:val="auto"/>
        </w:rPr>
      </w:pPr>
      <w:r>
        <w:rPr>
          <w:rFonts w:ascii="Arial" w:cs="Arial" w:eastAsia="Arial" w:hAnsi="Arial"/>
          <w:sz w:val="15"/>
          <w:szCs w:val="15"/>
          <w:color w:val="auto"/>
        </w:rPr>
        <w:t>It is specifically understood that Westlake is an Equal Opportunity Employer and each Party warrants that it complies with the Fair Labor Standards Act of 1938, as amended. Each Party agrees that if this Agreement is construed to be a subcontract within the meaning of the Rules and Regulations approved by the United States Secretary of Labor pursuant to Executive Order 11246, as amended, the Vietnam Era Veterans Readjustment Act of 1974, as amended, or the Rehabilitation Act of 1973, as amended, or of the regulations issued pursuant to Executive Order 11625, the provisions of the applicable regulations as well as the Equal Opportunity and Nondiscrimination provision of Section 202 of Executive Order 11246 shall be incorporated herein by reference and shall be binding upon each Party as part of this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SAMPLING AND TESTING</w:t>
      </w:r>
    </w:p>
    <w:p>
      <w:pPr>
        <w:spacing w:after="0" w:line="23" w:lineRule="exact"/>
        <w:rPr>
          <w:sz w:val="20"/>
          <w:szCs w:val="20"/>
          <w:color w:val="auto"/>
        </w:rPr>
      </w:pPr>
    </w:p>
    <w:p>
      <w:pPr>
        <w:jc w:val="both"/>
        <w:ind w:right="4739"/>
        <w:spacing w:after="0" w:line="249" w:lineRule="auto"/>
        <w:rPr>
          <w:sz w:val="20"/>
          <w:szCs w:val="20"/>
          <w:color w:val="auto"/>
        </w:rPr>
      </w:pPr>
      <w:r>
        <w:rPr>
          <w:rFonts w:ascii="Arial" w:cs="Arial" w:eastAsia="Arial" w:hAnsi="Arial"/>
          <w:sz w:val="16"/>
          <w:szCs w:val="16"/>
          <w:color w:val="auto"/>
        </w:rPr>
        <w:t>Receiving Party shall make an examination and test of any Product delivered hereunder immediately upon receipt at receiving Party's Delivery Point(s), and failure of receiving Party to give notice of any claim within thirty (30) days after the receipt of such Product at such Delivery Point(s) shall be an unqualified acceptance of said product.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WARRANTIES</w:t>
      </w:r>
    </w:p>
    <w:p>
      <w:pPr>
        <w:spacing w:after="0" w:line="23" w:lineRule="exact"/>
        <w:rPr>
          <w:sz w:val="20"/>
          <w:szCs w:val="20"/>
          <w:color w:val="auto"/>
        </w:rPr>
      </w:pPr>
    </w:p>
    <w:p>
      <w:pPr>
        <w:jc w:val="both"/>
        <w:ind w:right="4739"/>
        <w:spacing w:after="0" w:line="249" w:lineRule="auto"/>
        <w:rPr>
          <w:sz w:val="20"/>
          <w:szCs w:val="20"/>
          <w:color w:val="auto"/>
        </w:rPr>
      </w:pPr>
      <w:r>
        <w:rPr>
          <w:rFonts w:ascii="Arial" w:cs="Arial" w:eastAsia="Arial" w:hAnsi="Arial"/>
          <w:sz w:val="16"/>
          <w:szCs w:val="16"/>
          <w:color w:val="auto"/>
        </w:rPr>
        <w:t>Delivering Party warrants that Product delivered by it hereunder meets delivery location’s specifications for such Product hereunder. NO WARRANTIES, INCLUDING BUT NOT LIMITED TO WARRANTY OF MERCHANTABILITY AND WARRANTY OF FITNESS FOR A PARTICULAR PURPOSE, SHALL BE IMPLIED.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OF CLAIMS</w:t>
      </w:r>
    </w:p>
    <w:p>
      <w:pPr>
        <w:spacing w:after="0" w:line="23" w:lineRule="exact"/>
        <w:rPr>
          <w:sz w:val="20"/>
          <w:szCs w:val="20"/>
          <w:color w:val="auto"/>
        </w:rPr>
      </w:pPr>
    </w:p>
    <w:p>
      <w:pPr>
        <w:jc w:val="both"/>
        <w:ind w:right="4739"/>
        <w:spacing w:after="0" w:line="248" w:lineRule="auto"/>
        <w:rPr>
          <w:sz w:val="20"/>
          <w:szCs w:val="20"/>
          <w:color w:val="auto"/>
        </w:rPr>
      </w:pPr>
      <w:r>
        <w:rPr>
          <w:rFonts w:ascii="Arial" w:cs="Arial" w:eastAsia="Arial" w:hAnsi="Arial"/>
          <w:sz w:val="16"/>
          <w:szCs w:val="16"/>
          <w:color w:val="auto"/>
        </w:rPr>
        <w:t>Defective or nonconforming Product shall be replaced promptly by delivering Party with conforming Product without any charge. In the case of delivery of insufficient quantity of Product(unless otherwise agreed upon pursuant to the Special Provisions), delivery of the correct quantity of Product shall be promptly required. Delivering Party shall not be liable for any special, incidental, indirect lost profits or consequential damages whether or not caused by or resulting from the negligence of such Party.</w:t>
      </w:r>
    </w:p>
    <w:p>
      <w:pPr>
        <w:sectPr>
          <w:pgSz w:w="11900" w:h="16838" w:orient="portrait"/>
          <w:cols w:equalWidth="0" w:num="1">
            <w:col w:w="10219"/>
          </w:cols>
          <w:pgMar w:left="240" w:top="125" w:right="1440" w:bottom="0" w:gutter="0" w:footer="0" w:header="0"/>
        </w:sectPr>
      </w:pPr>
    </w:p>
    <w:bookmarkStart w:id="112" w:name="page113"/>
    <w:bookmarkEnd w:id="112"/>
    <w:p>
      <w:pPr>
        <w:ind w:left="3680"/>
        <w:spacing w:after="0"/>
        <w:rPr>
          <w:sz w:val="20"/>
          <w:szCs w:val="20"/>
          <w:color w:val="auto"/>
        </w:rPr>
      </w:pPr>
      <w:r>
        <w:rPr>
          <w:rFonts w:ascii="Arial" w:cs="Arial" w:eastAsia="Arial" w:hAnsi="Arial"/>
          <w:sz w:val="12"/>
          <w:szCs w:val="12"/>
          <w:color w:val="auto"/>
        </w:rPr>
        <w:t>Page 3 of 3</w:t>
      </w:r>
    </w:p>
    <w:p>
      <w:pPr>
        <w:sectPr>
          <w:pgSz w:w="11900" w:h="16838" w:orient="portrait"/>
          <w:cols w:equalWidth="0" w:num="1">
            <w:col w:w="9019"/>
          </w:cols>
          <w:pgMar w:left="1440" w:top="391" w:right="1440" w:bottom="1440" w:gutter="0" w:footer="0" w:header="0"/>
        </w:sectPr>
      </w:pPr>
    </w:p>
    <w:bookmarkStart w:id="113" w:name="page114"/>
    <w:bookmarkEnd w:id="113"/>
    <w:p>
      <w:pPr>
        <w:spacing w:after="0" w:line="199" w:lineRule="exact"/>
        <w:rPr>
          <w:sz w:val="20"/>
          <w:szCs w:val="20"/>
          <w:color w:val="auto"/>
        </w:rPr>
      </w:pPr>
    </w:p>
    <w:p>
      <w:pPr>
        <w:ind w:left="1300"/>
        <w:spacing w:after="0"/>
        <w:rPr>
          <w:sz w:val="20"/>
          <w:szCs w:val="20"/>
          <w:color w:val="auto"/>
        </w:rPr>
      </w:pPr>
      <w:r>
        <w:rPr>
          <w:rFonts w:ascii="Arial" w:cs="Arial" w:eastAsia="Arial" w:hAnsi="Arial"/>
          <w:sz w:val="27"/>
          <w:szCs w:val="27"/>
          <w:b w:val="1"/>
          <w:bCs w:val="1"/>
          <w:u w:val="single" w:color="auto"/>
          <w:color w:val="auto"/>
        </w:rPr>
        <w:t>WPT LLC</w:t>
      </w:r>
    </w:p>
    <w:p>
      <w:pPr>
        <w:spacing w:after="0" w:line="200" w:lineRule="exact"/>
        <w:rPr>
          <w:sz w:val="20"/>
          <w:szCs w:val="20"/>
          <w:color w:val="auto"/>
        </w:rPr>
      </w:pPr>
    </w:p>
    <w:p>
      <w:pPr>
        <w:spacing w:after="0" w:line="277" w:lineRule="exact"/>
        <w:rPr>
          <w:sz w:val="20"/>
          <w:szCs w:val="20"/>
          <w:color w:val="auto"/>
        </w:rPr>
      </w:pPr>
    </w:p>
    <w:p>
      <w:pPr>
        <w:jc w:val="both"/>
        <w:ind w:right="4739"/>
        <w:spacing w:after="0" w:line="256" w:lineRule="auto"/>
        <w:rPr>
          <w:sz w:val="20"/>
          <w:szCs w:val="20"/>
          <w:color w:val="auto"/>
        </w:rPr>
      </w:pPr>
      <w:r>
        <w:rPr>
          <w:rFonts w:ascii="Arial" w:cs="Arial" w:eastAsia="Arial" w:hAnsi="Arial"/>
          <w:sz w:val="16"/>
          <w:szCs w:val="16"/>
          <w:color w:val="auto"/>
        </w:rPr>
        <w:t>Any course of dealing between the parties to the contrary notwithstanding, any claim by receiving Party shall be deemed waived unless presented in writing to delivering Party no more than ninety (90) days from date of receipt of the product to which such claim relates.</w:t>
      </w:r>
    </w:p>
    <w:p>
      <w:pPr>
        <w:spacing w:after="0" w:line="160" w:lineRule="exact"/>
        <w:rPr>
          <w:sz w:val="20"/>
          <w:szCs w:val="20"/>
          <w:color w:val="auto"/>
        </w:rPr>
      </w:pPr>
    </w:p>
    <w:p>
      <w:pPr>
        <w:jc w:val="both"/>
        <w:ind w:right="4739"/>
        <w:spacing w:after="0" w:line="261" w:lineRule="auto"/>
        <w:rPr>
          <w:sz w:val="20"/>
          <w:szCs w:val="20"/>
          <w:color w:val="auto"/>
        </w:rPr>
      </w:pPr>
      <w:r>
        <w:rPr>
          <w:rFonts w:ascii="Arial" w:cs="Arial" w:eastAsia="Arial" w:hAnsi="Arial"/>
          <w:sz w:val="16"/>
          <w:szCs w:val="16"/>
          <w:color w:val="auto"/>
        </w:rPr>
        <w:t>Unless otherwise stated, receiving Party assumes all risk and liability for loss, damage, or injury to the person or property of receiving Party or other arising out of use or possession of any product received hereunder.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23" w:lineRule="exact"/>
        <w:rPr>
          <w:sz w:val="20"/>
          <w:szCs w:val="20"/>
          <w:color w:val="auto"/>
        </w:rPr>
      </w:pPr>
    </w:p>
    <w:p>
      <w:pPr>
        <w:jc w:val="both"/>
        <w:ind w:right="4739"/>
        <w:spacing w:after="0" w:line="250" w:lineRule="auto"/>
        <w:rPr>
          <w:sz w:val="20"/>
          <w:szCs w:val="20"/>
          <w:color w:val="auto"/>
        </w:rPr>
      </w:pPr>
      <w:r>
        <w:rPr>
          <w:rFonts w:ascii="Arial" w:cs="Arial" w:eastAsia="Arial" w:hAnsi="Arial"/>
          <w:sz w:val="16"/>
          <w:szCs w:val="16"/>
          <w:color w:val="auto"/>
        </w:rPr>
        <w:t>THE RECEIVING PARTY WILL INDEMNIFY, DEFEND, AND SAVE HARMLESS THE DELIVERING PARTY, ITS AFFILIATES, AND ITS AND THEIR OFFICERS, EMPLOYEES, AND AGENTS FROM AND AGAINST ALL SUITS, ACTIONS, LOSSES,</w:t>
      </w:r>
    </w:p>
    <w:p>
      <w:pPr>
        <w:spacing w:after="0" w:line="165" w:lineRule="exact"/>
        <w:rPr>
          <w:sz w:val="20"/>
          <w:szCs w:val="20"/>
          <w:color w:val="auto"/>
        </w:rPr>
      </w:pPr>
    </w:p>
    <w:p>
      <w:pPr>
        <w:jc w:val="both"/>
        <w:ind w:right="4739"/>
        <w:spacing w:after="0" w:line="251" w:lineRule="auto"/>
        <w:rPr>
          <w:sz w:val="20"/>
          <w:szCs w:val="20"/>
          <w:color w:val="auto"/>
        </w:rPr>
      </w:pPr>
      <w:r>
        <w:rPr>
          <w:rFonts w:ascii="Arial" w:cs="Arial" w:eastAsia="Arial" w:hAnsi="Arial"/>
          <w:sz w:val="16"/>
          <w:szCs w:val="16"/>
          <w:color w:val="auto"/>
        </w:rPr>
        <w:t>LIABILITIES, DAMAGES, AND CLAIMS, BROUGHT BY THIRD PARTIES, OF ANY CHARACTER, TYPE, OR DESCRIPTION, INCLUDING, WITHOUT LIMITING THE GENERALITY OF THE FOREGOING, ALL REASONABLE EXPENSES OF LITIGATION,</w:t>
      </w:r>
    </w:p>
    <w:p>
      <w:pPr>
        <w:spacing w:after="0" w:line="1" w:lineRule="exact"/>
        <w:rPr>
          <w:sz w:val="20"/>
          <w:szCs w:val="20"/>
          <w:color w:val="auto"/>
        </w:rPr>
      </w:pPr>
    </w:p>
    <w:p>
      <w:pPr>
        <w:jc w:val="both"/>
        <w:ind w:right="4739"/>
        <w:spacing w:after="0" w:line="248" w:lineRule="auto"/>
        <w:rPr>
          <w:sz w:val="20"/>
          <w:szCs w:val="20"/>
          <w:color w:val="auto"/>
        </w:rPr>
      </w:pPr>
      <w:r>
        <w:rPr>
          <w:rFonts w:ascii="Arial" w:cs="Arial" w:eastAsia="Arial" w:hAnsi="Arial"/>
          <w:sz w:val="16"/>
          <w:szCs w:val="16"/>
          <w:color w:val="auto"/>
        </w:rPr>
        <w:t xml:space="preserve">COURT COSTS, AND REASONABLE ATTORNEYS’ FEES (WHETHER FOR PERSONAL INJURY, DEATH, DISEASE, PROPERTY DAMAGE, INCLUDING, BUT NOT LIMITED TO, ENVIRONMENTAL CONTAMINATION, OR OTHERWISE), ARISING OUT OF, OR OCCASIONED BY, THE LOADING, TRANSPORTATION, UNLOADING, STORAGE, HANDLING, OR USE, EITHER SINGLY OR IN COMBINATION WITH OTHER SUBSTANCES, OF PRODUCT </w:t>
      </w:r>
      <w:r>
        <w:rPr>
          <w:rFonts w:ascii="Arial" w:cs="Arial" w:eastAsia="Arial" w:hAnsi="Arial"/>
          <w:sz w:val="16"/>
          <w:szCs w:val="16"/>
          <w:i w:val="1"/>
          <w:iCs w:val="1"/>
          <w:color w:val="auto"/>
        </w:rPr>
        <w:t>AFTER</w:t>
      </w:r>
      <w:r>
        <w:rPr>
          <w:rFonts w:ascii="Arial" w:cs="Arial" w:eastAsia="Arial" w:hAnsi="Arial"/>
          <w:sz w:val="16"/>
          <w:szCs w:val="16"/>
          <w:color w:val="auto"/>
        </w:rPr>
        <w:t xml:space="preserve"> TITLE AND RISK OF LOSS TRANSFERS TO THE RECEIVING PARTY.</w:t>
      </w:r>
    </w:p>
    <w:p>
      <w:pPr>
        <w:spacing w:after="0" w:line="167" w:lineRule="exact"/>
        <w:rPr>
          <w:sz w:val="20"/>
          <w:szCs w:val="20"/>
          <w:color w:val="auto"/>
        </w:rPr>
      </w:pPr>
    </w:p>
    <w:p>
      <w:pPr>
        <w:jc w:val="both"/>
        <w:ind w:right="4739"/>
        <w:spacing w:after="0" w:line="248" w:lineRule="auto"/>
        <w:rPr>
          <w:sz w:val="20"/>
          <w:szCs w:val="20"/>
          <w:color w:val="auto"/>
        </w:rPr>
      </w:pPr>
      <w:r>
        <w:rPr>
          <w:rFonts w:ascii="Arial" w:cs="Arial" w:eastAsia="Arial" w:hAnsi="Arial"/>
          <w:sz w:val="16"/>
          <w:szCs w:val="16"/>
          <w:color w:val="auto"/>
        </w:rPr>
        <w:t xml:space="preserve">THE DELIVERING PARTY WILL INDEMNIFY, DEFEND, AND SAVE HARMLESS THE RECEIVING PARTY, ITS AFFILIATES, AND ITS AND THEIR OFFICERS, EMPLOYEES, AND AGENTS FROM AND AGAINST ALL SUITS, ACTIONS, LOSSES, LIABILITIES, DAMAGES, AND CLAIMS OF ANY CHARACTER, TYPE, OR DESCRIPTION, INCLUDING, WITHOUT LIMITING THE GENERALITY OF THE FOREGOING, ALL EXPENSES OF LITIGATION, COURT COSTS, AND ATTORNEYS’ FEES (WHETHER FOR PERSONAL INJURY, DEATH, DISEASE, PROPERTY DAMAGE, INCLUDING, BUT NOT LIMITED TO, ENVIRONMENTAL CONTAMINATION, OR OTHERWISE), ARISING OUT OF, OR OCCASIONED BY, THE LOADING, TRANSPORTATION, UNLOADING, STORAGE, HANDLING, OR USE, EITHER SINGLY OR IN COMBINATION WITH OTHER SUBSTANCES, OF PRODUCT </w:t>
      </w:r>
      <w:r>
        <w:rPr>
          <w:rFonts w:ascii="Arial" w:cs="Arial" w:eastAsia="Arial" w:hAnsi="Arial"/>
          <w:sz w:val="16"/>
          <w:szCs w:val="16"/>
          <w:i w:val="1"/>
          <w:iCs w:val="1"/>
          <w:color w:val="auto"/>
        </w:rPr>
        <w:t>PRIOR TO</w:t>
      </w:r>
      <w:r>
        <w:rPr>
          <w:rFonts w:ascii="Arial" w:cs="Arial" w:eastAsia="Arial" w:hAnsi="Arial"/>
          <w:sz w:val="16"/>
          <w:szCs w:val="16"/>
          <w:color w:val="auto"/>
        </w:rPr>
        <w:t xml:space="preserve"> TITLE AND RISK OF LOSS TRANSFERS TO THE RECEIVING PARTY.</w:t>
      </w:r>
    </w:p>
    <w:p>
      <w:pPr>
        <w:spacing w:after="0" w:line="174" w:lineRule="exact"/>
        <w:rPr>
          <w:sz w:val="20"/>
          <w:szCs w:val="20"/>
          <w:color w:val="auto"/>
        </w:rPr>
      </w:pPr>
    </w:p>
    <w:p>
      <w:pPr>
        <w:jc w:val="both"/>
        <w:ind w:right="4739"/>
        <w:spacing w:after="0" w:line="256" w:lineRule="auto"/>
        <w:rPr>
          <w:sz w:val="20"/>
          <w:szCs w:val="20"/>
          <w:color w:val="auto"/>
        </w:rPr>
      </w:pPr>
      <w:r>
        <w:rPr>
          <w:rFonts w:ascii="Arial" w:cs="Arial" w:eastAsia="Arial" w:hAnsi="Arial"/>
          <w:sz w:val="16"/>
          <w:szCs w:val="16"/>
          <w:color w:val="auto"/>
        </w:rPr>
        <w:t>IN INSTANCES WHERE BOTH PARTIES ARE TO SOME DEGREE RESPONSIBLE FOR A CLAIM(S) DESCRIBED IN THIS SECTION, THE PARTIES WILL INDEMNIFY EACH OTHER TO THE EXTENT OF THEIR PROPORTIONATE RESPONSIBILITY FOR SUCH CLAIM(S).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w:t>
      </w:r>
    </w:p>
    <w:p>
      <w:pPr>
        <w:spacing w:after="0" w:line="23" w:lineRule="exact"/>
        <w:rPr>
          <w:sz w:val="20"/>
          <w:szCs w:val="20"/>
          <w:color w:val="auto"/>
        </w:rPr>
      </w:pPr>
    </w:p>
    <w:p>
      <w:pPr>
        <w:jc w:val="both"/>
        <w:ind w:right="4739"/>
        <w:spacing w:after="0" w:line="250" w:lineRule="auto"/>
        <w:rPr>
          <w:sz w:val="20"/>
          <w:szCs w:val="20"/>
          <w:color w:val="auto"/>
        </w:rPr>
      </w:pPr>
      <w:r>
        <w:rPr>
          <w:rFonts w:ascii="Arial" w:cs="Arial" w:eastAsia="Arial" w:hAnsi="Arial"/>
          <w:sz w:val="16"/>
          <w:szCs w:val="16"/>
          <w:color w:val="auto"/>
        </w:rPr>
        <w:t>Either Party may defer shipments or terminate this Exchange Agreement if the other Party fails to deliver Product or pay any invoice in accordance with the terms of this Agreement, after providing notice to the other Party. No Party’s obligation to perform will be limited by any previous waiver by a Party.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FORCE MAJEURE</w:t>
      </w:r>
    </w:p>
    <w:p>
      <w:pPr>
        <w:spacing w:after="0" w:line="23" w:lineRule="exact"/>
        <w:rPr>
          <w:sz w:val="20"/>
          <w:szCs w:val="20"/>
          <w:color w:val="auto"/>
        </w:rPr>
      </w:pPr>
    </w:p>
    <w:p>
      <w:pPr>
        <w:ind w:right="4739"/>
        <w:spacing w:after="0" w:line="281" w:lineRule="auto"/>
        <w:rPr>
          <w:sz w:val="20"/>
          <w:szCs w:val="20"/>
          <w:color w:val="auto"/>
        </w:rPr>
      </w:pPr>
      <w:r>
        <w:rPr>
          <w:rFonts w:ascii="Arial" w:cs="Arial" w:eastAsia="Arial" w:hAnsi="Arial"/>
          <w:sz w:val="14"/>
          <w:szCs w:val="14"/>
          <w:color w:val="auto"/>
        </w:rPr>
        <w:t>Neither Party shall be in breach of this Agreement or otherwise be liable to the other Party for its failure to fulfill any term of this Agreement, other than the obligation to pay any sum when due, if and to the extent that such fulfillment has been delayed, hindered, curtailed or prevented by a “Force Majeure Event”, meaning any circumstance or event outside the Party’s reasonable control or any of the following:</w:t>
      </w:r>
    </w:p>
    <w:p>
      <w:pPr>
        <w:spacing w:after="0" w:line="3" w:lineRule="exact"/>
        <w:rPr>
          <w:sz w:val="20"/>
          <w:szCs w:val="20"/>
          <w:color w:val="auto"/>
        </w:rPr>
      </w:pPr>
    </w:p>
    <w:p>
      <w:pPr>
        <w:ind w:right="4899" w:firstLine="8"/>
        <w:spacing w:after="0" w:line="267" w:lineRule="auto"/>
        <w:tabs>
          <w:tab w:leader="none" w:pos="2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act of God, fire, explosion, landslide or earthquake; or (b) any storm, hurricane, flood, tidal wave or other adverse weather condition; or (c) any war (whether declared or not), revolution, act of civil or military authority, riot, blockade, embargo, trade sanction, terrorism, sabotage, or civil commotion; or (d) any epidemic or quarantine restriction; or (e) any strike, lock-out or labor dispute from whatever cause (whether or not receiving Party, receiving Party’s supplier, delivering Party or delivering Party’s supplier, as the case may be, is a</w:t>
      </w:r>
    </w:p>
    <w:p>
      <w:pPr>
        <w:spacing w:after="0" w:line="155" w:lineRule="exact"/>
        <w:rPr>
          <w:sz w:val="20"/>
          <w:szCs w:val="20"/>
          <w:color w:val="auto"/>
        </w:rPr>
      </w:pPr>
    </w:p>
    <w:p>
      <w:pPr>
        <w:ind w:right="4799"/>
        <w:spacing w:after="0" w:line="249" w:lineRule="auto"/>
        <w:rPr>
          <w:sz w:val="20"/>
          <w:szCs w:val="20"/>
          <w:color w:val="auto"/>
        </w:rPr>
      </w:pPr>
      <w:r>
        <w:rPr>
          <w:rFonts w:ascii="Arial" w:cs="Arial" w:eastAsia="Arial" w:hAnsi="Arial"/>
          <w:sz w:val="16"/>
          <w:szCs w:val="16"/>
          <w:color w:val="auto"/>
        </w:rPr>
        <w:t>Party thereto or might be able to influence or procure the settlement thereof); or (f) any compliance with any law, regulation or ordinance or with any order, demand or request of any international, national, local or other port, transportation or governmental authority or agency or any body or person purporting to be or to act for such authority or agency or any corporation directly or indirectly controlled by any of them; or</w:t>
      </w:r>
    </w:p>
    <w:p>
      <w:pPr>
        <w:spacing w:after="0" w:line="3" w:lineRule="exact"/>
        <w:rPr>
          <w:sz w:val="20"/>
          <w:szCs w:val="20"/>
          <w:color w:val="auto"/>
        </w:rPr>
      </w:pPr>
    </w:p>
    <w:p>
      <w:pPr>
        <w:ind w:right="4759" w:firstLine="8"/>
        <w:spacing w:after="0" w:line="286" w:lineRule="auto"/>
        <w:tabs>
          <w:tab w:leader="none" w:pos="23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any unavailability of or interference with the usual means of transporting Product; or (h) any unplanned shutdown or shutdown in anticipation of a breakdown or malfunction affecting the plant; or (i) any Party’s inability to acquire from its usual supply source(s) for this Agreement or on terms it deems reasonable Product or any material, labor, service, utility or facility necessary for manufacturing the Product. If, because of such circumstances, there should be a shortage of Product from any of the excused Party’s sources, the excused Party will not be obligated to purchase Product in order to perform this Agreement and if the excused Party is the delivering Party it may apportion its available Product among all its customers and its own internal uses in such manner as the excused Party finds</w:t>
      </w:r>
    </w:p>
    <w:p>
      <w:pPr>
        <w:sectPr>
          <w:pgSz w:w="11900" w:h="17037" w:orient="portrait"/>
          <w:cols w:equalWidth="0" w:num="1">
            <w:col w:w="10219"/>
          </w:cols>
          <w:pgMar w:left="240" w:top="125" w:right="1440" w:bottom="0" w:gutter="0" w:footer="0" w:header="0"/>
        </w:sectPr>
      </w:pPr>
    </w:p>
    <w:bookmarkStart w:id="114" w:name="page115"/>
    <w:bookmarkEnd w:id="114"/>
    <w:p>
      <w:pPr>
        <w:ind w:right="4779"/>
        <w:spacing w:after="0" w:line="266" w:lineRule="auto"/>
        <w:rPr>
          <w:sz w:val="20"/>
          <w:szCs w:val="20"/>
          <w:color w:val="auto"/>
        </w:rPr>
      </w:pPr>
      <w:r>
        <w:rPr>
          <w:rFonts w:ascii="Arial" w:cs="Arial" w:eastAsia="Arial" w:hAnsi="Arial"/>
          <w:sz w:val="15"/>
          <w:szCs w:val="15"/>
          <w:color w:val="auto"/>
        </w:rPr>
        <w:t>fair and reasonable; provided, however, that it will not be obligated to apportion or otherwise make available to the receiving Party Product which the excused Party obtains by purchase or exchange for their own internal uses. Any quantity of Product consequently not delivered will be deducted from any applicable remaining quantity obligation under this Agreement unless the Parties agree otherwise in writing. It is agreed that upon the affected Party giving notice and full particulars of such excuse by telephone (confirmed in writing), facsimile, or other writing to the other Party as soon as possible after the occurrence of the cause relied upon, then the obligations of the Party claiming excuse shall be suspended to the extent that such Party is rendered unable to perform (other than the obligation to pay all amounts due as of the date of such excuse), and shall remain suspended during the continuance of any inability so caused; however, the other Party may (i) suspend its delivery of Product during such period of suspension(s) and (ii) terminate this Agreement if the period of suspension(s) lasts more than three (3) months in the aggregate. Upon any such termination, the Parties are required to balance the Product quantities by delivery of</w:t>
      </w:r>
    </w:p>
    <w:p>
      <w:pPr>
        <w:spacing w:after="0" w:line="228"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Page 4 of 4</w:t>
      </w:r>
    </w:p>
    <w:p>
      <w:pPr>
        <w:sectPr>
          <w:pgSz w:w="11900" w:h="16838" w:orient="portrait"/>
          <w:cols w:equalWidth="0" w:num="1">
            <w:col w:w="10219"/>
          </w:cols>
          <w:pgMar w:left="240" w:top="224" w:right="1440" w:bottom="1440" w:gutter="0" w:footer="0" w:header="0"/>
        </w:sectPr>
      </w:pPr>
    </w:p>
    <w:bookmarkStart w:id="115" w:name="page116"/>
    <w:bookmarkEnd w:id="115"/>
    <w:p>
      <w:pPr>
        <w:spacing w:after="0" w:line="10" w:lineRule="exact"/>
        <w:rPr>
          <w:sz w:val="20"/>
          <w:szCs w:val="20"/>
          <w:color w:val="auto"/>
        </w:rPr>
      </w:pPr>
    </w:p>
    <w:p>
      <w:pPr>
        <w:ind w:left="1300"/>
        <w:spacing w:after="0"/>
        <w:rPr>
          <w:sz w:val="20"/>
          <w:szCs w:val="20"/>
          <w:color w:val="auto"/>
        </w:rPr>
      </w:pPr>
      <w:r>
        <w:rPr>
          <w:rFonts w:ascii="Arial" w:cs="Arial" w:eastAsia="Arial" w:hAnsi="Arial"/>
          <w:sz w:val="27"/>
          <w:szCs w:val="27"/>
          <w:b w:val="1"/>
          <w:bCs w:val="1"/>
          <w:u w:val="single" w:color="auto"/>
          <w:color w:val="auto"/>
        </w:rPr>
        <w:t>WPT LLC</w:t>
      </w:r>
    </w:p>
    <w:p>
      <w:pPr>
        <w:spacing w:after="0" w:line="200" w:lineRule="exact"/>
        <w:rPr>
          <w:sz w:val="20"/>
          <w:szCs w:val="20"/>
          <w:color w:val="auto"/>
        </w:rPr>
      </w:pPr>
    </w:p>
    <w:p>
      <w:pPr>
        <w:spacing w:after="0" w:line="277" w:lineRule="exact"/>
        <w:rPr>
          <w:sz w:val="20"/>
          <w:szCs w:val="20"/>
          <w:color w:val="auto"/>
        </w:rPr>
      </w:pPr>
    </w:p>
    <w:p>
      <w:pPr>
        <w:jc w:val="both"/>
        <w:ind w:right="4779"/>
        <w:spacing w:after="0" w:line="315" w:lineRule="auto"/>
        <w:rPr>
          <w:sz w:val="20"/>
          <w:szCs w:val="20"/>
          <w:color w:val="auto"/>
        </w:rPr>
      </w:pPr>
      <w:r>
        <w:rPr>
          <w:rFonts w:ascii="Arial" w:cs="Arial" w:eastAsia="Arial" w:hAnsi="Arial"/>
          <w:sz w:val="14"/>
          <w:szCs w:val="14"/>
          <w:color w:val="auto"/>
        </w:rPr>
        <w:t>Product or payment of an agreed price within a reasonable period of time. No Force Majeure Event shall have the effect of extending the period of the Agreement or of terminating the Agreement unless agreed by the Parties in writing.</w:t>
      </w:r>
    </w:p>
    <w:p>
      <w:pPr>
        <w:spacing w:after="0" w:line="122" w:lineRule="exact"/>
        <w:rPr>
          <w:sz w:val="20"/>
          <w:szCs w:val="20"/>
          <w:color w:val="auto"/>
        </w:rPr>
      </w:pPr>
    </w:p>
    <w:p>
      <w:pPr>
        <w:jc w:val="both"/>
        <w:ind w:right="4739"/>
        <w:spacing w:after="0" w:line="269" w:lineRule="auto"/>
        <w:rPr>
          <w:sz w:val="20"/>
          <w:szCs w:val="20"/>
          <w:color w:val="auto"/>
        </w:rPr>
      </w:pPr>
      <w:r>
        <w:rPr>
          <w:rFonts w:ascii="Arial" w:cs="Arial" w:eastAsia="Arial" w:hAnsi="Arial"/>
          <w:sz w:val="15"/>
          <w:szCs w:val="15"/>
          <w:color w:val="auto"/>
        </w:rPr>
        <w:t>If deliveries are temporarily suspended and are resumed after the force majeure ends, any imbalances will then be adjusted, unless otherwise agreed, with additional deliveries by the Party prevented from delivering by force majeure until the total deliveries by each Party are approximately equal in quantity. If force majeure continues through the specified life of the exchange and deliveries are never resumed, the Party prevented from delivering by force majeure will pay the other party for the quantity over delivered pursuant to the terms of this Agreement contained in the Imbalance section.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23" w:lineRule="exact"/>
        <w:rPr>
          <w:sz w:val="20"/>
          <w:szCs w:val="20"/>
          <w:color w:val="auto"/>
        </w:rPr>
      </w:pPr>
    </w:p>
    <w:p>
      <w:pPr>
        <w:ind w:right="4779"/>
        <w:spacing w:after="0" w:line="247" w:lineRule="auto"/>
        <w:rPr>
          <w:sz w:val="20"/>
          <w:szCs w:val="20"/>
          <w:color w:val="auto"/>
        </w:rPr>
      </w:pPr>
      <w:r>
        <w:rPr>
          <w:rFonts w:ascii="Arial" w:cs="Arial" w:eastAsia="Arial" w:hAnsi="Arial"/>
          <w:sz w:val="16"/>
          <w:szCs w:val="16"/>
          <w:color w:val="auto"/>
        </w:rPr>
        <w:t>THIS AGREEMENT WILL BE INTERPRETED AND THE RIGHTS, OBLIGATIONS, AND LIABILITIES OF THE PARTIES DETERMINED IN ACCORDANCE WITH THE LAWS OF THE STATE OF TEXAS WITHOUT GIVING ANY EFFECT TO CONFLICTS OF LAW PRINCIPLES. The rights and obligations of the Parties arising from the Agreement will not be governed by the provisions of the United Nations Convention on Contracts for the International Sale of Goods, application of which is hereby expressly excluded. STATE AND FEDERAL COURTS IN HARRIS COUNTY, TEXAS, SHALL HAVE EXCLUSIVE JURISDICTION OVER ALL DISPUTES, CLAIMS, OR CAUSES OF ACTION ARISING OUT OF OR RELATING TO THE AGREEMENT. BOTH PARTIES HEREBY VOLUNTARILY AND IRREVOCABLY WAIVE TRIAL BY JURY IN ANY PROCEEDING ARISING OUT OF OR RELATING TO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HEALTH COMMUNICATIONS</w:t>
      </w:r>
    </w:p>
    <w:p>
      <w:pPr>
        <w:spacing w:after="0" w:line="23" w:lineRule="exact"/>
        <w:rPr>
          <w:sz w:val="20"/>
          <w:szCs w:val="20"/>
          <w:color w:val="auto"/>
        </w:rPr>
      </w:pPr>
    </w:p>
    <w:p>
      <w:pPr>
        <w:ind w:right="4779"/>
        <w:spacing w:after="0" w:line="287" w:lineRule="auto"/>
        <w:rPr>
          <w:sz w:val="20"/>
          <w:szCs w:val="20"/>
          <w:color w:val="auto"/>
        </w:rPr>
      </w:pPr>
      <w:r>
        <w:rPr>
          <w:rFonts w:ascii="Arial" w:cs="Arial" w:eastAsia="Arial" w:hAnsi="Arial"/>
          <w:sz w:val="14"/>
          <w:szCs w:val="14"/>
          <w:color w:val="auto"/>
        </w:rPr>
        <w:t>Delivering Party will furnish to receiving Party Material Safety Data Sheets which include health, safety and other hazard communication information on Product consistent with the Occupational Safety and Health Administration's Hazard Communications Standard. Delivering Party will also furnish other health or safety information as required by law. Receiving Party will disseminate appropriate health and safety information to all persons receiving Party foresees may be exposed to Product (including but not limited to receiving Party's employees, contractors, and customers). If Product is further processed, mixed or incorporated into another product, receiving Party will likewise disseminate appropriate health and safety information to all persons receiving Party foresees may be exposed.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OF THE PARTIES</w:t>
      </w:r>
    </w:p>
    <w:p>
      <w:pPr>
        <w:spacing w:after="0" w:line="23" w:lineRule="exact"/>
        <w:rPr>
          <w:sz w:val="20"/>
          <w:szCs w:val="20"/>
          <w:color w:val="auto"/>
        </w:rPr>
      </w:pPr>
    </w:p>
    <w:p>
      <w:pPr>
        <w:jc w:val="both"/>
        <w:ind w:right="4739"/>
        <w:spacing w:after="0" w:line="291" w:lineRule="auto"/>
        <w:rPr>
          <w:sz w:val="20"/>
          <w:szCs w:val="20"/>
          <w:color w:val="auto"/>
        </w:rPr>
      </w:pPr>
      <w:r>
        <w:rPr>
          <w:rFonts w:ascii="Arial" w:cs="Arial" w:eastAsia="Arial" w:hAnsi="Arial"/>
          <w:sz w:val="14"/>
          <w:szCs w:val="14"/>
          <w:color w:val="auto"/>
        </w:rPr>
        <w:t>Each Party assumes all its duties under the Agreement as an independent contractor and nothing contained in the Agreement will be construed as inconsistent with such independent contractor relationship; neither Party is an employee or agent of the other Party and as such, neither Party will have the power or authority, express or implied, to pledge credit, to enter into any agreement, or to give any representation, warranty, or guarantee on behalf of the other Party.</w:t>
      </w:r>
    </w:p>
    <w:p>
      <w:pPr>
        <w:spacing w:after="0" w:line="138" w:lineRule="exact"/>
        <w:rPr>
          <w:sz w:val="20"/>
          <w:szCs w:val="20"/>
          <w:color w:val="auto"/>
        </w:rPr>
      </w:pPr>
    </w:p>
    <w:p>
      <w:pPr>
        <w:jc w:val="both"/>
        <w:ind w:right="4739"/>
        <w:spacing w:after="0" w:line="261" w:lineRule="auto"/>
        <w:rPr>
          <w:sz w:val="20"/>
          <w:szCs w:val="20"/>
          <w:color w:val="auto"/>
        </w:rPr>
      </w:pPr>
      <w:r>
        <w:rPr>
          <w:rFonts w:ascii="Arial" w:cs="Arial" w:eastAsia="Arial" w:hAnsi="Arial"/>
          <w:sz w:val="16"/>
          <w:szCs w:val="16"/>
          <w:color w:val="auto"/>
        </w:rPr>
        <w:t>The Agreement is not intended to create or constitute a joint venture, pooling arrangement, partnership, agency, master-servant, or a business entity, organization, or combination of any type, whatsoever.</w:t>
      </w:r>
    </w:p>
    <w:p>
      <w:pPr>
        <w:spacing w:after="0" w:line="156" w:lineRule="exact"/>
        <w:rPr>
          <w:sz w:val="20"/>
          <w:szCs w:val="20"/>
          <w:color w:val="auto"/>
        </w:rPr>
      </w:pPr>
    </w:p>
    <w:p>
      <w:pPr>
        <w:jc w:val="both"/>
        <w:ind w:right="4739"/>
        <w:spacing w:after="0" w:line="261" w:lineRule="auto"/>
        <w:rPr>
          <w:sz w:val="20"/>
          <w:szCs w:val="20"/>
          <w:color w:val="auto"/>
        </w:rPr>
      </w:pPr>
      <w:r>
        <w:rPr>
          <w:rFonts w:ascii="Arial" w:cs="Arial" w:eastAsia="Arial" w:hAnsi="Arial"/>
          <w:sz w:val="16"/>
          <w:szCs w:val="16"/>
          <w:color w:val="auto"/>
        </w:rPr>
        <w:t>The Agreement is intended solely for the benefit of the Parties and their permitted assigns and will not impart rights enforceable by any other person or entity, except as expressly provided in the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COUNTERPARTS</w:t>
      </w:r>
    </w:p>
    <w:p>
      <w:pPr>
        <w:spacing w:after="0" w:line="23" w:lineRule="exact"/>
        <w:rPr>
          <w:sz w:val="20"/>
          <w:szCs w:val="20"/>
          <w:color w:val="auto"/>
        </w:rPr>
      </w:pPr>
    </w:p>
    <w:p>
      <w:pPr>
        <w:jc w:val="both"/>
        <w:ind w:right="4739"/>
        <w:spacing w:after="0" w:line="246" w:lineRule="auto"/>
        <w:rPr>
          <w:sz w:val="20"/>
          <w:szCs w:val="20"/>
          <w:color w:val="auto"/>
        </w:rPr>
      </w:pPr>
      <w:r>
        <w:rPr>
          <w:rFonts w:ascii="Arial" w:cs="Arial" w:eastAsia="Arial" w:hAnsi="Arial"/>
          <w:sz w:val="16"/>
          <w:szCs w:val="16"/>
          <w:color w:val="auto"/>
        </w:rPr>
        <w:t>The Agreement may be executed and delivered in one or more counterparts, and by the different Parties in separate counterparts, each</w:t>
      </w:r>
    </w:p>
    <w:p>
      <w:pPr>
        <w:spacing w:after="0" w:line="1" w:lineRule="exact"/>
        <w:rPr>
          <w:sz w:val="20"/>
          <w:szCs w:val="20"/>
          <w:color w:val="auto"/>
        </w:rPr>
      </w:pPr>
    </w:p>
    <w:p>
      <w:pPr>
        <w:jc w:val="both"/>
        <w:ind w:right="4739"/>
        <w:spacing w:after="0" w:line="257" w:lineRule="auto"/>
        <w:rPr>
          <w:sz w:val="20"/>
          <w:szCs w:val="20"/>
          <w:color w:val="auto"/>
        </w:rPr>
      </w:pPr>
      <w:r>
        <w:rPr>
          <w:rFonts w:ascii="Arial" w:cs="Arial" w:eastAsia="Arial" w:hAnsi="Arial"/>
          <w:sz w:val="16"/>
          <w:szCs w:val="16"/>
          <w:color w:val="auto"/>
        </w:rPr>
        <w:t>of which when executed and delivered will be deemed an original, but all of which taken together will constitute one and the same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CONSPICUOUSNESS</w:t>
      </w:r>
    </w:p>
    <w:p>
      <w:pPr>
        <w:spacing w:after="0" w:line="23" w:lineRule="exact"/>
        <w:rPr>
          <w:sz w:val="20"/>
          <w:szCs w:val="20"/>
          <w:color w:val="auto"/>
        </w:rPr>
      </w:pPr>
    </w:p>
    <w:p>
      <w:pPr>
        <w:jc w:val="both"/>
        <w:ind w:right="4739"/>
        <w:spacing w:after="0" w:line="290" w:lineRule="auto"/>
        <w:rPr>
          <w:sz w:val="20"/>
          <w:szCs w:val="20"/>
          <w:color w:val="auto"/>
        </w:rPr>
      </w:pPr>
      <w:r>
        <w:rPr>
          <w:rFonts w:ascii="Arial" w:cs="Arial" w:eastAsia="Arial" w:hAnsi="Arial"/>
          <w:sz w:val="15"/>
          <w:szCs w:val="15"/>
          <w:color w:val="auto"/>
        </w:rPr>
        <w:t>The Parties acknowledge all provisions of the Agreement comply with any and all requirements of conspicuousness under the laws of the State of Texas.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HEADINGS</w:t>
      </w:r>
    </w:p>
    <w:p>
      <w:pPr>
        <w:spacing w:after="0" w:line="23" w:lineRule="exact"/>
        <w:rPr>
          <w:sz w:val="20"/>
          <w:szCs w:val="20"/>
          <w:color w:val="auto"/>
        </w:rPr>
      </w:pPr>
    </w:p>
    <w:p>
      <w:pPr>
        <w:jc w:val="both"/>
        <w:ind w:right="4739"/>
        <w:spacing w:after="0" w:line="252" w:lineRule="auto"/>
        <w:rPr>
          <w:sz w:val="20"/>
          <w:szCs w:val="20"/>
          <w:color w:val="auto"/>
        </w:rPr>
      </w:pPr>
      <w:r>
        <w:rPr>
          <w:rFonts w:ascii="Arial" w:cs="Arial" w:eastAsia="Arial" w:hAnsi="Arial"/>
          <w:sz w:val="16"/>
          <w:szCs w:val="16"/>
          <w:color w:val="auto"/>
        </w:rPr>
        <w:t>The titles and headings set forth in the Agreement have been included solely for ease of reference and will not be considered in the interpretation or construction of the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CONSTRUCTION OF AGREEMENT</w:t>
      </w:r>
    </w:p>
    <w:p>
      <w:pPr>
        <w:spacing w:after="0" w:line="23" w:lineRule="exact"/>
        <w:rPr>
          <w:sz w:val="20"/>
          <w:szCs w:val="20"/>
          <w:color w:val="auto"/>
        </w:rPr>
      </w:pPr>
    </w:p>
    <w:p>
      <w:pPr>
        <w:jc w:val="both"/>
        <w:ind w:right="4739"/>
        <w:spacing w:after="0" w:line="248" w:lineRule="auto"/>
        <w:rPr>
          <w:sz w:val="20"/>
          <w:szCs w:val="20"/>
          <w:color w:val="auto"/>
        </w:rPr>
      </w:pPr>
      <w:r>
        <w:rPr>
          <w:rFonts w:ascii="Arial" w:cs="Arial" w:eastAsia="Arial" w:hAnsi="Arial"/>
          <w:sz w:val="16"/>
          <w:szCs w:val="16"/>
          <w:color w:val="auto"/>
        </w:rPr>
        <w:t>Any ambiguities or uncertainties in the wording of any provision of this Agreement shall not be construed or interpreted for or against any Party because that Party drafted or caused its legal representative to draft the provision. Unless expressly stated otherwise in this Agreement, words used in the singular include the plural, the plural includes the singular, and the neuter gender includes the masculine and the feminine.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SEVERABILITY</w:t>
      </w:r>
    </w:p>
    <w:p>
      <w:pPr>
        <w:spacing w:after="0" w:line="23" w:lineRule="exact"/>
        <w:rPr>
          <w:sz w:val="20"/>
          <w:szCs w:val="20"/>
          <w:color w:val="auto"/>
        </w:rPr>
      </w:pPr>
    </w:p>
    <w:p>
      <w:pPr>
        <w:jc w:val="both"/>
        <w:ind w:right="4739"/>
        <w:spacing w:after="0" w:line="276" w:lineRule="auto"/>
        <w:rPr>
          <w:sz w:val="20"/>
          <w:szCs w:val="20"/>
          <w:color w:val="auto"/>
        </w:rPr>
      </w:pPr>
      <w:r>
        <w:rPr>
          <w:rFonts w:ascii="Arial" w:cs="Arial" w:eastAsia="Arial" w:hAnsi="Arial"/>
          <w:sz w:val="15"/>
          <w:szCs w:val="15"/>
          <w:color w:val="auto"/>
        </w:rPr>
        <w:t>The invalidity or unenforceability of any particular provision of the Agreement will not affect the other provisions hereof, and the Agreement will be construed in all respects as if such invalid or unenforceable provision were omitted.</w:t>
      </w:r>
    </w:p>
    <w:p>
      <w:pPr>
        <w:sectPr>
          <w:pgSz w:w="11900" w:h="16848" w:orient="portrait"/>
          <w:cols w:equalWidth="0" w:num="1">
            <w:col w:w="10219"/>
          </w:cols>
          <w:pgMar w:left="240" w:top="125" w:right="1440" w:bottom="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MISCELLANEOUS</w:t>
      </w:r>
    </w:p>
    <w:p>
      <w:pPr>
        <w:spacing w:after="0" w:line="23" w:lineRule="exact"/>
        <w:rPr>
          <w:sz w:val="20"/>
          <w:szCs w:val="20"/>
          <w:color w:val="auto"/>
        </w:rPr>
      </w:pPr>
    </w:p>
    <w:p>
      <w:pPr>
        <w:jc w:val="both"/>
        <w:ind w:right="4739"/>
        <w:spacing w:after="0" w:line="252" w:lineRule="auto"/>
        <w:rPr>
          <w:sz w:val="20"/>
          <w:szCs w:val="20"/>
          <w:color w:val="auto"/>
        </w:rPr>
      </w:pPr>
      <w:r>
        <w:rPr>
          <w:rFonts w:ascii="Arial" w:cs="Arial" w:eastAsia="Arial" w:hAnsi="Arial"/>
          <w:sz w:val="16"/>
          <w:szCs w:val="16"/>
          <w:color w:val="auto"/>
        </w:rPr>
        <w:t>This Agreement shall not be assigned in whole or in part by either Party without the written consent of the other Party; provided, that either Party may assign this Agreement to any of its affiliates in whole or in part.</w:t>
      </w:r>
    </w:p>
    <w:p>
      <w:pPr>
        <w:spacing w:after="0" w:line="23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Page 5 of 5</w:t>
      </w:r>
    </w:p>
    <w:p>
      <w:pPr>
        <w:sectPr>
          <w:pgSz w:w="11900" w:h="16838" w:orient="portrait"/>
          <w:cols w:equalWidth="0" w:num="1">
            <w:col w:w="10219"/>
          </w:cols>
          <w:pgMar w:left="240" w:top="220" w:right="1440" w:bottom="1440" w:gutter="0" w:footer="0" w:header="0"/>
        </w:sectPr>
      </w:pPr>
    </w:p>
    <w:bookmarkStart w:id="117" w:name="page118"/>
    <w:bookmarkEnd w:id="117"/>
    <w:p>
      <w:pPr>
        <w:ind w:left="1300"/>
        <w:spacing w:after="0"/>
        <w:rPr>
          <w:sz w:val="20"/>
          <w:szCs w:val="20"/>
          <w:color w:val="auto"/>
        </w:rPr>
      </w:pPr>
      <w:r>
        <w:rPr>
          <w:rFonts w:ascii="Arial" w:cs="Arial" w:eastAsia="Arial" w:hAnsi="Arial"/>
          <w:sz w:val="27"/>
          <w:szCs w:val="27"/>
          <w:b w:val="1"/>
          <w:bCs w:val="1"/>
          <w:u w:val="single" w:color="auto"/>
          <w:color w:val="auto"/>
        </w:rPr>
        <w:t>WPT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4739"/>
        <w:spacing w:after="0" w:line="269" w:lineRule="auto"/>
        <w:rPr>
          <w:sz w:val="20"/>
          <w:szCs w:val="20"/>
          <w:color w:val="auto"/>
        </w:rPr>
      </w:pPr>
      <w:r>
        <w:rPr>
          <w:rFonts w:ascii="Arial" w:cs="Arial" w:eastAsia="Arial" w:hAnsi="Arial"/>
          <w:sz w:val="15"/>
          <w:szCs w:val="15"/>
          <w:color w:val="auto"/>
        </w:rPr>
        <w:t>No waiver by either Party of any breach of any of the terms and conditions herein contained shall be construed as a waiver of any other breach of the same or any other term and condition. The entire agreement is contained herein and there are no oral understandings, representations, or warranties affecting it. No modification of this agreement shall be of any force or effect unless such modification is in writing and signed by the Party to be bound thereby, and no modification shall be effected by the acknowledgment or acceptance of purchase order forms containing terms or conditions at variance with those set forth herein.</w:t>
      </w:r>
    </w:p>
    <w:p>
      <w:pPr>
        <w:spacing w:after="0" w:line="200" w:lineRule="exact"/>
        <w:rPr>
          <w:sz w:val="20"/>
          <w:szCs w:val="20"/>
          <w:color w:val="auto"/>
        </w:rPr>
      </w:pPr>
    </w:p>
    <w:p>
      <w:pPr>
        <w:spacing w:after="0" w:line="297"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Page 6 of 6</w:t>
      </w:r>
    </w:p>
    <w:p>
      <w:pPr>
        <w:sectPr>
          <w:pgSz w:w="11900" w:h="16838" w:orient="portrait"/>
          <w:cols w:equalWidth="0" w:num="1">
            <w:col w:w="10219"/>
          </w:cols>
          <w:pgMar w:left="240" w:top="125" w:right="1440" w:bottom="1440" w:gutter="0" w:footer="0" w:header="0"/>
        </w:sectPr>
      </w:pPr>
    </w:p>
    <w:bookmarkStart w:id="118" w:name="page119"/>
    <w:bookmarkEnd w:id="118"/>
    <w:tbl>
      <w:tblPr>
        <w:tblLayout w:type="fixed"/>
        <w:tblInd w:w="100" w:type="dxa"/>
        <w:tblCellMar>
          <w:top w:w="0" w:type="dxa"/>
          <w:left w:w="0" w:type="dxa"/>
          <w:bottom w:w="0" w:type="dxa"/>
          <w:right w:w="0" w:type="dxa"/>
        </w:tblCellMar>
      </w:tblPr>
      <w:tr>
        <w:trPr>
          <w:trHeight w:val="310"/>
        </w:trPr>
        <w:tc>
          <w:tcPr>
            <w:tcW w:w="3000" w:type="dxa"/>
            <w:vAlign w:val="bottom"/>
            <w:gridSpan w:val="2"/>
          </w:tcPr>
          <w:p>
            <w:pPr>
              <w:spacing w:after="0"/>
              <w:rPr>
                <w:sz w:val="20"/>
                <w:szCs w:val="20"/>
                <w:color w:val="auto"/>
              </w:rPr>
            </w:pPr>
            <w:r>
              <w:rPr>
                <w:rFonts w:ascii="Arial" w:cs="Arial" w:eastAsia="Arial" w:hAnsi="Arial"/>
                <w:sz w:val="27"/>
                <w:szCs w:val="27"/>
                <w:b w:val="1"/>
                <w:bCs w:val="1"/>
                <w:color w:val="auto"/>
              </w:rPr>
              <w:t>WPT LLC</w:t>
            </w:r>
          </w:p>
        </w:tc>
        <w:tc>
          <w:tcPr>
            <w:tcW w:w="1660" w:type="dxa"/>
            <w:vAlign w:val="bottom"/>
          </w:tcPr>
          <w:p>
            <w:pPr>
              <w:ind w:left="200"/>
              <w:spacing w:after="0"/>
              <w:rPr>
                <w:sz w:val="20"/>
                <w:szCs w:val="20"/>
                <w:color w:val="auto"/>
              </w:rPr>
            </w:pPr>
            <w:r>
              <w:rPr>
                <w:rFonts w:ascii="Arial" w:cs="Arial" w:eastAsia="Arial" w:hAnsi="Arial"/>
                <w:sz w:val="22"/>
                <w:szCs w:val="22"/>
                <w:b w:val="1"/>
                <w:bCs w:val="1"/>
                <w:color w:val="auto"/>
                <w:w w:val="97"/>
              </w:rPr>
              <w:t>EXHIBIT 10.20</w:t>
            </w:r>
          </w:p>
        </w:tc>
      </w:tr>
      <w:tr>
        <w:trPr>
          <w:trHeight w:val="27"/>
        </w:trPr>
        <w:tc>
          <w:tcPr>
            <w:tcW w:w="124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391"/>
        </w:trPr>
        <w:tc>
          <w:tcPr>
            <w:tcW w:w="3000" w:type="dxa"/>
            <w:vAlign w:val="bottom"/>
            <w:gridSpan w:val="2"/>
          </w:tcPr>
          <w:p>
            <w:pPr>
              <w:spacing w:after="0"/>
              <w:rPr>
                <w:sz w:val="20"/>
                <w:szCs w:val="20"/>
                <w:color w:val="auto"/>
              </w:rPr>
            </w:pPr>
            <w:r>
              <w:rPr>
                <w:rFonts w:ascii="Arial" w:cs="Arial" w:eastAsia="Arial" w:hAnsi="Arial"/>
                <w:sz w:val="27"/>
                <w:szCs w:val="27"/>
                <w:b w:val="1"/>
                <w:bCs w:val="1"/>
                <w:color w:val="auto"/>
                <w:w w:val="99"/>
              </w:rPr>
              <w:t>(“Westlake” or “Party”)</w:t>
            </w:r>
          </w:p>
        </w:tc>
        <w:tc>
          <w:tcPr>
            <w:tcW w:w="1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Page 7 of 7</w:t>
      </w:r>
    </w:p>
    <w:p>
      <w:pPr>
        <w:sectPr>
          <w:pgSz w:w="11900" w:h="16838" w:orient="portrait"/>
          <w:cols w:equalWidth="0" w:num="1">
            <w:col w:w="9019"/>
          </w:cols>
          <w:pgMar w:left="1440" w:top="99"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810"/>
        </w:trPr>
        <w:tc>
          <w:tcPr>
            <w:tcW w:w="2900" w:type="dxa"/>
            <w:vAlign w:val="bottom"/>
          </w:tcPr>
          <w:p>
            <w:pPr>
              <w:ind w:left="180"/>
              <w:spacing w:after="0"/>
              <w:rPr>
                <w:sz w:val="20"/>
                <w:szCs w:val="20"/>
                <w:color w:val="auto"/>
              </w:rPr>
            </w:pPr>
            <w:r>
              <w:rPr>
                <w:rFonts w:ascii="Arial" w:cs="Arial" w:eastAsia="Arial" w:hAnsi="Arial"/>
                <w:sz w:val="18"/>
                <w:szCs w:val="18"/>
                <w:b w:val="1"/>
                <w:bCs w:val="1"/>
                <w:color w:val="auto"/>
              </w:rPr>
              <w:t>Name of Subsidiary</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90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58"/>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GP LLC</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92"/>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333-198233) of Westlake Chemical Partners LP of our report dated March 7, 2017 relating to the financial statements and the effectiveness of internal controls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20" w:hanging="652"/>
        <w:spacing w:after="0" w:line="25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2017</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Treasurer and Director of</w:t>
      </w:r>
    </w:p>
    <w:p>
      <w:pPr>
        <w:jc w:val="center"/>
        <w:ind w:left="652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Treasurer and Director of the general partner of the Partnership, each certify, pursuant to 18 U.S.C. Section 1350, as adopted pursuant to Section 906 of the Sarbanes-Oxley Act of 2002, that, to his knowledge:</w:t>
      </w:r>
    </w:p>
    <w:p>
      <w:pPr>
        <w:spacing w:after="0" w:line="171"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5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7, 2017</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w:t>
      </w:r>
    </w:p>
    <w:p>
      <w:pPr>
        <w:jc w:val="center"/>
        <w:ind w:left="6520"/>
        <w:spacing w:after="0" w:line="222" w:lineRule="auto"/>
        <w:rPr>
          <w:sz w:val="20"/>
          <w:szCs w:val="20"/>
          <w:color w:val="auto"/>
        </w:rPr>
      </w:pPr>
      <w:r>
        <w:rPr>
          <w:rFonts w:ascii="Arial" w:cs="Arial" w:eastAsia="Arial" w:hAnsi="Arial"/>
          <w:sz w:val="14"/>
          <w:szCs w:val="14"/>
          <w:b w:val="1"/>
          <w:bCs w:val="1"/>
          <w:color w:val="auto"/>
        </w:rPr>
        <w:t>Treasurer and Director of</w:t>
      </w:r>
    </w:p>
    <w:p>
      <w:pPr>
        <w:jc w:val="center"/>
        <w:ind w:left="652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lvl w:ilvl="1">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lvl w:ilvl="1">
      <w:lvlJc w:val="left"/>
      <w:lvlText w:val="(%2)"/>
      <w:numFmt w:val="decimal"/>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lvl w:ilvl="1">
      <w:lvlJc w:val="left"/>
      <w:lvlText w:val="%2)"/>
      <w:numFmt w:val="decimal"/>
      <w:start w:val="3"/>
    </w:lvl>
  </w:abstractNum>
  <w:abstractNum w:abstractNumId="23">
    <w:nsid w:val="542289EC"/>
    <w:multiLevelType w:val="hybridMultilevel"/>
    <w:lvl w:ilvl="0">
      <w:lvlJc w:val="left"/>
      <w:lvlText w:val="(%1)"/>
      <w:numFmt w:val="decimal"/>
      <w:start w:val="6"/>
    </w:lvl>
    <w:lvl w:ilvl="1">
      <w:lvlJc w:val="left"/>
      <w:lvlText w:val="%2"/>
      <w:numFmt w:val="decimal"/>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1"/>
    </w:lvl>
  </w:abstractNum>
  <w:abstractNum w:abstractNumId="33">
    <w:nsid w:val="79A1DEAA"/>
    <w:multiLevelType w:val="hybridMultilevel"/>
    <w:lvl w:ilvl="0">
      <w:lvlJc w:val="left"/>
      <w:lvlText w:val="%1."/>
      <w:numFmt w:val="decimal"/>
      <w:start w:val="14"/>
    </w:lvl>
  </w:abstractNum>
  <w:abstractNum w:abstractNumId="34">
    <w:nsid w:val="75C6C33A"/>
    <w:multiLevelType w:val="hybridMultilevel"/>
    <w:lvl w:ilvl="0">
      <w:lvlJc w:val="left"/>
      <w:lvlText w:val="%1."/>
      <w:numFmt w:val="decimal"/>
      <w:start w:val="17"/>
    </w:lvl>
  </w:abstractNum>
  <w:abstractNum w:abstractNumId="35">
    <w:nsid w:val="12E685FB"/>
    <w:multiLevelType w:val="hybridMultilevel"/>
    <w:lvl w:ilvl="0">
      <w:lvlJc w:val="left"/>
      <w:lvlText w:val="%1."/>
      <w:numFmt w:val="decimal"/>
      <w:start w:val="20"/>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3"/>
    </w:lvl>
    <w:lvl w:ilvl="1">
      <w:lvlJc w:val="left"/>
      <w:lvlText w:val="(%2)"/>
      <w:numFmt w:val="lowerLetter"/>
      <w:start w:val="1"/>
    </w:lvl>
  </w:abstractNum>
  <w:abstractNum w:abstractNumId="60">
    <w:nsid w:val="2F305DEF"/>
    <w:multiLevelType w:val="hybridMultilevel"/>
    <w:lvl w:ilvl="0">
      <w:lvlJc w:val="left"/>
      <w:lvlText w:val="%1."/>
      <w:numFmt w:val="decimal"/>
      <w:start w:val="7"/>
    </w:lvl>
    <w:lvl w:ilvl="1">
      <w:lvlJc w:val="left"/>
      <w:lvlText w:val="(%2)"/>
      <w:numFmt w:val="lowerLetter"/>
      <w:start w:val="1"/>
    </w:lvl>
  </w:abstractNum>
  <w:abstractNum w:abstractNumId="61">
    <w:nsid w:val="25A70BF7"/>
    <w:multiLevelType w:val="hybridMultilevel"/>
    <w:lvl w:ilvl="0">
      <w:lvlJc w:val="left"/>
      <w:lvlText w:val="(%1)"/>
      <w:numFmt w:val="lowerLetter"/>
      <w:start w:val="7"/>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2"/>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7"/>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2020-01-16T15:23:18Z</dcterms:created>
  <dcterms:modified xsi:type="dcterms:W3CDTF">2020-01-16T15:23:18Z</dcterms:modified>
</cp:coreProperties>
</file>