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8"/>
          <w:szCs w:val="18"/>
          <w:b w:val="1"/>
          <w:bCs w:val="1"/>
          <w:color w:val="auto"/>
        </w:rPr>
        <w:t>March 31, 2026</w:t>
      </w: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240"/>
          </w:cols>
          <w:pgMar w:left="320" w:top="1037" w:right="339" w:bottom="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32-0436529</w:t>
      </w:r>
    </w:p>
    <w:p>
      <w:pPr>
        <w:spacing w:after="0" w:line="37" w:lineRule="exact"/>
        <w:rPr>
          <w:sz w:val="24"/>
          <w:szCs w:val="24"/>
          <w:color w:val="auto"/>
        </w:rPr>
      </w:pPr>
    </w:p>
    <w:p>
      <w:pPr>
        <w:sectPr>
          <w:pgSz w:w="11900" w:h="16838" w:orient="portrait"/>
          <w:cols w:equalWidth="0" w:num="2">
            <w:col w:w="7400" w:space="720"/>
            <w:col w:w="3120"/>
          </w:cols>
          <w:pgMar w:left="320" w:top="1037" w:right="339" w:bottom="2"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60" w:space="720"/>
            <w:col w:w="3260"/>
          </w:cols>
          <w:pgMar w:left="320" w:top="1037" w:right="339" w:bottom="2" w:gutter="0" w:footer="0" w:header="0"/>
          <w:type w:val="continuous"/>
        </w:sectPr>
      </w:pP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1037" w:right="339" w:bottom="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585-2900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3240" w:type="dxa"/>
            <w:vAlign w:val="bottom"/>
            <w:tcBorders>
              <w:left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3340" w:type="dxa"/>
            <w:vAlign w:val="bottom"/>
            <w:tcBorders>
              <w:right w:val="single" w:sz="8" w:color="auto"/>
            </w:tcBorders>
          </w:tcPr>
          <w:p>
            <w:pPr>
              <w:spacing w:after="0"/>
              <w:rPr>
                <w:sz w:val="15"/>
                <w:szCs w:val="15"/>
                <w:color w:val="auto"/>
              </w:rPr>
            </w:pPr>
          </w:p>
        </w:tc>
        <w:tc>
          <w:tcPr>
            <w:tcW w:w="4620" w:type="dxa"/>
            <w:vAlign w:val="bottom"/>
            <w:tcBorders>
              <w:right w:val="single" w:sz="8" w:color="auto"/>
            </w:tcBorders>
          </w:tcPr>
          <w:p>
            <w:pPr>
              <w:spacing w:after="0"/>
              <w:rPr>
                <w:sz w:val="15"/>
                <w:szCs w:val="15"/>
                <w:color w:val="auto"/>
              </w:rPr>
            </w:pPr>
          </w:p>
        </w:tc>
      </w:tr>
      <w:tr>
        <w:trPr>
          <w:trHeight w:val="234"/>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WLKP</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1037" w:right="339" w:bottom="2"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registrant had 35,245,879 common units outstanding as of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298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454,181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(21,123,649 and 21,123,649 units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543,816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802,352</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5"/>
        </w:trPr>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r>
      <w:tr>
        <w:trPr>
          <w:trHeight w:val="196"/>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9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190,781</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42,416</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 interest in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 attributable to Westlake Chemical Partners LP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limited partner units outstanding (basic and diluted)</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21,123,649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21,116,326</w:t>
            </w:r>
          </w:p>
        </w:tc>
      </w:tr>
      <w:tr>
        <w:trPr>
          <w:trHeight w:val="255"/>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792,386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36,942</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charges and other assets and others,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(105,521)</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14,044</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(68,517)</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Partnership owns a 22.8% limited partner interest in Westlake Chemical OpCo LP ("OpCo") and a 100% interest in Westlake Chemical OpCo GP LLC ("OpCo GP"), which is the general partner of OpCo. OpCo owns three ethylene production facilities and one common carrier ethylene pipeline. The remaining 77.2% limited partner interest in OpCo is owned by Westlake Corporation. References to "Westlake" refer collectively to Westlake Corporation and its subsidiaries, other than the Partnership, OpCo and OpCo GP.</w:t>
      </w:r>
    </w:p>
    <w:p>
      <w:pPr>
        <w:spacing w:after="0" w:line="126"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OpCo and Westlake entered into an ethylene sales agreement (the "Ethylene Sales Agreement") pursuant to which the Partnership generates a substantial majority of its revenue. For more information, see Note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2025 (the "2025 Form 10-K"), filed with the SEC on March 4, 2026. These financial statements have been prepared in conformity with the accounting principles and practices as disclosed in the notes to the consolidated financial statements of the Partnership for the fiscal year ended December 31, 2025.</w:t>
      </w:r>
    </w:p>
    <w:p>
      <w:pPr>
        <w:spacing w:after="0" w:line="13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13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2026, its results of operations for the three months ended March 31, 2026 and 2025 and the changes in its cash position for the three months ended March 31, 2026 and 2025.</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2026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No. 2024-03)</w:t>
      </w:r>
    </w:p>
    <w:p>
      <w:pPr>
        <w:spacing w:after="0" w:line="10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 (ASU No. 2025-05)</w:t>
      </w:r>
    </w:p>
    <w:p>
      <w:pPr>
        <w:spacing w:after="0" w:line="10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Partnership adopted the standard electing a practical expedient effective January 1, 2026, and the adoption of this accounting standard did not have a material impact on its consolidated statements of financial position, results of operations, or cash flows, or on related financial statement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2"/>
                <w:szCs w:val="22"/>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$22,339 and $20,836 is included in cost of sales in the consolidated statements of operations for the three months ended March 31, 2026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58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$11,960 and $6,232 is included in cost of sales in the consolidated statements of operations for the three months ended March 31, 2026 and 2025,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94"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On May 4, 2026, the board of directors of Westlake Chemical Partners GP LLC ("Westlake GP"), the Partnership's general partner, declared a quarterly cash distribution for the three months ended March 31, 2026 of 0.4714 per common unit. This distribution is payable on June 1, 2026 to unitholders of record as of May 14, 2026.</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80" w:type="dxa"/>
            <w:vAlign w:val="bottom"/>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w:t>
            </w: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in the event distributions related to the incentive distribution rights are made, net income equal to the amount of those distributions would first be allocated to the general partner before the remaining net income would be allocated to the unitholders based on their respective ownership percentages. Basic and diluted net income per unit is the same because the Partnership does not have any potentially dilutive units outstanding for the periods presented.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35,245,879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35,245,879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35,238,556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Incentive distribution rights represent the right to receive increasing percentages (15.0 %, 25.0 % and 50.0 %) of quarterly distributions from operating surplus after the target distribution levels have been achieved.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r>
      <w:tr>
        <w:trPr>
          <w:trHeight w:val="23"/>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IDR Holders</w:t>
            </w: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2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If cash distributions to the Partnership's unitholders do not exceed $1.2938 per common unit in a quarter, then no distribution is made with respect to the Partnership's incentive distribution rights for such quarter. The Partnership's distribution for the three months ended March 31, 2026 was $0.4714 per common unit, which did not exceed the $1.2938 per unit threshold, and, as a result, no distribution was made with respect to the Partnership's incentive distribution rights to Westlake, as the holder of the Partnership's incentive distribution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months ended March 31, 2026 and 2025 were as follows:</w:t>
      </w:r>
    </w:p>
    <w:p>
      <w:pPr>
        <w:spacing w:after="0" w:line="12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33655</wp:posOffset>
            </wp:positionV>
            <wp:extent cx="1868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5" w:lineRule="exact"/>
        <w:rPr>
          <w:sz w:val="20"/>
          <w:szCs w:val="20"/>
          <w:color w:val="auto"/>
        </w:rPr>
      </w:pPr>
    </w:p>
    <w:p>
      <w:pPr>
        <w:ind w:left="8800"/>
        <w:spacing w:after="0"/>
        <w:tabs>
          <w:tab w:leader="none" w:pos="103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980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40" w:val="left"/>
          <w:tab w:leader="none" w:pos="9080" w:val="left"/>
          <w:tab w:leader="none" w:pos="9760" w:val="left"/>
          <w:tab w:leader="none" w:pos="10600" w:val="left"/>
        </w:tabs>
        <w:rPr>
          <w:sz w:val="20"/>
          <w:szCs w:val="20"/>
          <w:color w:val="auto"/>
        </w:rPr>
      </w:pPr>
      <w:r>
        <w:rPr>
          <w:rFonts w:ascii="Times New Roman" w:cs="Times New Roman" w:eastAsia="Times New Roman" w:hAnsi="Times New Roman"/>
          <w:sz w:val="18"/>
          <w:szCs w:val="18"/>
          <w:color w:val="auto"/>
        </w:rPr>
        <w:t>Distributions per common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0.4714</w:t>
        <w:tab/>
        <w:t>$</w:t>
      </w:r>
      <w:r>
        <w:rPr>
          <w:sz w:val="20"/>
          <w:szCs w:val="20"/>
          <w:color w:val="auto"/>
        </w:rPr>
        <w:tab/>
      </w:r>
      <w:r>
        <w:rPr>
          <w:rFonts w:ascii="Times New Roman" w:cs="Times New Roman" w:eastAsia="Times New Roman" w:hAnsi="Times New Roman"/>
          <w:sz w:val="18"/>
          <w:szCs w:val="18"/>
          <w:color w:val="auto"/>
        </w:rPr>
        <w:t>0.4714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43180</wp:posOffset>
            </wp:positionV>
            <wp:extent cx="1868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94"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To date, no common units have been issued under this program.</w:t>
      </w:r>
    </w:p>
    <w:p>
      <w:pPr>
        <w:spacing w:after="0" w:line="11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2025 consolidated financial statements included in the 2025 Form 10-K filed on March 4, 2026,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2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33655</wp:posOffset>
            </wp:positionV>
            <wp:extent cx="18859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40" w:val="left"/>
          <w:tab w:leader="none" w:pos="9000" w:val="left"/>
          <w:tab w:leader="none" w:pos="9780" w:val="left"/>
          <w:tab w:leader="none" w:pos="10540" w:val="left"/>
        </w:tabs>
        <w:rPr>
          <w:sz w:val="20"/>
          <w:szCs w:val="20"/>
          <w:color w:val="auto"/>
        </w:rPr>
      </w:pPr>
      <w:r>
        <w:rPr>
          <w:rFonts w:ascii="Times New Roman" w:cs="Times New Roman" w:eastAsia="Times New Roman" w:hAnsi="Times New Roman"/>
          <w:sz w:val="18"/>
          <w:szCs w:val="18"/>
          <w:color w:val="auto"/>
        </w:rPr>
        <w:t>Net sales—Westlake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263,091</w:t>
        <w:tab/>
        <w:t>$</w:t>
      </w:r>
      <w:r>
        <w:rPr>
          <w:sz w:val="20"/>
          <w:szCs w:val="20"/>
          <w:color w:val="auto"/>
        </w:rPr>
        <w:tab/>
      </w:r>
      <w:r>
        <w:rPr>
          <w:rFonts w:ascii="Times New Roman" w:cs="Times New Roman" w:eastAsia="Times New Roman" w:hAnsi="Times New Roman"/>
          <w:sz w:val="17"/>
          <w:szCs w:val="17"/>
          <w:color w:val="auto"/>
        </w:rPr>
        <w:t>190,781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43180</wp:posOffset>
            </wp:positionV>
            <wp:extent cx="1885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00"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2026, OpCo's production resulted in expected "excess quantities" of ethylene produced based on annual estimated production. Pursuant to the terms of the Ethylene Sales Agreement, the excess quantities produced by the Partnership were sold to Westlake at prices that excluded certain fixed costs of production. The fixed cost of production associated with the estimated excess quantities for the quarter ended March 31, 2026 was approximately $800.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80" w:type="dxa"/>
            <w:vAlign w:val="bottom"/>
            <w:gridSpan w:val="5"/>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85,499</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38,205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31,477</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33655</wp:posOffset>
            </wp:positionV>
            <wp:extent cx="1885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40" w:val="left"/>
          <w:tab w:leader="none" w:pos="9180" w:val="left"/>
          <w:tab w:leader="none" w:pos="9780" w:val="left"/>
          <w:tab w:leader="none" w:pos="10720" w:val="left"/>
        </w:tabs>
        <w:rPr>
          <w:sz w:val="20"/>
          <w:szCs w:val="20"/>
          <w:color w:val="auto"/>
        </w:rPr>
      </w:pPr>
      <w:r>
        <w:rPr>
          <w:rFonts w:ascii="Times New Roman" w:cs="Times New Roman" w:eastAsia="Times New Roman" w:hAnsi="Times New Roman"/>
          <w:sz w:val="18"/>
          <w:szCs w:val="18"/>
          <w:color w:val="auto"/>
        </w:rPr>
        <w:t>Services received from Westlake and included in selling, general and administrative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6,419</w:t>
        <w:tab/>
        <w:t>$</w:t>
      </w:r>
      <w:r>
        <w:rPr>
          <w:sz w:val="20"/>
          <w:szCs w:val="20"/>
          <w:color w:val="auto"/>
        </w:rPr>
        <w:tab/>
      </w:r>
      <w:r>
        <w:rPr>
          <w:rFonts w:ascii="Times New Roman" w:cs="Times New Roman" w:eastAsia="Times New Roman" w:hAnsi="Times New Roman"/>
          <w:sz w:val="17"/>
          <w:szCs w:val="17"/>
          <w:color w:val="auto"/>
        </w:rPr>
        <w:t>6,431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43180</wp:posOffset>
            </wp:positionV>
            <wp:extent cx="18859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33655</wp:posOffset>
            </wp:positionV>
            <wp:extent cx="1885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2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40" w:val="left"/>
          <w:tab w:leader="none" w:pos="9320" w:val="left"/>
          <w:tab w:leader="none" w:pos="9780" w:val="left"/>
          <w:tab w:leader="none" w:pos="10720" w:val="left"/>
        </w:tabs>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541</w:t>
        <w:tab/>
        <w:t>$</w:t>
      </w:r>
      <w:r>
        <w:rPr>
          <w:sz w:val="20"/>
          <w:szCs w:val="20"/>
          <w:color w:val="auto"/>
        </w:rPr>
        <w:tab/>
      </w:r>
      <w:r>
        <w:rPr>
          <w:rFonts w:ascii="Times New Roman" w:cs="Times New Roman" w:eastAsia="Times New Roman" w:hAnsi="Times New Roman"/>
          <w:sz w:val="17"/>
          <w:szCs w:val="17"/>
          <w:color w:val="auto"/>
        </w:rPr>
        <w:t>5,428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43180</wp:posOffset>
            </wp:positionV>
            <wp:extent cx="1885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$269 and $206 was included in the receivable under the Investment Management Agreement balance at March 31, 2026 and December 31, 2025, respectively. Total interest earned related to the Investment Management Agreement was $269 and $1,357 for the three months ended March 31, 2026 and 2025, respectively.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23,378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10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recognized under the Ethylene Sales Agreement.</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2025, OpCo had an annual production deficiency under the Ethylene Sales Agreement for the full year 2025 primarily due to the Petro 1 turnaround extending into April 2025, which was later than the planned completion in March 2025.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 is classified as a component of net sales—Westlake. The total Buyer Deficiency Fee recognized by the Partnership during the twelve months ended December 31, 2025 was $5,835. The Buyer Deficiency Fee recognized in 2025 was received by the Partnership in January 2026.</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94"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19,132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9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$437 and $338 for the three months ended March 31, 2026 and 2025, respectively, and are reflected in other charges from Westlake that are included in cost of sales.</w:t>
      </w:r>
    </w:p>
    <w:p>
      <w:pPr>
        <w:spacing w:after="0" w:line="122"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jc w:val="both"/>
        <w:ind w:right="340"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March 31, 2026 and 2025 was $5,085 and $5,537, respectively. Interest on related party debt payable is presented as interest expense—Westlake in the consolidated statements of operations. At March 31, 2026 and December 31, 2025, accrued interest on related party debt was $5,085 and $5,508, respectively, and is reflected as a component of accrued and other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94" w:lineRule="exact"/>
        <w:rPr>
          <w:sz w:val="20"/>
          <w:szCs w:val="20"/>
          <w:color w:val="auto"/>
        </w:rPr>
      </w:pPr>
    </w:p>
    <w:p>
      <w:pPr>
        <w:jc w:val="both"/>
        <w:ind w:right="8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Westlake accounted for approximately 86.1% and 80.3%, respectively, of the Partnership's net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As of March 31, 2026,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5.5% and 5.8% at March 31, 2026 and December 31, 2025,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 Partnership was in compliance with all of the covenants under the OpCo Revolver and the MLP Revolver.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March 31, 2026 and December 31, 2025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8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80" w:type="dxa"/>
            <w:vAlign w:val="bottom"/>
          </w:tcPr>
          <w:p>
            <w:pPr>
              <w:spacing w:after="0"/>
              <w:rPr>
                <w:sz w:val="16"/>
                <w:szCs w:val="16"/>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6"/>
                <w:szCs w:val="16"/>
                <w:color w:val="auto"/>
              </w:rPr>
            </w:pPr>
          </w:p>
        </w:tc>
        <w:tc>
          <w:tcPr>
            <w:tcW w:w="90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3"/>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409,399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408,780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88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and other liabilities were $21,847 and $22,199 at March 31, 2026 and December 31, 2025, respectively. Accrued taxes, accrued turnaround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accrued PP&amp;E capital expenditures and accrued interest on related party debt, which are components of accrued and other liabilities, were $3,409,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$5,082, $2,892 and $5,085, respectively, at March 31, 2026 and $2,104, $6,372, $994 and $5,508, respectively, at December 31, 2025. No other component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accrued and other liabilities was more than five percent of total current liabilities.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$5,681 and $14,756 at March 31,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There were no right-of-use assets obtained in exchange for operating lease obligations for the three months ended March 31, 2026. Right-of-use assets for operating lease obligations for the three months ended March 31, 2025 were $173,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certain environmental and other liabilities that occurred or existed prior to August 4, 2014. Pursuant to the Services and Secondment Agreement, certain subsidiaries of Westlake will indemnify the Partnership for certain liabilities incurred in connection with the performance of Westlake's services under such agreement.</w:t>
      </w:r>
    </w:p>
    <w:p>
      <w:pPr>
        <w:spacing w:after="0" w:line="140"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9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Partnership has one operating segment, which is the Partnership's reportable segment, OpCo.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 and other segment items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0" w:type="dxa"/>
            <w:vAlign w:val="bottom"/>
          </w:tcPr>
          <w:p>
            <w:pPr>
              <w:spacing w:after="0"/>
              <w:rPr>
                <w:sz w:val="1"/>
                <w:szCs w:val="1"/>
                <w:color w:val="auto"/>
              </w:rPr>
            </w:pPr>
          </w:p>
        </w:tc>
      </w:tr>
      <w:tr>
        <w:trPr>
          <w:trHeight w:val="473"/>
        </w:trPr>
        <w:tc>
          <w:tcPr>
            <w:tcW w:w="8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net income to consolidated net income is as follows: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OpCo</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net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1,222,123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1,235,698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85" w:lineRule="exact"/>
        <w:rPr>
          <w:sz w:val="20"/>
          <w:szCs w:val="20"/>
          <w:color w:val="auto"/>
        </w:rPr>
      </w:pPr>
    </w:p>
    <w:p>
      <w:pPr>
        <w:ind w:left="5540" w:right="2980" w:hanging="5532"/>
        <w:spacing w:after="0" w:line="970" w:lineRule="auto"/>
        <w:tabs>
          <w:tab w:leader="none" w:pos="4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interest expense—Westlake, other income, net and provision for income taxes.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2025 (the "2025 Form 10-K"), as filed with the SEC on March 4, 2026.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Neither we nor OpCo has any employees. OpCo and Westlake are parties to the Services and Secondment Agreement, pursuant to which Westlake provides OpCo with various utility services, comprehensive operating services for OpCo's units, services for the maintenance and operation of the common facilities and seconded employees to perform all services required under the agreement. The Services and Secondment Agreement, as amended, provides for an initial term through December 31, 2026 and, subject to the simultaneous renewal of the Ethylene Sales Agreement, automatic 12-month renewal periods until terminated at the end of the initial term or any renewal term on not less than 12-months' notice.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4" w:lineRule="exact"/>
        <w:rPr>
          <w:sz w:val="20"/>
          <w:szCs w:val="20"/>
          <w:color w:val="auto"/>
        </w:rPr>
      </w:pPr>
    </w:p>
    <w:p>
      <w:pPr>
        <w:ind w:firstLine="405"/>
        <w:spacing w:after="0" w:line="269" w:lineRule="auto"/>
        <w:rPr>
          <w:sz w:val="20"/>
          <w:szCs w:val="20"/>
          <w:color w:val="auto"/>
        </w:rPr>
      </w:pPr>
      <w:r>
        <w:rPr>
          <w:rFonts w:ascii="Times New Roman" w:cs="Times New Roman" w:eastAsia="Times New Roman" w:hAnsi="Times New Roman"/>
          <w:sz w:val="17"/>
          <w:szCs w:val="17"/>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 is obligated to pay for the annual minimum quantity (95% of OpCo's budgeted ethylene production). In the event Westlake purchases less than its annual commitment, we recognize a buyer deficiency fee ("Buyer Deficiency Fee") representing fixed margin and all expenses and expenditures incurred per pound of volume committed but not taken by Westlake. The annual commitment is not reduced for a force majeure event affecting OpCo's plants that lasts fewer than 45 consecutive days; however, in the event of such a force majeure event, we recognize a Buyer Deficiency Fee representing fixed margin and unavoided operating and maintenance capital expenditures and maintenance expenses per pound of volume committed by Westlake during the force majeure period. Payment of the Buyer Deficiency Fee is scheduled to be received by the Partnership after the conclusion of the year in which the annual commitment was not purchased and taken by Westlake.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2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94"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Buyer Deficiency fees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121,216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75,021</w:t>
            </w:r>
          </w:p>
        </w:tc>
        <w:tc>
          <w:tcPr>
            <w:tcW w:w="0" w:type="dxa"/>
            <w:vAlign w:val="bottom"/>
          </w:tcPr>
          <w:p>
            <w:pPr>
              <w:spacing w:after="0"/>
              <w:rPr>
                <w:sz w:val="1"/>
                <w:szCs w:val="1"/>
                <w:color w:val="auto"/>
              </w:rPr>
            </w:pPr>
          </w:p>
        </w:tc>
      </w:tr>
      <w:tr>
        <w:trPr>
          <w:trHeight w:val="21"/>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80" w:hanging="254"/>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32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00" w:type="dxa"/>
            <w:vAlign w:val="bottom"/>
          </w:tcPr>
          <w:p>
            <w:pPr>
              <w:spacing w:after="0"/>
              <w:rPr>
                <w:sz w:val="11"/>
                <w:szCs w:val="11"/>
                <w:color w:val="auto"/>
              </w:rPr>
            </w:pPr>
          </w:p>
        </w:tc>
        <w:tc>
          <w:tcPr>
            <w:tcW w:w="166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16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percentage change from prior-year period due to average sales price and volume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14"/>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r>
      <w:tr>
        <w:trPr>
          <w:trHeight w:val="229"/>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23"/>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42,309</w:t>
            </w: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disposition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w:t>
            </w:r>
          </w:p>
        </w:tc>
      </w:tr>
      <w:tr>
        <w:trPr>
          <w:trHeight w:val="22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r>
      <w:tr>
        <w:trPr>
          <w:trHeight w:val="22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(36,567)</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quarter ended March 31, 2026, net income was $81.7 million on net sales of $305.7 million. This represents an increase in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$39.4 million as compared to net income of $42.3 million on net sales of $237.6 million for the quarter ended March 31, 2025. Net income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for the first quarter of 2026 was $14.2 million as compared to $4.9 million for the first quarter of 2025, an increase of $9.3 million.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operations was $86.6 million for the first quarter of 2026 as compared to $46.6 million for the first quarter of 2025, an increase of $40.0 million.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for the first quarter of 2026 increased by $68.1 million as compared to the first quarter of 2025. These increases were primarily driven by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ethylene production and resulting higher sales to Westlake in the first quarter of 2026 as compared to lower ethylene production due to the Petro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turnaround in the first quarter of 2025. In addition, we had higher co-products sales volumes, which was partially offset by lower sales prices and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ethylene sales volumes to third parties. Higher income from operations, net income and net income attributable to the Partnership for the first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as compared to the first quarter of 2025 due to higher sales to Westlake was partially offset by higher natural gas costs in the first quarter of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first quarter of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Compared with First Quarter 2025</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by $68.1 million, or 28.7%, to $305.7 million in the first quarter of 2026 from $237.6 million in the first quarter of</w:t>
      </w:r>
    </w:p>
    <w:p>
      <w:pPr>
        <w:spacing w:after="0" w:line="29" w:lineRule="exact"/>
        <w:rPr>
          <w:sz w:val="20"/>
          <w:szCs w:val="20"/>
          <w:color w:val="auto"/>
        </w:rPr>
      </w:pPr>
    </w:p>
    <w:p>
      <w:pPr>
        <w:ind w:right="120"/>
        <w:spacing w:after="0" w:line="216" w:lineRule="exact"/>
        <w:rPr>
          <w:sz w:val="20"/>
          <w:szCs w:val="20"/>
          <w:color w:val="auto"/>
        </w:rPr>
      </w:pPr>
      <w:r>
        <w:rPr>
          <w:rFonts w:ascii="Times New Roman" w:cs="Times New Roman" w:eastAsia="Times New Roman" w:hAnsi="Times New Roman"/>
          <w:sz w:val="18"/>
          <w:szCs w:val="18"/>
          <w:color w:val="auto"/>
        </w:rPr>
        <w:t>2025. The increase in net sales in the first quarter of 2026 as compared to the first quarter of 2025 was primarily due to higher ethylene sales volumes to Westlake as well as higher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products sales volumes, partially offset by lower sales prices and sales volumes to third parties. Higher sales volumes in the first quarter of 2026 contributed to a 36.4% increase in net sales compared to the first quarter of 2025. Lower average sales prices in the first quarter of 2026 contributed to a 7.7% decrease in net sales compared to the first quarter of 2025.</w:t>
      </w:r>
    </w:p>
    <w:p>
      <w:pPr>
        <w:spacing w:after="0" w:line="143"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$93.8 million in the first quarter of 2026 from $54.1 million in the first quarter of 2025. Gross profit margin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quarter of 2026 was 30.7%, as compared to 22.8% in the first quarter of 2025. The higher gross profit margin was primarily due to higher production and sales in the first quarter of 2026 as compared to the first quarter of 2025 due to the Petro 1 turnaround in the first quarter of 2025, partially offset by higher natural gas costs in the first quarter of 2026 compared to the first quarter of 2025.</w:t>
      </w:r>
    </w:p>
    <w:p>
      <w:pPr>
        <w:spacing w:after="0" w:line="126" w:lineRule="exact"/>
        <w:rPr>
          <w:sz w:val="20"/>
          <w:szCs w:val="20"/>
          <w:color w:val="auto"/>
        </w:rPr>
      </w:pPr>
    </w:p>
    <w:p>
      <w:pPr>
        <w:ind w:right="1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remained relatively consistent at $7.2 million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2026 as compared to $7.5 million in the first quarter of 2025.</w:t>
      </w:r>
    </w:p>
    <w:p>
      <w:pPr>
        <w:spacing w:after="0" w:line="104" w:lineRule="exact"/>
        <w:rPr>
          <w:sz w:val="20"/>
          <w:szCs w:val="20"/>
          <w:color w:val="auto"/>
        </w:rPr>
      </w:pPr>
    </w:p>
    <w:p>
      <w:pPr>
        <w:ind w:right="5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$5.1 million in the first quarter of 2026 decreased from $5.5 million in the first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lower interest rates on the outstanding debt in the first quarter of 2026 as compared to the first quarter of 2025.</w:t>
      </w:r>
    </w:p>
    <w:p>
      <w:pPr>
        <w:spacing w:after="0" w:line="104"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to $0.3 million in the first quarter of 2026 from $1.3 million in the first quarter of 2025,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decrease in interest earned on investments with Westlake under the Investment Management Agreement due to a lower average amount of cash invested and lower interest rates in the first quarter of 2026 as compared to the first quarter of 2025.</w:t>
      </w:r>
    </w:p>
    <w:p>
      <w:pPr>
        <w:spacing w:after="0" w:line="119" w:lineRule="exact"/>
        <w:rPr>
          <w:sz w:val="20"/>
          <w:szCs w:val="20"/>
          <w:color w:val="auto"/>
        </w:rPr>
      </w:pPr>
    </w:p>
    <w:p>
      <w:pPr>
        <w:jc w:val="both"/>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$13.2 million to $17.9 million in the first quarter of 2026 from $4.7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quarter of 2025. The increase in the first quarter of 2026, as compared to the prior-year period, was primarily attributable to increased earnings at OpCo and lower maintenance capital expenditures in the first quarter of 2026.</w:t>
      </w:r>
    </w:p>
    <w:p>
      <w:pPr>
        <w:spacing w:after="0" w:line="119"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$46.2 million to $121.2 million in the first quarter of 2026 from $75.0 million in the first quarter of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ethylene sales to Westlake and higher co-products sales, partially offset by higher natural gas costs in the first quarter of 2026 compared to the first quarter of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66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THREE MONTHS ENDED MARCH 31, 2026 AND 2025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Operating activities provided cash of $110.2 million in the first three months of 2026 compared to cash provided by operating activities of $45.8 million in the first three months of 2025. The $64.4 million increase in cash flows from operating activities was mainly due to higher income from operations in the first three months of 2026 as compared to the first three months of 2025 and a favorable impact in the first three months of 2026 as compared to the first three months of 2025 when significant cash was used in connection with the 2025 Petro 1 turnaround, offset by a decrease in cash provided by working capital changes. Changes in components of working capital resulted in cash use of $5.4 million in the first three months of 2026 as compared to $81.7 million of cash provided in the first three months of 2025, resulting in an overall unfavorable change of $87.1 million. The unfavorable change in working capital was mainly attributable to unfavorable changes in accounts payable—third parties and accrued and other liabilities. This unfavorable change was partially offset by a favorable change in net accounts receivable—Westlake in the first three months of 2026.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Net cash used for investing activities in the first three months of 2026 was $18.6 million as compared to net cash provided by investing activities of $14.0 million in the first three months of 2025, resulting in an overall unfavorable change of $32.6 million in investing cash flows. During the first three months of 2026, there were investments of $13.0 million with Westlake and no maturities of investments with Westlake under the Investment Management Agreement, whereas during the first three months of 2025, there were no investments with Westlake and there were maturities of $30.0 million. Capital expenditures decreased to $5.6 million in the first three months of 2026 as compared to $16.0 million in the first three months of 2025 due to the 2025 Petro 1 turnaround. Capital expenditures in the first three months of 2026 and 2025 were primarily related to projects to increase production capacity or reduce costs, maintenance costs and safety and environmental projects at our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three months of 2026 was $91.6 million as compared to net cash used for financing activities of $68.5 million in the first three months of 2025. The cash outflows in the first three months of 2026 were related to distributions of $75.0 million to the noncontrolling interest retained in OpCo by Westlake and of $16.6 million to unitholders by the Partnership. The cash outflows in the first three months of 2025 were related to distributions of $51.9 million to the noncontrolling interest retained in OpCo by Westlake and of $16.6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March 31, 2026.</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to eight years. By reserving additional cash annually, we intend to reduce the variability in OpCo's cash flow. Westlake's purchase price for its minimum commitment of ethylene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May 4, 2026, the board of directors of Westlake Chemical Partners GP LLC, our general partner, approved a quarterly distribution of $0.4714 per common unit payable on June 1, 2026 to unitholders of record as of May 14, 2026, which equates to a total amount of approximately $16.6 million per quarter, or approximately $66.5 million per year in aggregate, based on the number of common units outstanding on March 31, 2026. We do not have a legal or contractual obligation to pay distributions on a quarterly basis or any other basis at our minimum quarterly distribution rate or any other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three months ended March 31, 2026 and 2025. Total capital expenditures for the three months ended March 31, 2026 and 2025 were $5.6 million and $16.0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our cash and cash equivalents totaled $44.3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6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$36.4 million of cash invested under the Investment Management Agreement at March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March 31, 2026,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March 31, 2026,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0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Basis of Presentation," to the unaudited consolidated financial statements included in Item 1 of this Form 10-Q for a full description of recent accounting pronouncements, including expected date of adoption and estimated effect on results of operations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timing, outcome and results of our strategies and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9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2025 Form 10-K and the following:</w:t>
      </w:r>
    </w:p>
    <w:p>
      <w:pPr>
        <w:spacing w:after="0" w:line="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 including the renewal or renegotiation of, or determinations made pursuant to, our contractual arrangements with Westlake;</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between Russia and Ukraine and elsewhere;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shutdowns;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March 31,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March 31, 2026,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March 31, 2026 was 5.5%.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March 31, 2026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2025 Form 10-K, filed on March 4, 2026, contained a description of various legal proceedings in which we are involved, including environmental proceedings. See Note 12, "Commitments and Contingencies," to the unaudited consolidated financial statements within this Quarterly Report on Form 10-Q for an updated discussion of legal proceedings, which information is incorporated by reference herein.</w:t>
      </w:r>
    </w:p>
    <w:p>
      <w:pPr>
        <w:spacing w:after="0" w:line="12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 Pursuant to the Services and Secondment Agreement, certain subsidiaries of Westlake have agreed to indemnify the Partnership for certain liabilities incurred in connection with the performance of Westlake's services under such agreement.</w:t>
      </w:r>
    </w:p>
    <w:p>
      <w:pPr>
        <w:spacing w:after="0" w:line="12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2025 Form 10-K. There have been no material changes from those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2026,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2018 (File</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20"/>
          </w:cols>
          <w:pgMar w:left="320" w:top="118" w:right="8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March 31, 2026 as filed with the Securities and Exchange Commission on the date hereof (the "Report"), I, Jean-Marc Gilson, President, Chief Executive Officer and Director of the general partner of the Partnership, and I, M. Steven Bender, Executive Vice President, Chief Financial Officer and Director of the general partner of the Partnership, certify, to the best of our knowledge, pursuant to 18 U.S.C. §1350, as adopted pursuant to §906 of the Sarbanes-Oxley Act of 2002, that:</w:t>
      </w:r>
    </w:p>
    <w:p>
      <w:pPr>
        <w:spacing w:after="0" w:line="75"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8" Type="http://schemas.openxmlformats.org/officeDocument/2006/relationships/hyperlink" Target="https://www.sec.gov/Archives/edgar/data/1604665/000119312514164760/d715499dex31.htm" TargetMode="External"/><Relationship Id="rId59" Type="http://schemas.openxmlformats.org/officeDocument/2006/relationships/hyperlink" Target="https://www.sec.gov/Archives/edgar/data/1604665/000119312514303305/d756630dex31.htm" TargetMode="External"/><Relationship Id="rId60" Type="http://schemas.openxmlformats.org/officeDocument/2006/relationships/hyperlink" Target="https://www.sec.gov/Archives/edgar/data/1604665/000119312517345554/d493400dex31.htm" TargetMode="External"/><Relationship Id="rId61" Type="http://schemas.openxmlformats.org/officeDocument/2006/relationships/hyperlink" Target="https://www.sec.gov/Archives/edgar/data/1604665/000119312518231463/d583758dex31.htm" TargetMode="External"/><Relationship Id="rId62" Type="http://schemas.openxmlformats.org/officeDocument/2006/relationships/hyperlink" Target="https://www.sec.gov/Archives/edgar/data/1604665/000119312514303305/d756630dex107.htm" TargetMode="External"/><Relationship Id="rId63" Type="http://schemas.openxmlformats.org/officeDocument/2006/relationships/hyperlink" Target="https://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2026-05-06T12:52:10Z</dcterms:created>
  <dcterms:modified xsi:type="dcterms:W3CDTF">2026-05-06T12:52:10Z</dcterms:modified>
</cp:coreProperties>
</file>