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193040</wp:posOffset>
            </wp:positionV>
            <wp:extent cx="330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144145</wp:posOffset>
            </wp:positionV>
            <wp:extent cx="330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4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ind w:left="720"/>
        <w:spacing w:after="0"/>
        <w:tabs>
          <w:tab w:leader="none" w:pos="384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March 31,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360" w:hanging="672"/>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 w:lineRule="exact"/>
        <w:rPr>
          <w:sz w:val="24"/>
          <w:szCs w:val="24"/>
          <w:color w:val="auto"/>
        </w:rPr>
      </w:pPr>
    </w:p>
    <w:p>
      <w:pPr>
        <w:ind w:left="720"/>
        <w:spacing w:after="0"/>
        <w:tabs>
          <w:tab w:leader="none" w:pos="3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214630</wp:posOffset>
            </wp:positionV>
            <wp:extent cx="3308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124460</wp:posOffset>
            </wp:positionV>
            <wp:extent cx="3308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80" w:type="dxa"/>
            <w:vAlign w:val="bottom"/>
          </w:tcPr>
          <w:p>
            <w:pPr>
              <w:jc w:val="center"/>
              <w:ind w:right="1357"/>
              <w:spacing w:after="0"/>
              <w:rPr>
                <w:sz w:val="20"/>
                <w:szCs w:val="20"/>
                <w:color w:val="auto"/>
              </w:rPr>
            </w:pPr>
            <w:r>
              <w:rPr>
                <w:rFonts w:ascii="Arial" w:cs="Arial" w:eastAsia="Arial" w:hAnsi="Arial"/>
                <w:sz w:val="18"/>
                <w:szCs w:val="18"/>
                <w:b w:val="1"/>
                <w:bCs w:val="1"/>
                <w:color w:val="auto"/>
                <w:w w:val="89"/>
              </w:rPr>
              <w:t>32-0436529</w:t>
            </w:r>
          </w:p>
        </w:tc>
      </w:tr>
      <w:tr>
        <w:trPr>
          <w:trHeight w:val="180"/>
        </w:trPr>
        <w:tc>
          <w:tcPr>
            <w:tcW w:w="40" w:type="dxa"/>
            <w:vAlign w:val="bottom"/>
          </w:tcPr>
          <w:p>
            <w:pPr>
              <w:spacing w:after="0"/>
              <w:rPr>
                <w:sz w:val="15"/>
                <w:szCs w:val="15"/>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93"/>
              </w:rPr>
              <w:t>(State or other jurisdiction of</w:t>
            </w:r>
          </w:p>
        </w:tc>
        <w:tc>
          <w:tcPr>
            <w:tcW w:w="2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980" w:type="dxa"/>
            <w:vAlign w:val="bottom"/>
          </w:tcPr>
          <w:p>
            <w:pPr>
              <w:jc w:val="center"/>
              <w:ind w:right="1377"/>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94"/>
              </w:rPr>
              <w:t>incorporation or organization)</w:t>
            </w:r>
          </w:p>
        </w:tc>
        <w:tc>
          <w:tcPr>
            <w:tcW w:w="2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80" w:type="dxa"/>
            <w:vAlign w:val="bottom"/>
          </w:tcPr>
          <w:p>
            <w:pPr>
              <w:jc w:val="center"/>
              <w:ind w:right="1357"/>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00" w:type="dxa"/>
            <w:vAlign w:val="bottom"/>
            <w:gridSpan w:val="2"/>
          </w:tcPr>
          <w:p>
            <w:pPr>
              <w:jc w:val="center"/>
              <w:ind w:left="135"/>
              <w:spacing w:after="0"/>
              <w:rPr>
                <w:sz w:val="20"/>
                <w:szCs w:val="20"/>
                <w:color w:val="auto"/>
              </w:rPr>
            </w:pPr>
            <w:r>
              <w:rPr>
                <w:rFonts w:ascii="Arial" w:cs="Arial" w:eastAsia="Arial" w:hAnsi="Arial"/>
                <w:sz w:val="18"/>
                <w:szCs w:val="18"/>
                <w:b w:val="1"/>
                <w:bCs w:val="1"/>
                <w:color w:val="auto"/>
                <w:w w:val="90"/>
              </w:rPr>
              <w:t>2801 Post Oak Boulevard, Suite 600</w:t>
            </w:r>
          </w:p>
        </w:tc>
        <w:tc>
          <w:tcPr>
            <w:tcW w:w="39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gridSpan w:val="2"/>
          </w:tcPr>
          <w:p>
            <w:pPr>
              <w:jc w:val="center"/>
              <w:ind w:left="155"/>
              <w:spacing w:after="0"/>
              <w:rPr>
                <w:sz w:val="20"/>
                <w:szCs w:val="20"/>
                <w:color w:val="auto"/>
              </w:rPr>
            </w:pPr>
            <w:r>
              <w:rPr>
                <w:rFonts w:ascii="Arial" w:cs="Arial" w:eastAsia="Arial" w:hAnsi="Arial"/>
                <w:sz w:val="18"/>
                <w:szCs w:val="18"/>
                <w:b w:val="1"/>
                <w:bCs w:val="1"/>
                <w:color w:val="auto"/>
                <w:w w:val="87"/>
              </w:rPr>
              <w:t>Houston, Texas 77056</w:t>
            </w:r>
          </w:p>
        </w:tc>
        <w:tc>
          <w:tcPr>
            <w:tcW w:w="3980" w:type="dxa"/>
            <w:vAlign w:val="bottom"/>
          </w:tcPr>
          <w:p>
            <w:pPr>
              <w:spacing w:after="0"/>
              <w:rPr>
                <w:sz w:val="18"/>
                <w:szCs w:val="18"/>
                <w:color w:val="auto"/>
              </w:rPr>
            </w:pPr>
          </w:p>
        </w:tc>
      </w:tr>
      <w:tr>
        <w:trPr>
          <w:trHeight w:val="186"/>
        </w:trPr>
        <w:tc>
          <w:tcPr>
            <w:tcW w:w="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80" w:type="dxa"/>
            <w:vAlign w:val="bottom"/>
            <w:gridSpan w:val="3"/>
          </w:tcPr>
          <w:p>
            <w:pPr>
              <w:jc w:val="center"/>
              <w:ind w:right="3677"/>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54"/>
        </w:trPr>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00" w:type="dxa"/>
            <w:vAlign w:val="bottom"/>
          </w:tcPr>
          <w:p>
            <w:pPr>
              <w:jc w:val="center"/>
              <w:ind w:left="735"/>
              <w:spacing w:after="0"/>
              <w:rPr>
                <w:sz w:val="20"/>
                <w:szCs w:val="20"/>
                <w:color w:val="auto"/>
              </w:rPr>
            </w:pPr>
            <w:r>
              <w:rPr>
                <w:rFonts w:ascii="Arial" w:cs="Arial" w:eastAsia="Arial" w:hAnsi="Arial"/>
                <w:sz w:val="18"/>
                <w:szCs w:val="18"/>
                <w:b w:val="1"/>
                <w:bCs w:val="1"/>
                <w:color w:val="auto"/>
                <w:w w:val="90"/>
              </w:rPr>
              <w:t>(713) 585-2900</w:t>
            </w:r>
          </w:p>
        </w:tc>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0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80" w:type="dxa"/>
            <w:vAlign w:val="bottom"/>
          </w:tcPr>
          <w:p>
            <w:pPr>
              <w:spacing w:after="0"/>
              <w:rPr>
                <w:sz w:val="16"/>
                <w:szCs w:val="16"/>
                <w:color w:val="auto"/>
              </w:rPr>
            </w:pPr>
          </w:p>
        </w:tc>
      </w:tr>
      <w:tr>
        <w:trPr>
          <w:trHeight w:val="377"/>
        </w:trPr>
        <w:tc>
          <w:tcPr>
            <w:tcW w:w="726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980" w:type="dxa"/>
            <w:vAlign w:val="bottom"/>
          </w:tcPr>
          <w:p>
            <w:pPr>
              <w:spacing w:after="0"/>
              <w:rPr>
                <w:sz w:val="24"/>
                <w:szCs w:val="24"/>
                <w:color w:val="auto"/>
              </w:rPr>
            </w:pPr>
          </w:p>
        </w:tc>
      </w:tr>
      <w:tr>
        <w:trPr>
          <w:trHeight w:val="135"/>
        </w:trPr>
        <w:tc>
          <w:tcPr>
            <w:tcW w:w="40" w:type="dxa"/>
            <w:vAlign w:val="bottom"/>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460" w:type="dxa"/>
            <w:vAlign w:val="bottom"/>
          </w:tcPr>
          <w:p>
            <w:pPr>
              <w:spacing w:after="0"/>
              <w:rPr>
                <w:sz w:val="20"/>
                <w:szCs w:val="20"/>
                <w:color w:val="auto"/>
              </w:rPr>
            </w:pPr>
          </w:p>
        </w:tc>
        <w:tc>
          <w:tcPr>
            <w:tcW w:w="2900" w:type="dxa"/>
            <w:vAlign w:val="bottom"/>
            <w:tcBorders>
              <w:right w:val="single" w:sz="8" w:color="auto"/>
            </w:tcBorders>
          </w:tcPr>
          <w:p>
            <w:pPr>
              <w:jc w:val="center"/>
              <w:ind w:right="415"/>
              <w:spacing w:after="0"/>
              <w:rPr>
                <w:sz w:val="20"/>
                <w:szCs w:val="20"/>
                <w:color w:val="auto"/>
              </w:rPr>
            </w:pPr>
            <w:r>
              <w:rPr>
                <w:rFonts w:ascii="Arial" w:cs="Arial" w:eastAsia="Arial" w:hAnsi="Arial"/>
                <w:sz w:val="18"/>
                <w:szCs w:val="18"/>
                <w:b w:val="1"/>
                <w:bCs w:val="1"/>
                <w:color w:val="auto"/>
                <w:w w:val="91"/>
              </w:rPr>
              <w:t>Trading Symbol(s)</w:t>
            </w:r>
          </w:p>
        </w:tc>
        <w:tc>
          <w:tcPr>
            <w:tcW w:w="600" w:type="dxa"/>
            <w:vAlign w:val="bottom"/>
          </w:tcPr>
          <w:p>
            <w:pPr>
              <w:spacing w:after="0"/>
              <w:rPr>
                <w:sz w:val="20"/>
                <w:szCs w:val="20"/>
                <w:color w:val="auto"/>
              </w:rPr>
            </w:pPr>
          </w:p>
        </w:tc>
        <w:tc>
          <w:tcPr>
            <w:tcW w:w="3980" w:type="dxa"/>
            <w:vAlign w:val="bottom"/>
            <w:tcBorders>
              <w:right w:val="single" w:sz="8" w:color="auto"/>
            </w:tcBorders>
          </w:tcPr>
          <w:p>
            <w:pPr>
              <w:jc w:val="center"/>
              <w:ind w:right="557"/>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0" w:type="dxa"/>
            <w:vAlign w:val="bottom"/>
            <w:tcBorders>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units representing limited</w:t>
            </w:r>
          </w:p>
        </w:tc>
        <w:tc>
          <w:tcPr>
            <w:tcW w:w="460" w:type="dxa"/>
            <w:vAlign w:val="bottom"/>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98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partnership interests</w:t>
            </w:r>
          </w:p>
        </w:tc>
        <w:tc>
          <w:tcPr>
            <w:tcW w:w="460" w:type="dxa"/>
            <w:vAlign w:val="bottom"/>
          </w:tcPr>
          <w:p>
            <w:pPr>
              <w:spacing w:after="0"/>
              <w:rPr>
                <w:sz w:val="20"/>
                <w:szCs w:val="20"/>
                <w:color w:val="auto"/>
              </w:rPr>
            </w:pPr>
          </w:p>
        </w:tc>
        <w:tc>
          <w:tcPr>
            <w:tcW w:w="2900" w:type="dxa"/>
            <w:vAlign w:val="bottom"/>
            <w:tcBorders>
              <w:right w:val="single" w:sz="8" w:color="auto"/>
            </w:tcBorders>
          </w:tcPr>
          <w:p>
            <w:pPr>
              <w:jc w:val="center"/>
              <w:ind w:right="415"/>
              <w:spacing w:after="0"/>
              <w:rPr>
                <w:sz w:val="20"/>
                <w:szCs w:val="20"/>
                <w:color w:val="auto"/>
              </w:rPr>
            </w:pPr>
            <w:r>
              <w:rPr>
                <w:rFonts w:ascii="Arial" w:cs="Arial" w:eastAsia="Arial" w:hAnsi="Arial"/>
                <w:sz w:val="18"/>
                <w:szCs w:val="18"/>
                <w:color w:val="auto"/>
              </w:rPr>
              <w:t>WLKP</w:t>
            </w:r>
          </w:p>
        </w:tc>
        <w:tc>
          <w:tcPr>
            <w:tcW w:w="600" w:type="dxa"/>
            <w:vAlign w:val="bottom"/>
          </w:tcPr>
          <w:p>
            <w:pPr>
              <w:spacing w:after="0"/>
              <w:rPr>
                <w:sz w:val="20"/>
                <w:szCs w:val="20"/>
                <w:color w:val="auto"/>
              </w:rPr>
            </w:pPr>
          </w:p>
        </w:tc>
        <w:tc>
          <w:tcPr>
            <w:tcW w:w="3980" w:type="dxa"/>
            <w:vAlign w:val="bottom"/>
            <w:tcBorders>
              <w:right w:val="single" w:sz="8" w:color="auto"/>
            </w:tcBorders>
          </w:tcPr>
          <w:p>
            <w:pPr>
              <w:jc w:val="center"/>
              <w:ind w:right="537"/>
              <w:spacing w:after="0"/>
              <w:rPr>
                <w:sz w:val="20"/>
                <w:szCs w:val="20"/>
                <w:color w:val="auto"/>
              </w:rPr>
            </w:pPr>
            <w:r>
              <w:rPr>
                <w:rFonts w:ascii="Arial" w:cs="Arial" w:eastAsia="Arial" w:hAnsi="Arial"/>
                <w:sz w:val="18"/>
                <w:szCs w:val="18"/>
                <w:color w:val="auto"/>
                <w:w w:val="91"/>
              </w:rPr>
              <w:t>The New York Stock Exchange</w:t>
            </w:r>
          </w:p>
        </w:tc>
      </w:tr>
      <w:tr>
        <w:trPr>
          <w:trHeight w:val="27"/>
        </w:trPr>
        <w:tc>
          <w:tcPr>
            <w:tcW w:w="40" w:type="dxa"/>
            <w:vAlign w:val="bottom"/>
            <w:tcBorders>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pacing w:after="0" w:line="36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8"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5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280"/>
              <w:spacing w:after="0"/>
              <w:rPr>
                <w:sz w:val="20"/>
                <w:szCs w:val="20"/>
                <w:color w:val="auto"/>
              </w:rPr>
            </w:pPr>
            <w:r>
              <w:rPr>
                <w:rFonts w:ascii="Arial" w:cs="Arial" w:eastAsia="Arial" w:hAnsi="Arial"/>
                <w:sz w:val="18"/>
                <w:szCs w:val="18"/>
                <w:b w:val="1"/>
                <w:bCs w:val="1"/>
                <w:color w:val="auto"/>
              </w:rPr>
              <w:t>Accelerated filer</w:t>
            </w:r>
          </w:p>
        </w:tc>
        <w:tc>
          <w:tcPr>
            <w:tcW w:w="660" w:type="dxa"/>
            <w:vAlign w:val="bottom"/>
          </w:tcPr>
          <w:p>
            <w:pPr>
              <w:ind w:left="500"/>
              <w:spacing w:after="0"/>
              <w:rPr>
                <w:sz w:val="20"/>
                <w:szCs w:val="20"/>
                <w:color w:val="auto"/>
              </w:rPr>
            </w:pPr>
            <w:r>
              <w:rPr>
                <w:rFonts w:ascii="Arial" w:cs="Arial" w:eastAsia="Arial" w:hAnsi="Arial"/>
                <w:sz w:val="18"/>
                <w:szCs w:val="18"/>
                <w:color w:val="auto"/>
              </w:rPr>
              <w:t>x</w:t>
            </w:r>
          </w:p>
        </w:tc>
      </w:tr>
      <w:tr>
        <w:trPr>
          <w:trHeight w:val="419"/>
        </w:trPr>
        <w:tc>
          <w:tcPr>
            <w:tcW w:w="232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280"/>
              <w:spacing w:after="0"/>
              <w:rPr>
                <w:sz w:val="20"/>
                <w:szCs w:val="20"/>
                <w:color w:val="auto"/>
              </w:rPr>
            </w:pPr>
            <w:r>
              <w:rPr>
                <w:rFonts w:ascii="Arial" w:cs="Arial" w:eastAsia="Arial" w:hAnsi="Arial"/>
                <w:sz w:val="18"/>
                <w:szCs w:val="18"/>
                <w:b w:val="1"/>
                <w:bCs w:val="1"/>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900" w:type="dxa"/>
            <w:vAlign w:val="bottom"/>
          </w:tcPr>
          <w:p>
            <w:pPr>
              <w:ind w:left="2280"/>
              <w:spacing w:after="0"/>
              <w:rPr>
                <w:sz w:val="20"/>
                <w:szCs w:val="20"/>
                <w:color w:val="auto"/>
              </w:rPr>
            </w:pPr>
            <w:r>
              <w:rPr>
                <w:rFonts w:ascii="Arial" w:cs="Arial" w:eastAsia="Arial" w:hAnsi="Arial"/>
                <w:sz w:val="18"/>
                <w:szCs w:val="18"/>
                <w:b w:val="1"/>
                <w:bCs w:val="1"/>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Arial" w:cs="Arial" w:eastAsia="Arial" w:hAnsi="Arial"/>
          <w:sz w:val="18"/>
          <w:szCs w:val="18"/>
          <w:color w:val="auto"/>
        </w:rPr>
        <w:t>x</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35,194,545 common units outstanding as of April 29, 2020.</w:t>
      </w:r>
    </w:p>
    <w:p>
      <w:pPr>
        <w:sectPr>
          <w:pgSz w:w="11900" w:h="16838" w:orient="portrait"/>
          <w:cols w:equalWidth="0" w:num="1">
            <w:col w:w="11240"/>
          </w:cols>
          <w:pgMar w:left="320" w:top="274" w:right="339" w:bottom="1051"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990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42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420" w:type="dxa"/>
            <w:vAlign w:val="bottom"/>
            <w:gridSpan w:val="3"/>
            <w:vMerge w:val="continue"/>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990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7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15">
              <w:r>
                <w:rPr>
                  <w:rFonts w:ascii="Arial" w:cs="Arial" w:eastAsia="Arial" w:hAnsi="Arial"/>
                  <w:sz w:val="18"/>
                  <w:szCs w:val="18"/>
                  <w:color w:val="auto"/>
                  <w:w w:val="99"/>
                </w:rPr>
                <w:t>2)</w:t>
              </w:r>
            </w:hyperlink>
          </w:p>
        </w:tc>
        <w:tc>
          <w:tcPr>
            <w:tcW w:w="9900" w:type="dxa"/>
            <w:vAlign w:val="bottom"/>
          </w:tcPr>
          <w:p>
            <w:pPr>
              <w:ind w:left="20"/>
              <w:spacing w:after="0"/>
              <w:rPr>
                <w:rFonts w:ascii="Arial" w:cs="Arial" w:eastAsia="Arial" w:hAnsi="Arial"/>
                <w:sz w:val="18"/>
                <w:szCs w:val="18"/>
                <w:color w:val="auto"/>
              </w:rPr>
            </w:pPr>
            <w:hyperlink w:anchor="page15">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3)</w:t>
              </w:r>
            </w:hyperlink>
          </w:p>
        </w:tc>
        <w:tc>
          <w:tcPr>
            <w:tcW w:w="990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Quantitative and Qualitative Disclosures about Market Risk</w:t>
              </w:r>
            </w:hyperlink>
          </w:p>
        </w:tc>
        <w:tc>
          <w:tcPr>
            <w:tcW w:w="7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4)</w:t>
              </w:r>
            </w:hyperlink>
          </w:p>
        </w:tc>
        <w:tc>
          <w:tcPr>
            <w:tcW w:w="990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Controls and Procedures</w:t>
              </w:r>
            </w:hyperlink>
          </w:p>
        </w:tc>
        <w:tc>
          <w:tcPr>
            <w:tcW w:w="7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594"/>
        </w:trPr>
        <w:tc>
          <w:tcPr>
            <w:tcW w:w="10420" w:type="dxa"/>
            <w:vAlign w:val="bottom"/>
            <w:gridSpan w:val="3"/>
          </w:tcPr>
          <w:p>
            <w:pPr>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PART II. 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1)</w:t>
              </w:r>
            </w:hyperlink>
          </w:p>
        </w:tc>
        <w:tc>
          <w:tcPr>
            <w:tcW w:w="990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Legal Proceedings</w:t>
              </w:r>
            </w:hyperlink>
          </w:p>
        </w:tc>
        <w:tc>
          <w:tcPr>
            <w:tcW w:w="7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140" w:type="dxa"/>
            <w:vAlign w:val="bottom"/>
            <w:gridSpan w:val="2"/>
          </w:tcPr>
          <w:p>
            <w:pPr>
              <w:ind w:left="60"/>
              <w:spacing w:after="0"/>
              <w:rPr>
                <w:rFonts w:ascii="Arial" w:cs="Arial" w:eastAsia="Arial" w:hAnsi="Arial"/>
                <w:sz w:val="18"/>
                <w:szCs w:val="18"/>
                <w:color w:val="auto"/>
              </w:rPr>
            </w:pPr>
            <w:hyperlink w:anchor="page28">
              <w:r>
                <w:rPr>
                  <w:rFonts w:ascii="Arial" w:cs="Arial" w:eastAsia="Arial" w:hAnsi="Arial"/>
                  <w:sz w:val="18"/>
                  <w:szCs w:val="18"/>
                  <w:color w:val="auto"/>
                </w:rPr>
                <w:t>1A) Risk Factors</w:t>
              </w:r>
            </w:hyperlink>
          </w:p>
        </w:tc>
        <w:tc>
          <w:tcPr>
            <w:tcW w:w="7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sz w:val="20"/>
                <w:szCs w:val="20"/>
                <w:color w:val="auto"/>
              </w:rPr>
            </w:pPr>
            <w:r>
              <w:rPr>
                <w:rFonts w:ascii="Arial" w:cs="Arial" w:eastAsia="Arial" w:hAnsi="Arial"/>
                <w:sz w:val="18"/>
                <w:szCs w:val="18"/>
                <w:color w:val="auto"/>
                <w:w w:val="99"/>
              </w:rPr>
              <w:t>5)</w:t>
            </w:r>
          </w:p>
        </w:tc>
        <w:tc>
          <w:tcPr>
            <w:tcW w:w="990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7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6)</w:t>
              </w:r>
            </w:hyperlink>
          </w:p>
        </w:tc>
        <w:tc>
          <w:tcPr>
            <w:tcW w:w="990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Exhibits</w:t>
              </w:r>
            </w:hyperlink>
          </w:p>
        </w:tc>
        <w:tc>
          <w:tcPr>
            <w:tcW w:w="7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bl>
    <w:p>
      <w:pPr>
        <w:sectPr>
          <w:pgSz w:w="11900" w:h="16838" w:orient="portrait"/>
          <w:cols w:equalWidth="0" w:num="1">
            <w:col w:w="11200"/>
          </w:cols>
          <w:pgMar w:left="36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85"/>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0"/>
              </w:rPr>
              <w:t>(in thousands of dollars, except unit amounts)</w:t>
            </w: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4"/>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19,923</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w w:val="92"/>
              </w:rPr>
              <w:t>Receivable under the Investment Management Agreement—Westlake Chemical Corporation ("Westlake")</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161,759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162,773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net—Westlake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42,847</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receivable, net—third parties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13,535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238,411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1,092,120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1,102,995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charges and other assets, net</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42,954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46,236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1,383,027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1,393,456</w:t>
            </w:r>
          </w:p>
        </w:tc>
        <w:tc>
          <w:tcPr>
            <w:tcW w:w="0" w:type="dxa"/>
            <w:vAlign w:val="bottom"/>
          </w:tcPr>
          <w:p>
            <w:pPr>
              <w:spacing w:after="0"/>
              <w:rPr>
                <w:sz w:val="1"/>
                <w:szCs w:val="1"/>
                <w:color w:val="auto"/>
              </w:rPr>
            </w:pPr>
          </w:p>
        </w:tc>
      </w:tr>
      <w:tr>
        <w:trPr>
          <w:trHeight w:val="20"/>
        </w:trPr>
        <w:tc>
          <w:tcPr>
            <w:tcW w:w="82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payable—Westlake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payable—third parties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Accrued and other liabilities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18,032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17,507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38,849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399,674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441,321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rPr>
              <w:t>EQUITY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40"/>
              <w:spacing w:after="0"/>
              <w:rPr>
                <w:sz w:val="20"/>
                <w:szCs w:val="20"/>
                <w:color w:val="auto"/>
              </w:rPr>
            </w:pPr>
            <w:r>
              <w:rPr>
                <w:rFonts w:ascii="Arial" w:cs="Arial" w:eastAsia="Arial" w:hAnsi="Arial"/>
                <w:sz w:val="18"/>
                <w:szCs w:val="18"/>
                <w:color w:val="auto"/>
              </w:rPr>
              <w:t>Common unitholders—publicly and privately held (21,072,315 and 21,072,315 units issued</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0"/>
              <w:spacing w:after="0"/>
              <w:rPr>
                <w:sz w:val="20"/>
                <w:szCs w:val="20"/>
                <w:color w:val="auto"/>
              </w:rPr>
            </w:pPr>
            <w:r>
              <w:rPr>
                <w:rFonts w:ascii="Arial" w:cs="Arial" w:eastAsia="Arial" w:hAnsi="Arial"/>
                <w:sz w:val="18"/>
                <w:szCs w:val="18"/>
                <w:color w:val="auto"/>
              </w:rPr>
              <w:t>and outstanding at March 31, 2020 and December 31, 2019, respectively)</w:t>
            </w:r>
          </w:p>
        </w:tc>
        <w:tc>
          <w:tcPr>
            <w:tcW w:w="12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472,428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471,736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unitholder—Westlake (14,122,230 and 14,122,230 units issued and outstanding at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March 31, 2020 and December 31, 2019,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48,350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278,670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277,514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671,421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674,621</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950,091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952,135</w:t>
            </w:r>
          </w:p>
        </w:tc>
        <w:tc>
          <w:tcPr>
            <w:tcW w:w="0" w:type="dxa"/>
            <w:vAlign w:val="bottom"/>
          </w:tcPr>
          <w:p>
            <w:pPr>
              <w:spacing w:after="0"/>
              <w:rPr>
                <w:sz w:val="1"/>
                <w:szCs w:val="1"/>
                <w:color w:val="auto"/>
              </w:rPr>
            </w:pPr>
          </w:p>
        </w:tc>
      </w:tr>
      <w:tr>
        <w:trPr>
          <w:trHeight w:val="257"/>
        </w:trPr>
        <w:tc>
          <w:tcPr>
            <w:tcW w:w="82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1,383,027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1,393,456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11"/>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250"/>
        </w:trPr>
        <w:tc>
          <w:tcPr>
            <w:tcW w:w="8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74"/>
        </w:trPr>
        <w:tc>
          <w:tcPr>
            <w:tcW w:w="8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0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1"/>
              </w:rPr>
              <w:t>(in thousands of dollars, except unit amounts</w:t>
            </w:r>
          </w:p>
        </w:tc>
      </w:tr>
      <w:tr>
        <w:trPr>
          <w:trHeight w:val="192"/>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jc w:val="center"/>
              <w:ind w:left="733"/>
              <w:spacing w:after="0"/>
              <w:rPr>
                <w:sz w:val="20"/>
                <w:szCs w:val="20"/>
                <w:color w:val="auto"/>
              </w:rPr>
            </w:pPr>
            <w:r>
              <w:rPr>
                <w:rFonts w:ascii="Arial" w:cs="Arial" w:eastAsia="Arial" w:hAnsi="Arial"/>
                <w:sz w:val="14"/>
                <w:szCs w:val="14"/>
                <w:b w:val="1"/>
                <w:bCs w:val="1"/>
                <w:color w:val="auto"/>
                <w:w w:val="95"/>
              </w:rPr>
              <w:t>and per unit data)</w:t>
            </w:r>
          </w:p>
        </w:tc>
        <w:tc>
          <w:tcPr>
            <w:tcW w:w="920" w:type="dxa"/>
            <w:vAlign w:val="bottom"/>
          </w:tcPr>
          <w:p>
            <w:pPr>
              <w:spacing w:after="0"/>
              <w:rPr>
                <w:sz w:val="16"/>
                <w:szCs w:val="16"/>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214,828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257,040</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 parties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35,721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42,046</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250,549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299,086</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147,001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208,432</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103,548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90,654</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6,196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6,973</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97,352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83,681</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(5,900)</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93,987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78,596</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93,770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78,396</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76,023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63,441</w:t>
            </w:r>
          </w:p>
        </w:tc>
      </w:tr>
      <w:tr>
        <w:trPr>
          <w:trHeight w:val="29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w w:val="93"/>
              </w:rPr>
              <w:t>Net income attributable to Westlake Chemical Partners LP and limited partners' interest in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17,747</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14,955</w:t>
            </w:r>
          </w:p>
        </w:tc>
      </w:tr>
      <w:tr>
        <w:trPr>
          <w:trHeight w:val="185"/>
        </w:trPr>
        <w:tc>
          <w:tcPr>
            <w:tcW w:w="8220" w:type="dxa"/>
            <w:vAlign w:val="bottom"/>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w w:val="94"/>
              </w:rPr>
              <w:t>Net income per limited partner unit attributable to Westlake Chemical Partners LP per limited partner</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41"/>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unit (basic and diluted)</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0.46</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limited partner units outstanding (basic and diluted)</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Common units—publicly and privately held</w:t>
            </w:r>
          </w:p>
        </w:tc>
        <w:tc>
          <w:tcPr>
            <w:tcW w:w="1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21,072,315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88"/>
              </w:rPr>
              <w:t>18,223,168</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units—Westlake</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8"/>
              </w:rPr>
              <w:t>14,122,230</w:t>
            </w:r>
          </w:p>
        </w:tc>
      </w:tr>
      <w:tr>
        <w:trPr>
          <w:trHeight w:val="27"/>
        </w:trPr>
        <w:tc>
          <w:tcPr>
            <w:tcW w:w="8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i w:val="1"/>
                <w:iCs w:val="1"/>
                <w:color w:val="auto"/>
              </w:rPr>
              <w:t>Partnership</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General</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4"/>
                <w:szCs w:val="14"/>
                <w:color w:val="auto"/>
                <w:w w:val="93"/>
              </w:rPr>
              <w:t>—</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 and</w:t>
            </w:r>
          </w:p>
        </w:tc>
        <w:tc>
          <w:tcPr>
            <w:tcW w:w="11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Unitholder</w:t>
            </w: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2"/>
                <w:szCs w:val="12"/>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Privately Held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OpCo</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ind w:left="660"/>
              <w:spacing w:after="0"/>
              <w:rPr>
                <w:sz w:val="20"/>
                <w:szCs w:val="20"/>
                <w:color w:val="auto"/>
              </w:rPr>
            </w:pPr>
            <w:r>
              <w:rPr>
                <w:rFonts w:ascii="Arial" w:cs="Arial" w:eastAsia="Arial" w:hAnsi="Arial"/>
                <w:sz w:val="14"/>
                <w:szCs w:val="14"/>
                <w:b w:val="1"/>
                <w:bCs w:val="1"/>
                <w:color w:val="auto"/>
                <w:w w:val="95"/>
              </w:rPr>
              <w:t>(in thousands of dollars)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471,736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48,350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674,621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952,135</w:t>
            </w:r>
          </w:p>
        </w:tc>
        <w:tc>
          <w:tcPr>
            <w:tcW w:w="0" w:type="dxa"/>
            <w:vAlign w:val="bottom"/>
          </w:tcPr>
          <w:p>
            <w:pPr>
              <w:spacing w:after="0"/>
              <w:rPr>
                <w:sz w:val="1"/>
                <w:szCs w:val="1"/>
                <w:color w:val="auto"/>
              </w:rPr>
            </w:pPr>
          </w:p>
        </w:tc>
      </w:tr>
      <w:tr>
        <w:trPr>
          <w:trHeight w:val="297"/>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93,770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Quarterly distribution to unitholders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(16,591)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Quarterly distribution to noncontrolling interest retained in OpCo by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Westlake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(79,223)</w:t>
            </w:r>
          </w:p>
        </w:tc>
        <w:tc>
          <w:tcPr>
            <w:tcW w:w="0" w:type="dxa"/>
            <w:vAlign w:val="bottom"/>
          </w:tcPr>
          <w:p>
            <w:pPr>
              <w:spacing w:after="0"/>
              <w:rPr>
                <w:sz w:val="1"/>
                <w:szCs w:val="1"/>
                <w:color w:val="auto"/>
              </w:rPr>
            </w:pPr>
          </w:p>
        </w:tc>
      </w:tr>
      <w:tr>
        <w:trPr>
          <w:trHeight w:val="25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472,428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48,814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671,421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950,091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i w:val="1"/>
                <w:iCs w:val="1"/>
                <w:color w:val="auto"/>
              </w:rPr>
              <w:t>Partnership</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General</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Unitholders—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 and</w:t>
            </w:r>
          </w:p>
        </w:tc>
        <w:tc>
          <w:tcPr>
            <w:tcW w:w="11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Unitholder—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Partner—</w:t>
            </w:r>
          </w:p>
        </w:tc>
        <w:tc>
          <w:tcPr>
            <w:tcW w:w="1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2"/>
                <w:szCs w:val="12"/>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Privately Held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OpCo</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ind w:left="660"/>
              <w:spacing w:after="0"/>
              <w:rPr>
                <w:sz w:val="20"/>
                <w:szCs w:val="20"/>
                <w:color w:val="auto"/>
              </w:rPr>
            </w:pPr>
            <w:r>
              <w:rPr>
                <w:rFonts w:ascii="Arial" w:cs="Arial" w:eastAsia="Arial" w:hAnsi="Arial"/>
                <w:sz w:val="14"/>
                <w:szCs w:val="14"/>
                <w:b w:val="1"/>
                <w:bCs w:val="1"/>
                <w:color w:val="auto"/>
                <w:w w:val="95"/>
              </w:rPr>
              <w:t>(in thousands of dollars)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409,608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48,774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718,271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934,081</w:t>
            </w:r>
          </w:p>
        </w:tc>
        <w:tc>
          <w:tcPr>
            <w:tcW w:w="0" w:type="dxa"/>
            <w:vAlign w:val="bottom"/>
          </w:tcPr>
          <w:p>
            <w:pPr>
              <w:spacing w:after="0"/>
              <w:rPr>
                <w:sz w:val="1"/>
                <w:szCs w:val="1"/>
                <w:color w:val="auto"/>
              </w:rPr>
            </w:pPr>
          </w:p>
        </w:tc>
      </w:tr>
      <w:tr>
        <w:trPr>
          <w:trHeight w:val="297"/>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78,396</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proceeds from private placement of common units</w:t>
            </w: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62,934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62,934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Quarterly distribution to unitholders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0" w:type="dxa"/>
            <w:vAlign w:val="bottom"/>
          </w:tcPr>
          <w:p>
            <w:pPr>
              <w:spacing w:after="0"/>
              <w:rPr>
                <w:sz w:val="1"/>
                <w:szCs w:val="1"/>
                <w:color w:val="auto"/>
              </w:rPr>
            </w:pP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rPr>
              <w:t>Quarterly distribution to noncontrolling interest retained in OpCo by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0"/>
              <w:spacing w:after="0"/>
              <w:rPr>
                <w:sz w:val="20"/>
                <w:szCs w:val="20"/>
                <w:color w:val="auto"/>
              </w:rPr>
            </w:pPr>
            <w:r>
              <w:rPr>
                <w:rFonts w:ascii="Arial" w:cs="Arial" w:eastAsia="Arial" w:hAnsi="Arial"/>
                <w:sz w:val="18"/>
                <w:szCs w:val="18"/>
                <w:color w:val="auto"/>
              </w:rPr>
              <w:t>Westlake</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(81,507)</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473,119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49,195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700,205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979,947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385"/>
        </w:trPr>
        <w:tc>
          <w:tcPr>
            <w:tcW w:w="8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93,770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78,396</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26,844</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losses (gains), net</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1,102</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2,497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110,961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113,499</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80,000</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(207,512)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(139,610)</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private placement of common units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62,934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123,512</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(13,957)</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90,982</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64,871</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19,744</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24,081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84,615</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69"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72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30"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In connection with the IPO, the Partnership acquired a 10.6% interest in Westlake Chemical OpCo LP ("OpCo") and a 100% interest in Westlake Chemical OpCo GP LLC ("OpCo GP"), which is the general partner of OpCo. OpCo owns three ethylene production facilities and one common carrier ethylene pipeline.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Chemical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20" w:firstLine="391"/>
        <w:spacing w:after="0" w:line="291" w:lineRule="auto"/>
        <w:rPr>
          <w:sz w:val="20"/>
          <w:szCs w:val="20"/>
          <w:color w:val="auto"/>
        </w:rPr>
      </w:pPr>
      <w:r>
        <w:rPr>
          <w:rFonts w:ascii="Arial" w:cs="Arial" w:eastAsia="Arial" w:hAnsi="Arial"/>
          <w:sz w:val="16"/>
          <w:szCs w:val="16"/>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2019 (the "2019 Form 10-K"), filed with the SEC on February 28, 2020. These financial statements have been prepared in conformity with the accounting principles and practices as disclosed in the notes to the consolidated financial statements of the Partnership for the fiscal year ended December 31, 2019 with the exceptions of those accounting standards adopted in 2020 as discussed in Note 1.</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References to "Westlake" refer collectively to Westlake Chemical Corporation and its subsidiaries, other than the Partnership, OpCo and OpCo GP.</w:t>
      </w:r>
    </w:p>
    <w:p>
      <w:pPr>
        <w:spacing w:after="0" w:line="194"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2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2020, its results of operations for the three months ended March 31, 2020 and 2019 and the changes in its cash position for the three months ended March 31, 2020 and 2019.</w:t>
      </w:r>
    </w:p>
    <w:p>
      <w:pPr>
        <w:spacing w:after="0" w:line="13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2020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No. 2020-04)</w:t>
      </w:r>
    </w:p>
    <w:p>
      <w:pPr>
        <w:spacing w:after="0" w:line="90" w:lineRule="exact"/>
        <w:rPr>
          <w:sz w:val="20"/>
          <w:szCs w:val="20"/>
          <w:color w:val="auto"/>
        </w:rPr>
      </w:pPr>
    </w:p>
    <w:p>
      <w:pPr>
        <w:ind w:right="260" w:firstLine="405"/>
        <w:spacing w:after="0" w:line="301" w:lineRule="auto"/>
        <w:rPr>
          <w:sz w:val="20"/>
          <w:szCs w:val="20"/>
          <w:color w:val="auto"/>
        </w:rPr>
      </w:pPr>
      <w:r>
        <w:rPr>
          <w:rFonts w:ascii="Arial" w:cs="Arial" w:eastAsia="Arial" w:hAnsi="Arial"/>
          <w:sz w:val="16"/>
          <w:szCs w:val="16"/>
          <w:color w:val="auto"/>
        </w:rPr>
        <w:t>In March 2020, the FASB issued an accounting standards update to provide optional expedients and exceptions for applying generally accepted accounting principles to contracts, hedging relationships and other transactions affected by reference rate reform if certain criteria are met. The amendments in this update are effective for all entities as of March 12, 2020 through December 31, 2022. The Partnership is in the process of evaluating the impact that the new accounting guidance will have on the Partnership's consolidated financial position,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June 2016, the FASB issued an accounting standards update providing new guidance for the accounting for credit losses on loans and other financial instruments. The new guidance introduces an approach based on expected losses to estimate credit losses on trade receivables and certain types of financial instruments. The standard also modifies the impairment model for available-for-sale debt securities and provides for a simplified accounting model for purchased financial assets with credit deterioration since their origination. The accounting standard became effective for reporting periods beginning after December 15, 2019 and did not have a material impact on the Partnership's consolidated financial position, results of operations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(ASU No. 2018-13)</w:t>
      </w:r>
    </w:p>
    <w:p>
      <w:pPr>
        <w:spacing w:after="0" w:line="90" w:lineRule="exact"/>
        <w:rPr>
          <w:sz w:val="20"/>
          <w:szCs w:val="20"/>
          <w:color w:val="auto"/>
        </w:rPr>
      </w:pPr>
    </w:p>
    <w:p>
      <w:pPr>
        <w:ind w:right="200" w:firstLine="432"/>
        <w:spacing w:after="0" w:line="275" w:lineRule="auto"/>
        <w:rPr>
          <w:sz w:val="20"/>
          <w:szCs w:val="20"/>
          <w:color w:val="auto"/>
        </w:rPr>
      </w:pPr>
      <w:r>
        <w:rPr>
          <w:rFonts w:ascii="Arial" w:cs="Arial" w:eastAsia="Arial" w:hAnsi="Arial"/>
          <w:sz w:val="17"/>
          <w:szCs w:val="17"/>
          <w:color w:val="auto"/>
        </w:rPr>
        <w:t>In August 2018, the FASB issued an accounting standards update to modify the disclosure requirements on fair value measurements. The amendments became effective for reporting periods beginning after December 15, 2019. An entity is permitted to early adopt any removed or modified disclosures and delay adoption of the additional disclosures until the effective date. Most amendments should be applied retrospectively but certain amendments should be applied prospectively. The Partnership adopted this accounting standard effective January 1, 2020 and the adoption did not have a material impact on the Partnership's consolidated financial position, results of operations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9,730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Allowance for credit losses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13,535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2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24"/>
                <w:szCs w:val="24"/>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94"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Depreciation expense on property, plant and equipment of $22,753 and $22,214 is included in cost of sales in the consolidated statements of operations for the three months ended March 31, 2020 and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Charges and Other Assets</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Amortization expense on other assets of $3,278 and $4,630 is included in costs of sales in the consolidated statements of operations for the three months ended March 31, 2020 and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94" w:lineRule="exact"/>
        <w:rPr>
          <w:sz w:val="20"/>
          <w:szCs w:val="20"/>
          <w:color w:val="auto"/>
        </w:rPr>
      </w:pPr>
    </w:p>
    <w:p>
      <w:pPr>
        <w:ind w:right="100" w:firstLine="391"/>
        <w:spacing w:after="0" w:line="263" w:lineRule="auto"/>
        <w:rPr>
          <w:sz w:val="20"/>
          <w:szCs w:val="20"/>
          <w:color w:val="auto"/>
        </w:rPr>
      </w:pPr>
      <w:r>
        <w:rPr>
          <w:rFonts w:ascii="Arial" w:cs="Arial" w:eastAsia="Arial" w:hAnsi="Arial"/>
          <w:sz w:val="18"/>
          <w:szCs w:val="18"/>
          <w:color w:val="auto"/>
        </w:rPr>
        <w:t>On April 30, 2020, the board of directors of Westlake Chemical Partners GP LLC ("Westlake GP"), the Partnership's general partner, declared a quarterly cash distribution for the three months ended March 31, 2020 of $0.4714 per unit. This distribution is payable on May 26, 2020 to the unitholders of record as of May 11, 2020.</w:t>
      </w:r>
    </w:p>
    <w:p>
      <w:pPr>
        <w:spacing w:after="0" w:line="130" w:lineRule="exact"/>
        <w:rPr>
          <w:sz w:val="20"/>
          <w:szCs w:val="20"/>
          <w:color w:val="auto"/>
        </w:rPr>
      </w:pPr>
    </w:p>
    <w:p>
      <w:pPr>
        <w:ind w:firstLine="391"/>
        <w:spacing w:after="0" w:line="277"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14,955</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 units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15,666</w:t>
            </w:r>
          </w:p>
        </w:tc>
      </w:tr>
      <w:tr>
        <w:trPr>
          <w:trHeight w:val="257"/>
        </w:trPr>
        <w:tc>
          <w:tcPr>
            <w:tcW w:w="8180" w:type="dxa"/>
            <w:vAlign w:val="bottom"/>
          </w:tcPr>
          <w:p>
            <w:pPr>
              <w:ind w:left="40"/>
              <w:spacing w:after="0"/>
              <w:rPr>
                <w:sz w:val="20"/>
                <w:szCs w:val="20"/>
                <w:color w:val="auto"/>
              </w:rPr>
            </w:pPr>
            <w:r>
              <w:rPr>
                <w:rFonts w:ascii="Arial" w:cs="Arial" w:eastAsia="Arial" w:hAnsi="Arial"/>
                <w:sz w:val="18"/>
                <w:szCs w:val="18"/>
                <w:color w:val="auto"/>
              </w:rPr>
              <w:t>Net income in excess of distribution (distribution in excess of 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83"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23495</wp:posOffset>
            </wp:positionV>
            <wp:extent cx="2914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2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Rights</w:t>
            </w: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2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16,591</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16,591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2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22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17,747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17,747</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2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22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35,194,545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35,194,545</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2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3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80" w:type="dxa"/>
            <w:vAlign w:val="bottom"/>
            <w:vMerge w:val="restart"/>
          </w:tcPr>
          <w:p>
            <w:pPr>
              <w:jc w:val="right"/>
              <w:ind w:right="870"/>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3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3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23495</wp:posOffset>
            </wp:positionV>
            <wp:extent cx="2914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2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Rights</w:t>
            </w: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15,666</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97"/>
        </w:trPr>
        <w:tc>
          <w:tcPr>
            <w:tcW w:w="6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14,955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6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32,345,398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32,345,398</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2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amended Partnership Agreement provides that the Partnership will distribute cash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w w:val="99"/>
              </w:rPr>
              <w:t>Marginal Percentage Interest in Distributions</w:t>
            </w:r>
          </w:p>
        </w:tc>
      </w:tr>
      <w:tr>
        <w:trPr>
          <w:trHeight w:val="263"/>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$1.2938 up to $1.4063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Above $1.4063 up to $1.6875</w:t>
            </w:r>
          </w:p>
        </w:tc>
        <w:tc>
          <w:tcPr>
            <w:tcW w:w="15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8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$1.6875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7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The Partnership's distribution for the three months ended March 31, 2020 did not exceed the $1.2938 per unit threshold, and, as a result, no distribution was made with respect to the Partnership's incentive distribution rights to Westlake, as the holder of the Partnership's incentive distribution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three months ended March 31, 2020 and 2019 were as follows:</w:t>
      </w:r>
    </w:p>
    <w:p>
      <w:pPr>
        <w:spacing w:after="0" w:line="230"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23495</wp:posOffset>
            </wp:positionV>
            <wp:extent cx="192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03" w:lineRule="exact"/>
        <w:rPr>
          <w:sz w:val="20"/>
          <w:szCs w:val="20"/>
          <w:color w:val="auto"/>
        </w:rPr>
      </w:pPr>
    </w:p>
    <w:p>
      <w:pPr>
        <w:ind w:left="8780"/>
        <w:spacing w:after="0"/>
        <w:tabs>
          <w:tab w:leader="none" w:pos="103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200" w:val="left"/>
          <w:tab w:leader="none" w:pos="9040" w:val="left"/>
          <w:tab w:leader="none" w:pos="9780" w:val="left"/>
          <w:tab w:leader="none" w:pos="10600" w:val="left"/>
        </w:tabs>
        <w:rPr>
          <w:sz w:val="20"/>
          <w:szCs w:val="20"/>
          <w:color w:val="auto"/>
        </w:rPr>
      </w:pPr>
      <w:r>
        <w:rPr>
          <w:rFonts w:ascii="Arial" w:cs="Arial" w:eastAsia="Arial" w:hAnsi="Arial"/>
          <w:sz w:val="18"/>
          <w:szCs w:val="18"/>
          <w:color w:val="auto"/>
        </w:rPr>
        <w:t>Distributions per common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0.4714</w:t>
        <w:tab/>
        <w:t>$</w:t>
      </w:r>
      <w:r>
        <w:rPr>
          <w:sz w:val="20"/>
          <w:szCs w:val="20"/>
          <w:color w:val="auto"/>
        </w:rPr>
        <w:tab/>
      </w:r>
      <w:r>
        <w:rPr>
          <w:rFonts w:ascii="Arial" w:cs="Arial" w:eastAsia="Arial" w:hAnsi="Arial"/>
          <w:sz w:val="16"/>
          <w:szCs w:val="16"/>
          <w:color w:val="auto"/>
        </w:rPr>
        <w:t>0.4328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48895</wp:posOffset>
            </wp:positionV>
            <wp:extent cx="1920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94"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March 31, 2020.</w:t>
      </w:r>
    </w:p>
    <w:p>
      <w:pPr>
        <w:spacing w:after="0" w:line="12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Net proceeds to the Partnership from the sale of the units were approximately $62,934. TTWF LP, Westlake's principal stockholder and a related party, acquired 1,401,869 common units out of 2,940,818 common units issued in the private placement.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Partnership and OpCo regularly enter into related party transactions with Westlake. See below for a description of transactions with related parties.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23495</wp:posOffset>
            </wp:positionV>
            <wp:extent cx="192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03"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220" w:val="left"/>
          <w:tab w:leader="none" w:pos="8960" w:val="left"/>
          <w:tab w:leader="none" w:pos="9780" w:val="left"/>
          <w:tab w:leader="none" w:pos="10520" w:val="left"/>
        </w:tabs>
        <w:rPr>
          <w:sz w:val="20"/>
          <w:szCs w:val="20"/>
          <w:color w:val="auto"/>
        </w:rPr>
      </w:pPr>
      <w:r>
        <w:rPr>
          <w:rFonts w:ascii="Arial" w:cs="Arial" w:eastAsia="Arial" w:hAnsi="Arial"/>
          <w:sz w:val="18"/>
          <w:szCs w:val="18"/>
          <w:color w:val="auto"/>
        </w:rPr>
        <w:t>Net sales—Westlake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214,828</w:t>
        <w:tab/>
        <w:t>$</w:t>
      </w:r>
      <w:r>
        <w:rPr>
          <w:sz w:val="20"/>
          <w:szCs w:val="20"/>
          <w:color w:val="auto"/>
        </w:rPr>
        <w:tab/>
      </w:r>
      <w:r>
        <w:rPr>
          <w:rFonts w:ascii="Arial" w:cs="Arial" w:eastAsia="Arial" w:hAnsi="Arial"/>
          <w:sz w:val="16"/>
          <w:szCs w:val="16"/>
          <w:color w:val="auto"/>
        </w:rPr>
        <w:t>257,040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48895</wp:posOffset>
            </wp:positionV>
            <wp:extent cx="1920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 of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122,155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24,100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27,572</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83,738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149,727</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23495</wp:posOffset>
            </wp:positionV>
            <wp:extent cx="1920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03"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220" w:val="left"/>
          <w:tab w:leader="none" w:pos="9140" w:val="left"/>
          <w:tab w:leader="none" w:pos="9780" w:val="left"/>
          <w:tab w:leader="none" w:pos="10700" w:val="left"/>
        </w:tabs>
        <w:rPr>
          <w:sz w:val="20"/>
          <w:szCs w:val="20"/>
          <w:color w:val="auto"/>
        </w:rPr>
      </w:pPr>
      <w:r>
        <w:rPr>
          <w:rFonts w:ascii="Arial" w:cs="Arial" w:eastAsia="Arial" w:hAnsi="Arial"/>
          <w:sz w:val="18"/>
          <w:szCs w:val="18"/>
          <w:color w:val="auto"/>
        </w:rPr>
        <w:t>Services received from Westlake and included in selling, general and administrative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5,115</w:t>
        <w:tab/>
        <w:t>$</w:t>
      </w:r>
      <w:r>
        <w:rPr>
          <w:sz w:val="20"/>
          <w:szCs w:val="20"/>
          <w:color w:val="auto"/>
        </w:rPr>
        <w:tab/>
      </w:r>
      <w:r>
        <w:rPr>
          <w:rFonts w:ascii="Arial" w:cs="Arial" w:eastAsia="Arial" w:hAnsi="Arial"/>
          <w:sz w:val="16"/>
          <w:szCs w:val="16"/>
          <w:color w:val="auto"/>
        </w:rPr>
        <w:t>6,603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48895</wp:posOffset>
            </wp:positionV>
            <wp:extent cx="1920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23495</wp:posOffset>
            </wp:positionV>
            <wp:extent cx="1920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03"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220" w:val="left"/>
          <w:tab w:leader="none" w:pos="9280" w:val="left"/>
          <w:tab w:leader="none" w:pos="9780" w:val="left"/>
          <w:tab w:leader="none" w:pos="10840" w:val="left"/>
        </w:tabs>
        <w:rPr>
          <w:sz w:val="20"/>
          <w:szCs w:val="20"/>
          <w:color w:val="auto"/>
        </w:rPr>
      </w:pPr>
      <w:r>
        <w:rPr>
          <w:rFonts w:ascii="Arial" w:cs="Arial" w:eastAsia="Arial" w:hAnsi="Arial"/>
          <w:sz w:val="18"/>
          <w:szCs w:val="18"/>
          <w:color w:val="auto"/>
        </w:rPr>
        <w:t>Goods and services purchased from Westlake and capitalized as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480</w:t>
        <w:tab/>
        <w:t>$</w:t>
      </w:r>
      <w:r>
        <w:rPr>
          <w:sz w:val="20"/>
          <w:szCs w:val="20"/>
          <w:color w:val="auto"/>
        </w:rPr>
        <w:tab/>
      </w:r>
      <w:r>
        <w:rPr>
          <w:rFonts w:ascii="Arial" w:cs="Arial" w:eastAsia="Arial" w:hAnsi="Arial"/>
          <w:sz w:val="16"/>
          <w:szCs w:val="16"/>
          <w:color w:val="auto"/>
        </w:rPr>
        <w:t>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48895</wp:posOffset>
            </wp:positionV>
            <wp:extent cx="1920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On August 1, 2017, the Partnership, OpCo and Westlake executed an investment management agreement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$587 and $601 was included in the receivable under the Investment Management Agreement balance at March 31, 2020 and December 31, 2019, respectively. Total interest earned related to the Investment Management Agreement was $587 and $818 for the three months ended March 31, 2020 and 2019, respectively.</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under the Investment Management Agreement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161,759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162,773</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Partnership's accounts receivable from Westlake result primarily from ethylene sales to Westlake under the Ethylene Sales Agreement.</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40,560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42,847</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9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15,201</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0"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OpCo is obligated to Westlake under various long-term and short-term noncancelable operating leases, primarily related to rail car leases and land. Operating lease rentals paid to Westlake for such leases were $670 and $514 for the three months ended March 31, 2020 and 2019, respectively, and reflected in other charges from Westlake that are included in cost of sales.</w:t>
      </w:r>
    </w:p>
    <w:p>
      <w:pPr>
        <w:spacing w:after="0" w:line="4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9 for a description of related party debt payable balances.</w:t>
      </w:r>
    </w:p>
    <w:p>
      <w:pPr>
        <w:spacing w:after="0" w:line="9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Interest on related party debt payable balances for the three months ended March 31, 2020 and 2019 was $3,950 and $5,900, respectively. Interest on related party debt payable is presented as interest expense—Westlake in the consolidated statements of operations. Interest capitalized as a component of property, plant and equipment on related party debt was $0 for the three months ended March 31, 2020 and 2019. At March 31, 2020 and December 31, 2019, accrued interest on related party debt was $3,950 and $4,187, respectively, and is reflected as a component of accrued liabilities in the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r>
      <w:tr>
        <w:trPr>
          <w:trHeight w:val="26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399,674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399,674</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During the three months ended March 31, 2020 and 2019, Westlake accounted for approximately 85.7% and 85.9%, respectively, of the Partnership's net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7 above for an additional related party transaction.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15"/>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OpCo Revolver (variable interest rate of London Interbank Offered Rate ("LIBOR") plus 2.0%, scheduled</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maturity of September 25, 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22,619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22,619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MLP Revolver (variable interest rate of LIBOR plus 2.0%, scheduled maturity of March 19, 2023)</w:t>
            </w: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377,055</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399,674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April 30, 2019, the Partnership repaid $201,445 of borrowings under the OpCo Revolver.</w:t>
      </w:r>
    </w:p>
    <w:p>
      <w:pPr>
        <w:spacing w:after="0" w:line="171" w:lineRule="exact"/>
        <w:rPr>
          <w:sz w:val="20"/>
          <w:szCs w:val="20"/>
          <w:color w:val="auto"/>
        </w:rPr>
      </w:pPr>
    </w:p>
    <w:p>
      <w:pPr>
        <w:ind w:right="120" w:firstLine="391"/>
        <w:spacing w:after="0" w:line="279" w:lineRule="auto"/>
        <w:rPr>
          <w:sz w:val="20"/>
          <w:szCs w:val="20"/>
          <w:color w:val="auto"/>
        </w:rPr>
      </w:pPr>
      <w:r>
        <w:rPr>
          <w:rFonts w:ascii="Arial" w:cs="Arial" w:eastAsia="Arial" w:hAnsi="Arial"/>
          <w:sz w:val="17"/>
          <w:szCs w:val="17"/>
          <w:color w:val="auto"/>
        </w:rPr>
        <w:t>On March 29, 2019, the Partnership borrowed $123,512 under the MLP Revolver to partially fund the purchase of the additional 4.5% interest in OpCo.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weighted average interest rate on all long-term debt was 3.9% and 4.1%, respectively, at March 31, 2020 and December 31, 2019.</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2020, the Partnership was in compliance with all of the covenants under the OpCo Revolver and the MLP Revolver.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Commodity Instruments</w:t>
      </w:r>
    </w:p>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From time to time, the Partnership uses derivative instruments to reduce price volatility risk on commodities, primarily ethane and ethylene. The Partnership does not use derivative instruments to engage in speculative activities.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Partnership had no derivatives that were designated as fair value hedges during the three months ended March 31, 2020 and 2019.</w:t>
      </w:r>
    </w:p>
    <w:p>
      <w:pPr>
        <w:spacing w:after="0" w:line="102"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Gains and losses from changes in the fair value of derivative instruments that are not designated as hedging instruments were included in net sales and cost of sales in the consolidated statements of operations for the three months ended March 31, 2020 and 2019.</w:t>
      </w:r>
    </w:p>
    <w:p>
      <w:pPr>
        <w:spacing w:after="0" w:line="1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exposure on commodity derivatives used for price risk management includes the risk that the counterparty will not pay if the market price declines below the established fixed price. In such case, the Partnership would lose the benefit of the derivative differential on the volume of the commodities covered. In any event, the Partnership would continue to receive the market price on the actual volume hedge. The Partnership also bears the risk that it could lose the benefit of market improvements over the fixed derivative price for the term and volume of the derivative instruments (as such improvements would accrue to the benefit of the counterparty). The Partnership had non-hedge designated derivatives covering approximately 22.7 million gallons and 54.0 million pounds of commodities as of March 31, 2020 and 39.1 million gallons and 93.0 million pounds of commodities as of December 31, 2019.</w:t>
      </w:r>
    </w:p>
    <w:p>
      <w:pPr>
        <w:spacing w:after="0" w:line="60" w:lineRule="exact"/>
        <w:rPr>
          <w:sz w:val="20"/>
          <w:szCs w:val="20"/>
          <w:color w:val="auto"/>
        </w:rPr>
      </w:pPr>
    </w:p>
    <w:p>
      <w:pPr>
        <w:ind w:right="40" w:firstLine="432"/>
        <w:spacing w:after="0" w:line="301" w:lineRule="auto"/>
        <w:rPr>
          <w:sz w:val="20"/>
          <w:szCs w:val="20"/>
          <w:color w:val="auto"/>
        </w:rPr>
      </w:pPr>
      <w:r>
        <w:rPr>
          <w:rFonts w:ascii="Arial" w:cs="Arial" w:eastAsia="Arial" w:hAnsi="Arial"/>
          <w:sz w:val="16"/>
          <w:szCs w:val="16"/>
          <w:color w:val="auto"/>
        </w:rPr>
        <w:t>At March 31, 2020, the fair values of these derivative instruments recorded as accrued liabilities and accounts receivable, net were $1,708 and $2,838, respectively. At December 31, 2019, the fair values of these derivative instruments recorded as accrued liabilities and accounts receivable, net were $1,959 and $597, respectively. The gains recognized in net sales and losses recognized in cost of sales related to derivatives were $3,354 and $1,448, respectively, for the three months ended March 31, 2020 and $2,211 and $880, respectively, for the three months ended March 31, 2019</w:t>
      </w:r>
      <w:r>
        <w:rPr>
          <w:rFonts w:ascii="Arial" w:cs="Arial" w:eastAsia="Arial" w:hAnsi="Arial"/>
          <w:sz w:val="16"/>
          <w:szCs w:val="16"/>
          <w:color w:val="212529"/>
        </w:rPr>
        <w:t>.</w:t>
      </w:r>
    </w:p>
    <w:p>
      <w:pPr>
        <w:spacing w:after="0" w:line="2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Partnership's commodity contracts are measured using forward curves supplied by industry recognized sources and unrelated third-party services and classified as Level 2 under the fair value measurement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March 31, 2020 and December 31, 2019 are summarized in the table below. The Partnership's long-term debt includes the OpCo Revolver and the MLP Revolver at March 31, 2020.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8"/>
              </w:rPr>
              <w:t>March 31, 2020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Borders>
              <w:bottom w:val="single" w:sz="8" w:color="auto"/>
            </w:tcBorders>
          </w:tcPr>
          <w:p>
            <w:pPr>
              <w:spacing w:after="0"/>
              <w:rPr>
                <w:sz w:val="16"/>
                <w:szCs w:val="16"/>
                <w:color w:val="auto"/>
              </w:rPr>
            </w:pPr>
          </w:p>
        </w:tc>
      </w:tr>
      <w:tr>
        <w:trPr>
          <w:trHeight w:val="152"/>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080" w:type="dxa"/>
            <w:vAlign w:val="bottom"/>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3"/>
                <w:szCs w:val="13"/>
                <w:color w:val="auto"/>
              </w:rPr>
            </w:pPr>
          </w:p>
        </w:tc>
        <w:tc>
          <w:tcPr>
            <w:tcW w:w="92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6"/>
                <w:szCs w:val="16"/>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20,864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23,364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380,737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379,452</w:t>
            </w:r>
          </w:p>
        </w:tc>
      </w:tr>
      <w:tr>
        <w:trPr>
          <w:trHeight w:val="675"/>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0" w:lineRule="exact"/>
        <w:rPr>
          <w:sz w:val="20"/>
          <w:szCs w:val="20"/>
          <w:color w:val="auto"/>
        </w:rPr>
      </w:pPr>
    </w:p>
    <w:p>
      <w:pPr>
        <w:ind w:right="8920" w:firstLine="8"/>
        <w:spacing w:after="0" w:line="390"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160" w:firstLine="405"/>
        <w:spacing w:after="0" w:line="259" w:lineRule="auto"/>
        <w:rPr>
          <w:sz w:val="20"/>
          <w:szCs w:val="20"/>
          <w:color w:val="auto"/>
        </w:rPr>
      </w:pPr>
      <w:r>
        <w:rPr>
          <w:rFonts w:ascii="Arial" w:cs="Arial" w:eastAsia="Arial" w:hAnsi="Arial"/>
          <w:sz w:val="18"/>
          <w:szCs w:val="18"/>
          <w:color w:val="auto"/>
        </w:rPr>
        <w:t>Accrued liabilities were $18,032 and $17,507 at March 31, 2020 and December 31, 2019, respectively. Accrued interest, accrued taxes, accrued maintenance, commodity derivative related accrual, and accrued capital expenditures, which are components of accrued liabilities, were $3,950, $3,536, $3,769, $1,708 and $1,630, respectively, at March 31, 2020 and $4,187, $2,611, $3,225, $1,959 and $2,375, respectively, at December 31, 2019. No other component of accrued liabilities was more than five percent of total current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non-cash investing activities related to accruals for capital expenditures were $20 and $52 for the three months ended March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1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81"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212529"/>
        </w:rPr>
        <w:t xml:space="preserve">On March 11, 2020, the World Health Organization declared the ongoing coronavirus (COVID-19) outbreak a pandemic and recommended containment and mitigation measures worldwide. The pandemic has resulted in widespread adverse impacts on the global economy and on our employees, customers and suppliers. </w:t>
      </w:r>
      <w:r>
        <w:rPr>
          <w:rFonts w:ascii="Arial" w:cs="Arial" w:eastAsia="Arial" w:hAnsi="Arial"/>
          <w:sz w:val="17"/>
          <w:szCs w:val="17"/>
          <w:color w:val="000000"/>
        </w:rPr>
        <w:t>Though the Partnership did not experience significant disruptions in the first quarter of 2020 and does not expect significant</w:t>
      </w:r>
      <w:r>
        <w:rPr>
          <w:rFonts w:ascii="Arial" w:cs="Arial" w:eastAsia="Arial" w:hAnsi="Arial"/>
          <w:sz w:val="17"/>
          <w:szCs w:val="17"/>
          <w:color w:val="212529"/>
        </w:rPr>
        <w:t xml:space="preserve"> </w:t>
      </w:r>
      <w:r>
        <w:rPr>
          <w:rFonts w:ascii="Arial" w:cs="Arial" w:eastAsia="Arial" w:hAnsi="Arial"/>
          <w:sz w:val="17"/>
          <w:szCs w:val="17"/>
          <w:color w:val="000000"/>
        </w:rPr>
        <w:t>resulting disruptions to its business operations, the impact that COVID-19 will have on the Partnership's financial condition, results of operations and cash flows will depend on future developments, including, among others, the ultimate duration, geographic spread and severity of the virus, the actions to contain the virus, the consequences of governmental and other measures designed to prevent the spread of the virus, the development of effective treatments, the impact on the operation of OpCo facilities, Westlake, customers, suppliers and other third parties and the timing and extent to which normal economic and operating conditions resume.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2019 (the "2019 Form 10-K"), as filed with the SEC on February 28, 2020.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at the end of the year, is generally not reduced for the first 45 days of a force majeure event, but is reduced for the portion of a force majeure event extending beyond the 45th day.</w:t>
      </w:r>
    </w:p>
    <w:p>
      <w:pPr>
        <w:spacing w:after="0" w:line="11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012" w:right="359" w:bottom="1440" w:gutter="0" w:footer="0" w:header="0"/>
        </w:sectPr>
      </w:pPr>
    </w:p>
    <w:bookmarkStart w:id="16" w:name="page17"/>
    <w:bookmarkEnd w:id="16"/>
    <w:p>
      <w:pPr>
        <w:ind w:right="40" w:firstLine="432"/>
        <w:spacing w:after="0" w:line="289"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94"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4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Our Business</w:t>
      </w:r>
    </w:p>
    <w:p>
      <w:pPr>
        <w:spacing w:after="0" w:line="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On March 11, 2020, the World Health Organization declared the ongoing coronavirus (COVID-19) outbreak a pandemic and recommended containment and mitigation measures worldwide. </w:t>
      </w:r>
      <w:r>
        <w:rPr>
          <w:rFonts w:ascii="Arial" w:cs="Arial" w:eastAsia="Arial" w:hAnsi="Arial"/>
          <w:sz w:val="16"/>
          <w:szCs w:val="16"/>
          <w:color w:val="212529"/>
        </w:rPr>
        <w:t>The pandemic</w:t>
      </w:r>
      <w:r>
        <w:rPr>
          <w:rFonts w:ascii="Arial" w:cs="Arial" w:eastAsia="Arial" w:hAnsi="Arial"/>
          <w:sz w:val="16"/>
          <w:szCs w:val="16"/>
          <w:color w:val="auto"/>
        </w:rPr>
        <w:t xml:space="preserve"> has resulted in widespread adverse impacts on the global economy and on our employees, customers and suppliers. We did not experience significant disruptions in the first quarter of 2020 and do not expect to experience </w:t>
      </w:r>
      <w:r>
        <w:rPr>
          <w:rFonts w:ascii="Arial" w:cs="Arial" w:eastAsia="Arial" w:hAnsi="Arial"/>
          <w:sz w:val="16"/>
          <w:szCs w:val="16"/>
          <w:color w:val="212529"/>
        </w:rPr>
        <w:t>significant resulting</w:t>
      </w:r>
      <w:r>
        <w:rPr>
          <w:rFonts w:ascii="Arial" w:cs="Arial" w:eastAsia="Arial" w:hAnsi="Arial"/>
          <w:sz w:val="16"/>
          <w:szCs w:val="16"/>
          <w:color w:val="auto"/>
        </w:rPr>
        <w:t xml:space="preserve"> </w:t>
      </w:r>
      <w:r>
        <w:rPr>
          <w:rFonts w:ascii="Arial" w:cs="Arial" w:eastAsia="Arial" w:hAnsi="Arial"/>
          <w:sz w:val="16"/>
          <w:szCs w:val="16"/>
          <w:color w:val="212529"/>
        </w:rPr>
        <w:t>disruptions to our business operations, primarily due to the fact that 95% of our production is sold to Westlake on a take-or-pay contract. Due to the sudden collapse of crude oil prices in early March 2020 and the addition of ethylene production capacity in recent months, prices for ethylene and co-products have remained weak. We may idle production and reduce operating rates if it is not economical for us to produce ethylene to sell to third parties.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35" w:right="339" w:bottom="1440" w:gutter="0" w:footer="0" w:header="0"/>
        </w:sectPr>
      </w:pPr>
    </w:p>
    <w:bookmarkStart w:id="17" w:name="page18"/>
    <w:bookmarkEnd w:id="17"/>
    <w:p>
      <w:pPr>
        <w:jc w:val="both"/>
        <w:ind w:firstLine="405"/>
        <w:spacing w:after="0" w:line="291" w:lineRule="auto"/>
        <w:rPr>
          <w:sz w:val="20"/>
          <w:szCs w:val="20"/>
          <w:color w:val="auto"/>
        </w:rPr>
      </w:pPr>
      <w:r>
        <w:rPr>
          <w:rFonts w:ascii="Arial" w:cs="Arial" w:eastAsia="Arial" w:hAnsi="Arial"/>
          <w:sz w:val="16"/>
          <w:szCs w:val="16"/>
          <w:color w:val="auto"/>
        </w:rPr>
        <w:t>Our first priority in our response to this crisis has been the health and safety of our operators, who are loaned to us by Westlake, and those of our customers and vendors. Westlake has implemented preventative measures and developed corporate and regional response plans to minimize unnecessary risk of exposure. We and Westlake have modified certain business practices (including those related to employee travel, employee work locations, and cancellation of physical participation in meetings, events and conferences) to conform to government restrictions and best practices encouraged by the Center for Disease Control and Prevention, the World Health Organization and other governmental and regulatory authorities. We and Westlake are implementing strategies to reduce costs, increase operational efficiencies and lower its capital spending. We also expect to defer the planned turnaround at OpCo's Petro 2 ethylene unit and associated maintenance cost into the first half of 2021. The turnaround is expected to last 60 days.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regarding risks associated with the COVID-19 pandemic, see Item 1A "Risk Factors" in this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3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385"/>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18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214,828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257,040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42,046</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250,549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299,086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147,001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208,432</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103,548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90,654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6,973</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97,352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83,681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93,987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78,596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 (benefit)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93,770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78,396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63,441</w:t>
            </w:r>
          </w:p>
        </w:tc>
      </w:tr>
      <w:tr>
        <w:trPr>
          <w:trHeight w:val="29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17,747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14,955</w:t>
            </w:r>
          </w:p>
        </w:tc>
      </w:tr>
      <w:tr>
        <w:trPr>
          <w:trHeight w:val="257"/>
        </w:trPr>
        <w:tc>
          <w:tcPr>
            <w:tcW w:w="818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17,555</w:t>
            </w:r>
          </w:p>
        </w:tc>
      </w:tr>
      <w:tr>
        <w:trPr>
          <w:trHeight w:val="283"/>
        </w:trPr>
        <w:tc>
          <w:tcPr>
            <w:tcW w:w="8180" w:type="dxa"/>
            <w:vAlign w:val="bottom"/>
          </w:tcPr>
          <w:p>
            <w:pPr>
              <w:ind w:left="20"/>
              <w:spacing w:after="0" w:line="282"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123,968</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111,340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391" w:lineRule="exact"/>
        <w:rPr>
          <w:sz w:val="20"/>
          <w:szCs w:val="20"/>
          <w:color w:val="auto"/>
        </w:rPr>
      </w:pPr>
    </w:p>
    <w:p>
      <w:pPr>
        <w:ind w:left="300" w:hanging="25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117" w:lineRule="exact"/>
        <w:rPr>
          <w:rFonts w:ascii="Arial" w:cs="Arial" w:eastAsia="Arial" w:hAnsi="Arial"/>
          <w:sz w:val="18"/>
          <w:szCs w:val="18"/>
          <w:color w:val="auto"/>
        </w:rPr>
      </w:pPr>
    </w:p>
    <w:p>
      <w:pPr>
        <w:ind w:left="300" w:hanging="25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"Reconciliation of EBITDA to Net Income, Income from Operations and Net Cash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Three Months Ended March 31, 2020</w:t>
            </w:r>
          </w:p>
        </w:tc>
        <w:tc>
          <w:tcPr>
            <w:tcW w:w="0" w:type="dxa"/>
            <w:vAlign w:val="bottom"/>
          </w:tcPr>
          <w:p>
            <w:pPr>
              <w:spacing w:after="0"/>
              <w:rPr>
                <w:sz w:val="1"/>
                <w:szCs w:val="1"/>
                <w:color w:val="auto"/>
              </w:rPr>
            </w:pPr>
          </w:p>
        </w:tc>
      </w:tr>
      <w:tr>
        <w:trPr>
          <w:trHeight w:val="152"/>
        </w:trPr>
        <w:tc>
          <w:tcPr>
            <w:tcW w:w="8060" w:type="dxa"/>
            <w:vAlign w:val="bottom"/>
          </w:tcPr>
          <w:p>
            <w:pPr>
              <w:spacing w:after="0"/>
              <w:rPr>
                <w:sz w:val="13"/>
                <w:szCs w:val="13"/>
                <w:color w:val="auto"/>
              </w:rPr>
            </w:pPr>
          </w:p>
        </w:tc>
        <w:tc>
          <w:tcPr>
            <w:tcW w:w="1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Sales Price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 prior-year period</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548"/>
        </w:trPr>
        <w:tc>
          <w:tcPr>
            <w:tcW w:w="8060" w:type="dxa"/>
            <w:vAlign w:val="bottom"/>
          </w:tcPr>
          <w:p>
            <w:pPr>
              <w:spacing w:after="0"/>
              <w:rPr>
                <w:sz w:val="24"/>
                <w:szCs w:val="24"/>
                <w:color w:val="auto"/>
              </w:rPr>
            </w:pPr>
          </w:p>
        </w:tc>
        <w:tc>
          <w:tcPr>
            <w:tcW w:w="31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806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60" w:type="dxa"/>
            <w:vAlign w:val="bottom"/>
          </w:tcPr>
          <w:p>
            <w:pPr>
              <w:jc w:val="right"/>
              <w:ind w:right="1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20" w:type="dxa"/>
            <w:vAlign w:val="bottom"/>
          </w:tcPr>
          <w:p>
            <w:pPr>
              <w:jc w:val="right"/>
              <w:ind w:right="9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56"/>
        </w:trPr>
        <w:tc>
          <w:tcPr>
            <w:tcW w:w="806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60" w:type="dxa"/>
            <w:vAlign w:val="bottom"/>
          </w:tcPr>
          <w:p>
            <w:pPr>
              <w:jc w:val="right"/>
              <w:ind w:right="14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2"/>
                <w:szCs w:val="22"/>
                <w:color w:val="auto"/>
              </w:rPr>
            </w:pPr>
          </w:p>
        </w:tc>
        <w:tc>
          <w:tcPr>
            <w:tcW w:w="1520" w:type="dxa"/>
            <w:vAlign w:val="bottom"/>
          </w:tcPr>
          <w:p>
            <w:pPr>
              <w:jc w:val="right"/>
              <w:ind w:right="96"/>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_____________</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pricing data was obtained through IHS Markit ("IHS").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113,499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(34,645)</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93,770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78,396</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Depreciation, amortization and disposition of property, plant and equipment</w:t>
            </w: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26,127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27,302</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Mark-to-market adjustment gain on derivative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 to turnaround reserves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(11,320)</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 noncontrolling interest in OpCo</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(72,260)</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MLP distributable cash flow</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18,337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17,555</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9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48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113,499</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34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(34,645)</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93,770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78,396</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97,352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83,681</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Add:</w:t>
            </w:r>
          </w:p>
        </w:tc>
        <w:tc>
          <w:tcPr>
            <w:tcW w:w="34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26,844</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123,968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111,340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2410"/>
              <w:spacing w:after="0"/>
              <w:rPr>
                <w:sz w:val="20"/>
                <w:szCs w:val="20"/>
                <w:color w:val="auto"/>
              </w:rPr>
            </w:pPr>
            <w:r>
              <w:rPr>
                <w:rFonts w:ascii="Arial" w:cs="Arial" w:eastAsia="Arial" w:hAnsi="Arial"/>
                <w:sz w:val="18"/>
                <w:szCs w:val="18"/>
                <w:color w:val="auto"/>
              </w:rPr>
              <w:t>18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For the quarter ended March 31, 2020, net income was $93.8 million on net sales of $250.5 million. This represents an increase in net income of $15.4 million as compared to net income of $78.4 million on net sales of $299.1 million for the quarter ended March 31, 2019. Net income for the first quarter of 2020 as compared to the first quarter of 2019 was higher primarily due higher sales volumes to Westlake and third parties, higher margins on third party ethylene sales resulting from lower feedstock costs, lower selling, general and administrative expenses and lower interest expense. Net income attributable to Westlake Chemical Partners LP for the first quarter of 2020 was $17.7 million as compared to $15.0 million for the first quarter of 2019, an increase of $2.7 million, which was primarily due to higher sales volumes due to increased production and higher margins on third party ethylene sales resulting from lower feedstock costs. Net sales for the first quarter of 2020 decreased by $48.6 million as compared to net sales for the first quarter of 2019, mainly due to lower sales prices to Westlake per the terms of the Ethylene Sales Agreement, partially offset by higher sales volumes to Westlake and third parties. Income from operations was $97.4 million for the first quarter of 2020 as compared to $83.7 million for the first quarter of 2019. Income from operations for the first quarter of 2020 increased mainly as a result of higher sales volumes, higher margins on third party ethylene sales resulting from lower feedstock costs and lower selling, general and administrative expenses, as compared to the first quarter of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Compared with First Quarter 2019</w:t>
      </w:r>
    </w:p>
    <w:p>
      <w:pPr>
        <w:spacing w:after="0" w:line="90"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Total net sales decreased by $48.6 million, or 16.2%, to $250.5 million in the first quarter of 2020 from $299.1 million in the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2019. The overall average sales price in the first quarter of 2020 contributed to a 19.5% decrease in net sales, primarily due to lower ethylene sales prices to Westlake per the terms of the Ethylene Sales Agreement, compared to the first quarter of 2019. The overall sales volume contributed to an increase in net sales of 3.3% in the first quarter of 2020 compared to the first quarter of 2019, primarily as a result of higher sales volumes to Westlake and third parties.</w:t>
      </w:r>
    </w:p>
    <w:p>
      <w:pPr>
        <w:spacing w:after="0" w:line="10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increased to $103.5 million for the first quarter of 2020 from $90.7 million for the first quarter of 2019. The gross profit</w:t>
      </w:r>
      <w:r>
        <w:rPr>
          <w:rFonts w:ascii="Arial" w:cs="Arial" w:eastAsia="Arial" w:hAnsi="Arial"/>
          <w:sz w:val="17"/>
          <w:szCs w:val="17"/>
          <w:i w:val="1"/>
          <w:iCs w:val="1"/>
          <w:color w:val="auto"/>
        </w:rPr>
        <w:t xml:space="preserve"> </w:t>
      </w:r>
      <w:r>
        <w:rPr>
          <w:rFonts w:ascii="Arial" w:cs="Arial" w:eastAsia="Arial" w:hAnsi="Arial"/>
          <w:sz w:val="17"/>
          <w:szCs w:val="17"/>
          <w:color w:val="auto"/>
        </w:rPr>
        <w:t>margin in the first quarter of 2020 was 41.3%, as compared to 30.3% for the first quarter of 2019. The first quarter of 2020 gross profit margin was higher mainly due to higher sales volumes and higher margins on third party ethylene sales resulting from lower feedstock costs.</w:t>
      </w:r>
    </w:p>
    <w:p>
      <w:pPr>
        <w:spacing w:after="0" w:line="11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$0.8 million, or 11.4%, to $6.2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2020 as compared to $7.0 million in the first quarter of 2019. The decrease in the first quarter of 2020 was mainly attributable to a decrease in general and administrative expense allocations, partially offset by increases in the provision for doubtful accounts and consulting and professional fees as compared to the first quarter of 2019.</w:t>
      </w:r>
    </w:p>
    <w:p>
      <w:pPr>
        <w:spacing w:after="0" w:line="133"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by $1.9 million to $4.0 million in the first quarter of 2020 from $5.9 million in the first quarter of 2019,</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due to a lower average debt balance resulting from the partial repayment of borrowings under the OpCo Revolver in April 2019.</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 the first quarter of 2020 was comparable to the first quarter of 2019.</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remained consistent at $0.2 million in the first quarter of 2020 and the first quarter of 2019.</w:t>
      </w:r>
    </w:p>
    <w:p>
      <w:pPr>
        <w:spacing w:after="0" w:line="194"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increased by $0.7 million to $18.3 million in the first quarter of 2020 from $17.6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2019. The increased MLP distributable cash flow in the first quarter of 2020, as compared to the prior-year period, was primarily a result of higher sales volumes to Westlake and third parties and higher margins on third party sales.</w:t>
      </w:r>
    </w:p>
    <w:p>
      <w:pPr>
        <w:spacing w:after="0" w:line="130" w:lineRule="exact"/>
        <w:rPr>
          <w:sz w:val="20"/>
          <w:szCs w:val="20"/>
          <w:color w:val="auto"/>
        </w:rPr>
      </w:pPr>
    </w:p>
    <w:p>
      <w:pPr>
        <w:ind w:right="220" w:firstLine="432"/>
        <w:spacing w:after="0" w:line="263"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increased by $12.7 million to $124.0 million in the first quarter of 2020 from $111.3 million in the first quarter of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EBITDA as compared to the prior-year period was primarily due to higher sales volumes to Westlake and third parties, higher margins on third party sales and lower selling general and administrative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16" w:right="339" w:bottom="1440" w:gutter="0" w:footer="0" w:header="0"/>
        </w:sectPr>
      </w:pPr>
    </w:p>
    <w:bookmarkStart w:id="21" w:name="page22"/>
    <w:bookmarkEnd w:id="21"/>
    <w:p>
      <w:pPr>
        <w:spacing w:after="0" w:line="32" w:lineRule="exact"/>
        <w:rPr>
          <w:sz w:val="20"/>
          <w:szCs w:val="20"/>
          <w:color w:val="auto"/>
        </w:rPr>
      </w:pPr>
    </w:p>
    <w:p>
      <w:pPr>
        <w:ind w:right="3680"/>
        <w:spacing w:after="0" w:line="346" w:lineRule="auto"/>
        <w:rPr>
          <w:sz w:val="20"/>
          <w:szCs w:val="20"/>
          <w:color w:val="auto"/>
        </w:rPr>
      </w:pPr>
      <w:r>
        <w:rPr>
          <w:rFonts w:ascii="Arial" w:cs="Arial" w:eastAsia="Arial" w:hAnsi="Arial"/>
          <w:sz w:val="18"/>
          <w:szCs w:val="18"/>
          <w:b w:val="1"/>
          <w:bCs w:val="1"/>
          <w:color w:val="auto"/>
        </w:rPr>
        <w:t xml:space="preserve">CASH FLOW DISCUSSION FOR THE THREE MONTHS ENDED MARCH 31, 2020 AND 2019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200" w:firstLine="432"/>
        <w:spacing w:after="0" w:line="290" w:lineRule="auto"/>
        <w:rPr>
          <w:sz w:val="20"/>
          <w:szCs w:val="20"/>
          <w:color w:val="auto"/>
        </w:rPr>
      </w:pPr>
      <w:r>
        <w:rPr>
          <w:rFonts w:ascii="Arial" w:cs="Arial" w:eastAsia="Arial" w:hAnsi="Arial"/>
          <w:sz w:val="16"/>
          <w:szCs w:val="16"/>
          <w:color w:val="auto"/>
        </w:rPr>
        <w:t>Operating activities provided cash of $111.0 million in the first three months of 2020 compared to cash provided by operating activities of $113.5 million in the first three months of 2019. The $2.5 million decrease in cash flows from operating activities was mainly due to an increase in cash used for working capital during the three months ended March 31, 2020 as compared to the prior-year period, partially offset by an increase in income from operations.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$8.7 million in the first three months of 2020 as compared to $8.1 million of cash provided in the first three months of 2019, resulting in an overall unfavorable change of $16.8 million, offset by the increase in net income. The unfavorable change in working capital was mainly attributable to unfavorable changes in third party and Westlake net accounts receivable.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Net cash used for investing activities during the first three months of 2020 was $11.0 million as compared to net cash used for investing activities of $139.6 million in the first three months of 2019, mainly due to decreased net cash used under the Investment Management Agreement in the first three months of 2020, as compared to the prior-year period. Capital expenditures during the first three months of 2020 and 2019 were primarily related to projects to improve production capacity or reduce costs, maintenance and safety and environmental projects at our facilities.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cash used for financing activities during the first three months of 2020 was $95.8 million as compared to net cash provided by financing activities of $91.0 million in the first three months of 2019. The outflows during the first three months of 2020 were related to the distribution of $79.2 million to Westlake and of $16.6 million to other unitholders by the Partnership. The cash inflows during the first three months of 2019 were a result of borrowings under the MLP Revolver of $123.5 million and net proceeds from the private placement of common units of approximately $62.9 million. The cash outflows during the first three months of 2019 were related to the distribution of $81.5 million to Westlake and of $14.0 million to other unitholders by the Partnership.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Pursuant to the terms of the ATM Agreement, the Partnership may offer and sell the Partnership's common units from time to time to or through the Managers, as the Partnership's sales agents or as principals, having an aggregate offering amount of up to $50.0 million. The Partnership intends to use the net proceeds of sales of the common units, if any, for general partnership purposes, including the funding of potential drop-downs and other acquisitions. No common units had been issued under this program as of March 31, 2020.</w:t>
      </w:r>
    </w:p>
    <w:p>
      <w:pPr>
        <w:spacing w:after="0" w:line="133" w:lineRule="exact"/>
        <w:rPr>
          <w:sz w:val="20"/>
          <w:szCs w:val="20"/>
          <w:color w:val="auto"/>
        </w:rPr>
      </w:pPr>
    </w:p>
    <w:p>
      <w:pPr>
        <w:ind w:right="400" w:firstLine="432"/>
        <w:spacing w:after="0" w:line="263"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30" w:lineRule="exact"/>
        <w:rPr>
          <w:sz w:val="20"/>
          <w:szCs w:val="20"/>
          <w:color w:val="auto"/>
        </w:rPr>
      </w:pPr>
    </w:p>
    <w:p>
      <w:pPr>
        <w:ind w:right="300" w:firstLine="432"/>
        <w:spacing w:after="0" w:line="293" w:lineRule="auto"/>
        <w:rPr>
          <w:sz w:val="20"/>
          <w:szCs w:val="20"/>
          <w:color w:val="auto"/>
        </w:rPr>
      </w:pPr>
      <w:r>
        <w:rPr>
          <w:rFonts w:ascii="Arial" w:cs="Arial" w:eastAsia="Arial" w:hAnsi="Arial"/>
          <w:sz w:val="16"/>
          <w:szCs w:val="16"/>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2" w:name="page23"/>
    <w:bookmarkEnd w:id="22"/>
    <w:p>
      <w:pPr>
        <w:ind w:firstLine="432"/>
        <w:spacing w:after="0" w:line="301" w:lineRule="auto"/>
        <w:rPr>
          <w:sz w:val="20"/>
          <w:szCs w:val="20"/>
          <w:color w:val="auto"/>
        </w:rPr>
      </w:pPr>
      <w:r>
        <w:rPr>
          <w:rFonts w:ascii="Arial" w:cs="Arial" w:eastAsia="Arial" w:hAnsi="Arial"/>
          <w:sz w:val="16"/>
          <w:szCs w:val="16"/>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03"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Our cash is generated from cash distributions from OpCo. OpCo is a restricted subsidiary under certain indentures governing Westlake's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30"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On April 30, 2020, the board of directors of Westlake Chemical Partners GP LLC, our general partner, approved a quarterly distribution of $0.4714 per unit payable on May 26, 2020 to unitholders of record as of May 11, 2020, which equates to a total amount of approximately $16.6 million per quarter, or approximately $66.4 million per year in aggregate, based on the number of common units outstanding on March 31, 2020. We do not have a legal or contractual obligation to pay distributions on a quarterly basis or any other basis at our minimum quarterly distribution rate or any other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Total capital expenditures for the three months ended March 31, 2020 and 2019 were $12.0 million and $12.1 million, respectively. No funding was required by OpCo to fund capital expenditures during the three months ended March 31, 2020 and 2019. We expect that Westlake will loan additional cash to OpCo to fund its expansion capital expenditures in the future, but Westlake is under no obligation to do so.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right="280" w:firstLine="445"/>
        <w:spacing w:after="0" w:line="263" w:lineRule="auto"/>
        <w:rPr>
          <w:sz w:val="20"/>
          <w:szCs w:val="20"/>
          <w:color w:val="auto"/>
        </w:rPr>
      </w:pPr>
      <w:r>
        <w:rPr>
          <w:rFonts w:ascii="Arial" w:cs="Arial" w:eastAsia="Arial" w:hAnsi="Arial"/>
          <w:sz w:val="18"/>
          <w:szCs w:val="18"/>
          <w:color w:val="auto"/>
        </w:rPr>
        <w:t>As of March 31, 2020, our cash and cash equivalents totaled $24.1 million. In addition, we have cash invested under the Investment Management Agreement (as described below) and a revolving credit facility with Westlake available to supplement cash if needed, as described under "Indebtedness" below.</w:t>
      </w:r>
    </w:p>
    <w:p>
      <w:pPr>
        <w:spacing w:after="0" w:line="130" w:lineRule="exact"/>
        <w:rPr>
          <w:sz w:val="20"/>
          <w:szCs w:val="20"/>
          <w:color w:val="auto"/>
        </w:rPr>
      </w:pPr>
    </w:p>
    <w:p>
      <w:pPr>
        <w:ind w:right="180" w:firstLine="432"/>
        <w:spacing w:after="0" w:line="301" w:lineRule="auto"/>
        <w:rPr>
          <w:sz w:val="20"/>
          <w:szCs w:val="20"/>
          <w:color w:val="auto"/>
        </w:rPr>
      </w:pPr>
      <w:r>
        <w:rPr>
          <w:rFonts w:ascii="Arial" w:cs="Arial" w:eastAsia="Arial" w:hAnsi="Arial"/>
          <w:sz w:val="16"/>
          <w:szCs w:val="16"/>
          <w:color w:val="auto"/>
        </w:rPr>
        <w:t>In August 2017, the Partnership, OpCo and Westlake executed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$161.8 million of cash invested under the Investment Management Agreement at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20" w:firstLine="391"/>
        <w:spacing w:after="0" w:line="257"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(the "OpCo Revolver") that may be used to fund growth projects and working capital needs. On April 30, 2019, the Partnership repaid $201.4 million of borrowings under the OpCo Revolver. As of March 31, 2020, outstanding borrowings under the OpCo Revolver totaled $22.6 million and bore interest at the LIBOR rate plus 2.0%, which is accrued in arrears quarterly. In September 2018, the OpCo Revolver was amended to extend the scheduled maturity date from August 4, 2019 to September 25, 2023 and revise the applicable margin from 3.0% to 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3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MLP Revolver</w:t>
      </w:r>
    </w:p>
    <w:p>
      <w:pPr>
        <w:spacing w:after="0" w:line="17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2015, we entered into a senior, unsecured revolving credit agreement with an affiliate of Westlake (as subsequently amended, the "MLP Revolver"). The MLP Revolver has a borrowing capacity of $600 million and is scheduled to mature in 2023. On March 29, 2019, the Partnership borrowed $123.5 million under the MLP Revolver to partially fund the purchase of an additional 4.5% interest in OpCo. On March 19, 2020, the Partnership entered into an amendment to the MLP Revolver, to extend the maturity date to March 19, 2023 and add a phase-out provision for LIBOR, which is to be replaced by an alternate benchmark rate. Borrowings under the MLP Revolver bear interest at a variable rate of either (a) LIBOR plus 2.0% or, if LIBOR is no longer available, (b) Alternate Base Rate plus 1.0%.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March 31, 2020, outstanding borrowings under the MLP Revolver totaled $377.1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935"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right="160" w:firstLine="324"/>
        <w:spacing w:after="0" w:line="287" w:lineRule="auto"/>
        <w:rPr>
          <w:sz w:val="20"/>
          <w:szCs w:val="20"/>
          <w:color w:val="auto"/>
        </w:rPr>
      </w:pPr>
      <w:r>
        <w:rPr>
          <w:rFonts w:ascii="Arial" w:cs="Arial" w:eastAsia="Arial" w:hAnsi="Arial"/>
          <w:sz w:val="16"/>
          <w:szCs w:val="16"/>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widespread outbreak of an illness or any other communicable disease, or any other public health crisis, including the COVID-19 pandemic;</w:t>
      </w:r>
    </w:p>
    <w:p>
      <w:pPr>
        <w:spacing w:after="0" w:line="101" w:lineRule="exact"/>
        <w:rPr>
          <w:rFonts w:ascii="Arial" w:cs="Arial" w:eastAsia="Arial" w:hAnsi="Arial"/>
          <w:sz w:val="17"/>
          <w:szCs w:val="17"/>
          <w:color w:val="auto"/>
        </w:rPr>
      </w:pPr>
    </w:p>
    <w:p>
      <w:pPr>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and Westlake’s plans to respond to the challenges presented by the COVID-19 epidemic, including planned reductions of costs, increases of operational efficiencies and lowering of capital spending, as well as the timing and deferral of the planned turnaround at OpCo's Petro 2 ethylene unit;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funding and results of capital projects;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Partnership's At-the-Market program and the use of any net proceeds from any sales under that program;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90"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12" w:right="339" w:bottom="1440" w:gutter="0" w:footer="0" w:header="0"/>
        </w:sectPr>
      </w:pPr>
    </w:p>
    <w:bookmarkStart w:id="25" w:name="page26"/>
    <w:bookmarkEnd w:id="25"/>
    <w:p>
      <w:pPr>
        <w:ind w:right="1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2019 Form 10-K and the following:</w:t>
      </w:r>
    </w:p>
    <w:p>
      <w:pPr>
        <w:spacing w:after="0" w:line="5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 crude oil prices reducing the cost advantage of ethane-based ethylene producers;</w:t>
      </w:r>
    </w:p>
    <w:p>
      <w:pPr>
        <w:spacing w:after="0" w:line="9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 particularly COVID-19;</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935"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 Additionally, we may use derivative instruments to reduce price volatility risk on feedstocks and ethylene associated with the production and sales to third parties. Based on our open derivative positions as of March 31, 2020, a hypothetical $0.10 increase in the price of a gallon of ethane would have increased our income before taxes by $2.3 million and a hypothetical $0.10 decrease in the price of a pound of ethylene would have increased our income before taxes by $5.4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March 31, 2020, we had total variable rate debt of $399.7 million outstanding, all of which was owed to wholly-owned subsidiaries of Westlake, and currently accrues interest at a variable rate of LIBOR plus 200 basis points.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 The weighted average variable interest rate of our debt as of March 31, 2020 was 3.9%.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March 31, 2020 debt balance.</w:t>
      </w:r>
    </w:p>
    <w:p>
      <w:pPr>
        <w:spacing w:after="0" w:line="3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LIBOR is used as a reference rate for all of our outstanding variable rate debt as of March 31, 2020. LIBOR is set to be phased out at the end of 2021 and to be replaced by an alternate benchmark rate. We do not expect the impact of the LIBOR phase out to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12"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2020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320" w:firstLine="432"/>
        <w:spacing w:after="0" w:line="263" w:lineRule="auto"/>
        <w:rPr>
          <w:sz w:val="20"/>
          <w:szCs w:val="20"/>
          <w:color w:val="auto"/>
        </w:rPr>
      </w:pPr>
      <w:r>
        <w:rPr>
          <w:rFonts w:ascii="Arial" w:cs="Arial" w:eastAsia="Arial" w:hAnsi="Arial"/>
          <w:sz w:val="18"/>
          <w:szCs w:val="18"/>
          <w:color w:val="auto"/>
        </w:rPr>
        <w:t>The 2019 Form 10-K, filed on March 1, 2019, contained a description of various legal proceedings in which we are involved, including environmental proceedings. See below and Note 13 to the unaudited consolidated financial statements within this Quarterly Report on Form 10-Q for a discussion on legal proceedings, which information is incorporated by reference herein.</w:t>
      </w:r>
    </w:p>
    <w:p>
      <w:pPr>
        <w:spacing w:after="0" w:line="13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Under the Omnibus Agreement, Westlake Chemical Corporation ("Westlake") has agreed to indemnify the Partnership for certain environmental and other liabilities relating to OpCo's processing facilities and related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012" w:right="359" w:bottom="1440" w:gutter="0" w:footer="0" w:header="0"/>
        </w:sectPr>
      </w:pPr>
    </w:p>
    <w:bookmarkStart w:id="27" w:name="page28"/>
    <w:bookmarkEnd w:id="27"/>
    <w:p>
      <w:pPr>
        <w:ind w:firstLine="405"/>
        <w:spacing w:after="0" w:line="273"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Environmental Protection Agency ("EPA") has been conducting an enforcement initiative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spacing w:after="0" w:line="124"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10"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For a discussion of risk factors, please read Item 1A, "Risk Factors" in the 2019 Form 10-K. The information below includes additional risks relating to COVID-19. The risks described below and in other documents that we file from time to time with the Securities and Exchange Commission could materially and adversely affect our business, results of operations, cash flow, liquidity or financial condition.</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 The ongoing coronavirus (COVID-19) pandemic could materially adversely affect Westlake's business, financial condition and results of operations.</w:t>
      </w:r>
    </w:p>
    <w:p>
      <w:pPr>
        <w:spacing w:after="0" w:line="130"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would be reduced or eliminated. Westlake has not pledged any assets to us as security for the performance of its obligations.</w:t>
      </w:r>
    </w:p>
    <w:p>
      <w:pPr>
        <w:spacing w:after="0" w:line="130"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1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ongoing coronavirus (COVID-19) outbreak</w:t>
      </w:r>
      <w:r>
        <w:rPr>
          <w:rFonts w:ascii="Arial" w:cs="Arial" w:eastAsia="Arial" w:hAnsi="Arial"/>
          <w:sz w:val="16"/>
          <w:szCs w:val="16"/>
          <w:color w:val="212529"/>
        </w:rPr>
        <w:t>, which the World Health Organization declared as a pandemic on March 11, 2020, has continued to</w:t>
      </w:r>
      <w:r>
        <w:rPr>
          <w:rFonts w:ascii="Arial" w:cs="Arial" w:eastAsia="Arial" w:hAnsi="Arial"/>
          <w:sz w:val="16"/>
          <w:szCs w:val="16"/>
          <w:color w:val="auto"/>
        </w:rPr>
        <w:t xml:space="preserve"> </w:t>
      </w:r>
      <w:r>
        <w:rPr>
          <w:rFonts w:ascii="Arial" w:cs="Arial" w:eastAsia="Arial" w:hAnsi="Arial"/>
          <w:sz w:val="16"/>
          <w:szCs w:val="16"/>
          <w:color w:val="212529"/>
        </w:rPr>
        <w:t xml:space="preserve">be a rapidly evolving situation. It has resulted in authorities implementing numerous measures to try to contain the disease, such as travel bans and restrictions, quarantines, shelter-in-place orders and shutdowns, among others. </w:t>
      </w:r>
      <w:r>
        <w:rPr>
          <w:rFonts w:ascii="Arial" w:cs="Arial" w:eastAsia="Arial" w:hAnsi="Arial"/>
          <w:sz w:val="16"/>
          <w:szCs w:val="16"/>
          <w:color w:val="000000"/>
        </w:rPr>
        <w:t>There have been widespread adverse impacts on the global economy, our</w:t>
      </w:r>
      <w:r>
        <w:rPr>
          <w:rFonts w:ascii="Arial" w:cs="Arial" w:eastAsia="Arial" w:hAnsi="Arial"/>
          <w:sz w:val="16"/>
          <w:szCs w:val="16"/>
          <w:color w:val="212529"/>
        </w:rPr>
        <w:t xml:space="preserve"> </w:t>
      </w:r>
      <w:r>
        <w:rPr>
          <w:rFonts w:ascii="Arial" w:cs="Arial" w:eastAsia="Arial" w:hAnsi="Arial"/>
          <w:sz w:val="16"/>
          <w:szCs w:val="16"/>
          <w:color w:val="000000"/>
        </w:rPr>
        <w:t xml:space="preserve">facilities and on our loaned operators, customers and suppliers, as well as Westlake's facilities, and on Westlake's employees, customers and suppliers. </w:t>
      </w:r>
      <w:r>
        <w:rPr>
          <w:rFonts w:ascii="Arial" w:cs="Arial" w:eastAsia="Arial" w:hAnsi="Arial"/>
          <w:sz w:val="16"/>
          <w:szCs w:val="16"/>
          <w:color w:val="212529"/>
        </w:rPr>
        <w:t>While Westlake did not experience significant disruptions in the first quarter of 2020, Westlake expects significant resulting disruptions to its business operations in the near future, as the pandemic and its impacts on the global economy continue to spread through most of its markets.</w:t>
      </w:r>
    </w:p>
    <w:p>
      <w:pPr>
        <w:spacing w:after="0" w:line="11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Westlake, which loans us our operators, has modified certain business and workforce practices (including those related to employee travel, employee work locations and cancellation of physical participation in meetings, events and conferences) to conform to government restrictions and best practices encouraged by governmental and regulatory authorities. However, the quarantine of personnel or the inability to access our and Westlake's facilities could adversely affect our and Westlake's operations. We and Westlake may take further actions as required by government authorities or that we and Westlake determine are in the best interests of our employees, customers, partners and suppliers. There is no certainty that such measures will be sufficient to mitigate the risks posed by the disease, and our ability to perform certain functions could be harmed.</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may reduce our and Westlake's ability to access capital or our customers' ability to pay us for past or future purchases, which could negatively affect our liquidity. Westlake currently is the lender to a revolving credit facility with us and with OpCo. We may need to consider alternative sources of funding for some of our operations and for working capital, which may increase our cost of capital. The COVID-19 pandemic could also reduce the demand for our products and Westlake's products. In addition, a recession or a financial market correction resulting from the spread of COVID-19 could adversely affect demand for our products and Westlake's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93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760" w:type="dxa"/>
            <w:vAlign w:val="bottom"/>
            <w:gridSpan w:val="3"/>
          </w:tcPr>
          <w:p>
            <w:pPr>
              <w:ind w:left="2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Rule 13a – 14(a) / 15d – 14(a) Certification (Principal Executive Officer)</w:t>
              </w:r>
            </w:hyperlink>
          </w:p>
        </w:tc>
      </w:tr>
      <w:tr>
        <w:trPr>
          <w:trHeight w:val="392"/>
        </w:trPr>
        <w:tc>
          <w:tcPr>
            <w:tcW w:w="1060" w:type="dxa"/>
            <w:vAlign w:val="bottom"/>
            <w:gridSpan w:val="2"/>
          </w:tcPr>
          <w:p>
            <w:pPr>
              <w:spacing w:after="0"/>
              <w:rPr>
                <w:sz w:val="20"/>
                <w:szCs w:val="20"/>
                <w:color w:val="auto"/>
              </w:rPr>
            </w:pPr>
            <w:r>
              <w:rPr>
                <w:rFonts w:ascii="Arial" w:cs="Arial" w:eastAsia="Arial" w:hAnsi="Arial"/>
                <w:sz w:val="18"/>
                <w:szCs w:val="18"/>
                <w:color w:val="auto"/>
              </w:rPr>
              <w:t>31.2†</w:t>
            </w:r>
          </w:p>
        </w:tc>
        <w:tc>
          <w:tcPr>
            <w:tcW w:w="9760" w:type="dxa"/>
            <w:vAlign w:val="bottom"/>
            <w:gridSpan w:val="3"/>
          </w:tcPr>
          <w:p>
            <w:pPr>
              <w:ind w:left="2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Rule 13a – 14(a) / 15d – 14(a) Certification (Principal Financial Officer)</w:t>
              </w:r>
            </w:hyperlink>
          </w:p>
        </w:tc>
      </w:tr>
      <w:tr>
        <w:trPr>
          <w:trHeight w:val="391"/>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760" w:type="dxa"/>
            <w:vAlign w:val="bottom"/>
            <w:gridSpan w:val="3"/>
          </w:tcPr>
          <w:p>
            <w:pPr>
              <w:ind w:left="2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Section 1350 Certification (Principal Executive Officer and Principal Financial Officer)</w:t>
              </w:r>
            </w:hyperlink>
          </w:p>
        </w:tc>
      </w:tr>
      <w:tr>
        <w:trPr>
          <w:trHeight w:val="392"/>
        </w:trPr>
        <w:tc>
          <w:tcPr>
            <w:tcW w:w="1060" w:type="dxa"/>
            <w:vAlign w:val="bottom"/>
            <w:gridSpan w:val="2"/>
          </w:tcPr>
          <w:p>
            <w:pPr>
              <w:spacing w:after="0"/>
              <w:rPr>
                <w:sz w:val="20"/>
                <w:szCs w:val="20"/>
                <w:color w:val="auto"/>
              </w:rPr>
            </w:pPr>
            <w:r>
              <w:rPr>
                <w:rFonts w:ascii="Arial" w:cs="Arial" w:eastAsia="Arial" w:hAnsi="Arial"/>
                <w:sz w:val="18"/>
                <w:szCs w:val="18"/>
                <w:color w:val="auto"/>
              </w:rPr>
              <w:t>10.1†</w:t>
            </w:r>
          </w:p>
        </w:tc>
        <w:tc>
          <w:tcPr>
            <w:tcW w:w="9760" w:type="dxa"/>
            <w:vAlign w:val="bottom"/>
            <w:gridSpan w:val="3"/>
          </w:tcPr>
          <w:p>
            <w:pPr>
              <w:ind w:left="28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Third Amendment to Senior Unsecured Revolving Credit Agreement dated as of March 19, 2020.</w:t>
              </w:r>
            </w:hyperlink>
          </w:p>
        </w:tc>
      </w:tr>
      <w:tr>
        <w:trPr>
          <w:trHeight w:val="377"/>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w w:val="89"/>
              </w:rPr>
              <w:t>XBRL Instance Document–The instance document does not appear in the interactive data file because its XBRL tags are embedded</w:t>
            </w:r>
          </w:p>
        </w:tc>
      </w:tr>
      <w:tr>
        <w:trPr>
          <w:trHeight w:val="230"/>
        </w:trPr>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within the Inline XBRL document.</w:t>
            </w:r>
          </w:p>
        </w:tc>
      </w:tr>
      <w:tr>
        <w:trPr>
          <w:trHeight w:val="392"/>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1"/>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61" w:lineRule="exact"/>
        <w:rPr>
          <w:sz w:val="20"/>
          <w:szCs w:val="20"/>
          <w:color w:val="auto"/>
        </w:rPr>
      </w:pPr>
    </w:p>
    <w:p>
      <w:pPr>
        <w:ind w:left="1380" w:hanging="1345"/>
        <w:spacing w:after="0" w:line="266"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320" w:top="1012" w:right="639" w:bottom="1440" w:gutter="0" w:footer="0" w:header="0"/>
        </w:sectPr>
      </w:pPr>
    </w:p>
    <w:bookmarkStart w:id="29" w:name="page30"/>
    <w:bookmarkEnd w:id="29"/>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580" w:val="left"/>
          <w:tab w:leader="none" w:pos="6440" w:val="left"/>
          <w:tab w:leader="none" w:pos="8360" w:val="left"/>
          <w:tab w:leader="none" w:pos="8700" w:val="left"/>
        </w:tabs>
        <w:rPr>
          <w:sz w:val="20"/>
          <w:szCs w:val="20"/>
          <w:color w:val="auto"/>
        </w:rPr>
      </w:pPr>
      <w:r>
        <w:rPr>
          <w:rFonts w:ascii="Arial" w:cs="Arial" w:eastAsia="Arial" w:hAnsi="Arial"/>
          <w:sz w:val="18"/>
          <w:szCs w:val="18"/>
          <w:color w:val="auto"/>
        </w:rPr>
        <w:t>Date:</w:t>
        <w:tab/>
        <w:t>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31750</wp:posOffset>
            </wp:positionV>
            <wp:extent cx="27000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16"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680"/>
        <w:spacing w:after="0"/>
        <w:rPr>
          <w:sz w:val="20"/>
          <w:szCs w:val="20"/>
          <w:color w:val="auto"/>
        </w:rPr>
      </w:pPr>
      <w:r>
        <w:rPr>
          <w:rFonts w:ascii="Arial" w:cs="Arial" w:eastAsia="Arial" w:hAnsi="Arial"/>
          <w:sz w:val="13"/>
          <w:szCs w:val="13"/>
          <w:b w:val="1"/>
          <w:bCs w:val="1"/>
          <w:color w:val="auto"/>
        </w:rPr>
        <w:t>President, Chief Executive Officer and Director of</w:t>
      </w:r>
    </w:p>
    <w:p>
      <w:pPr>
        <w:spacing w:after="0" w:line="3"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18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580" w:val="left"/>
          <w:tab w:leader="none" w:pos="6440" w:val="left"/>
          <w:tab w:leader="none" w:pos="8140" w:val="left"/>
          <w:tab w:leader="none" w:pos="8500" w:val="left"/>
        </w:tabs>
        <w:rPr>
          <w:sz w:val="20"/>
          <w:szCs w:val="20"/>
          <w:color w:val="auto"/>
        </w:rPr>
      </w:pPr>
      <w:r>
        <w:rPr>
          <w:rFonts w:ascii="Arial" w:cs="Arial" w:eastAsia="Arial" w:hAnsi="Arial"/>
          <w:sz w:val="18"/>
          <w:szCs w:val="18"/>
          <w:color w:val="auto"/>
        </w:rPr>
        <w:t>Date:</w:t>
        <w:tab/>
        <w:t>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31750</wp:posOffset>
            </wp:positionV>
            <wp:extent cx="27000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16"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Senior Vice President, Chief Financial Officer and</w:t>
      </w:r>
    </w:p>
    <w:p>
      <w:pPr>
        <w:spacing w:after="0" w:line="3" w:lineRule="exact"/>
        <w:rPr>
          <w:sz w:val="20"/>
          <w:szCs w:val="20"/>
          <w:color w:val="auto"/>
        </w:rPr>
      </w:pPr>
    </w:p>
    <w:p>
      <w:pPr>
        <w:jc w:val="center"/>
        <w:ind w:left="7180"/>
        <w:spacing w:after="0"/>
        <w:rPr>
          <w:sz w:val="20"/>
          <w:szCs w:val="20"/>
          <w:color w:val="auto"/>
        </w:rPr>
      </w:pPr>
      <w:r>
        <w:rPr>
          <w:rFonts w:ascii="Arial" w:cs="Arial" w:eastAsia="Arial" w:hAnsi="Arial"/>
          <w:sz w:val="13"/>
          <w:szCs w:val="13"/>
          <w:b w:val="1"/>
          <w:bCs w:val="1"/>
          <w:color w:val="auto"/>
        </w:rPr>
        <w:t>Director of Westlake Chemical Partners GP LLC</w:t>
      </w:r>
    </w:p>
    <w:p>
      <w:pPr>
        <w:jc w:val="center"/>
        <w:ind w:left="7180"/>
        <w:spacing w:after="0"/>
        <w:rPr>
          <w:sz w:val="20"/>
          <w:szCs w:val="20"/>
          <w:color w:val="auto"/>
        </w:rPr>
      </w:pPr>
      <w:r>
        <w:rPr>
          <w:rFonts w:ascii="Arial" w:cs="Arial" w:eastAsia="Arial" w:hAnsi="Arial"/>
          <w:sz w:val="14"/>
          <w:szCs w:val="14"/>
          <w:b w:val="1"/>
          <w:bCs w:val="1"/>
          <w:color w:val="auto"/>
        </w:rPr>
        <w:t>(Principal Financial Officer)</w:t>
      </w:r>
    </w:p>
    <w:p>
      <w:pPr>
        <w:spacing w:after="0" w:line="2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60"/>
          </w:cols>
          <w:pgMar w:left="320" w:top="985" w:right="8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UNSECURED REVOLVING CREDIT AGREEMENT</w:t>
      </w:r>
    </w:p>
    <w:p>
      <w:pPr>
        <w:spacing w:after="0" w:line="3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This THIRD AMENDMENT TO SENIOR UNSECURED REVOLVING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made and entered into as of March 19, 2020, by and among WESTLAKE CHEMICAL PARTNERS LP, a Delaware limited partnership (“</w:t>
      </w:r>
      <w:r>
        <w:rPr>
          <w:rFonts w:ascii="Arial" w:cs="Arial" w:eastAsia="Arial" w:hAnsi="Arial"/>
          <w:sz w:val="22"/>
          <w:szCs w:val="22"/>
          <w:u w:val="single" w:color="auto"/>
          <w:color w:val="auto"/>
        </w:rPr>
        <w:t>Borrower</w:t>
      </w:r>
      <w:r>
        <w:rPr>
          <w:rFonts w:ascii="Arial" w:cs="Arial" w:eastAsia="Arial" w:hAnsi="Arial"/>
          <w:sz w:val="22"/>
          <w:szCs w:val="22"/>
          <w:color w:val="auto"/>
        </w:rPr>
        <w:t>”), as borrower and WESTLAKE CHEMICAL FINANCE CORPORATION, a Delaware corporation (“</w:t>
      </w:r>
      <w:r>
        <w:rPr>
          <w:rFonts w:ascii="Arial" w:cs="Arial" w:eastAsia="Arial" w:hAnsi="Arial"/>
          <w:sz w:val="22"/>
          <w:szCs w:val="22"/>
          <w:u w:val="single" w:color="auto"/>
          <w:color w:val="auto"/>
        </w:rPr>
        <w:t>Lender</w:t>
      </w:r>
      <w:r>
        <w:rPr>
          <w:rFonts w:ascii="Arial" w:cs="Arial" w:eastAsia="Arial" w:hAnsi="Arial"/>
          <w:sz w:val="22"/>
          <w:szCs w:val="22"/>
          <w:color w:val="auto"/>
        </w:rPr>
        <w:t>”), as lender.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hereto entered into that certain Senior Unsecured Revolving Credit Agreement, dated as of April</w:t>
      </w:r>
      <w:r>
        <w:rPr>
          <w:rFonts w:ascii="Arial" w:cs="Arial" w:eastAsia="Arial" w:hAnsi="Arial"/>
          <w:sz w:val="22"/>
          <w:szCs w:val="22"/>
          <w:b w:val="1"/>
          <w:bCs w:val="1"/>
          <w:color w:val="auto"/>
        </w:rPr>
        <w:t xml:space="preserve"> </w:t>
      </w:r>
      <w:r>
        <w:rPr>
          <w:rFonts w:ascii="Arial" w:cs="Arial" w:eastAsia="Arial" w:hAnsi="Arial"/>
          <w:sz w:val="22"/>
          <w:szCs w:val="22"/>
          <w:color w:val="auto"/>
        </w:rPr>
        <w:t>29, 2015, as amended by the First Amendment thereto, dated as of August 1, 2017, and the Second Amendment thereto, dated as of November 28, 2017 (as so amended,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Lender has made certain financial accommodations available to the Borrower; and</w:t>
      </w:r>
    </w:p>
    <w:p>
      <w:pPr>
        <w:spacing w:after="0" w:line="141"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Lender desires to make certain modifications to the Credit Agreement, including to extend the maturity</w:t>
      </w:r>
      <w:r>
        <w:rPr>
          <w:rFonts w:ascii="Arial" w:cs="Arial" w:eastAsia="Arial" w:hAnsi="Arial"/>
          <w:sz w:val="22"/>
          <w:szCs w:val="22"/>
          <w:b w:val="1"/>
          <w:bCs w:val="1"/>
          <w:color w:val="auto"/>
        </w:rPr>
        <w:t xml:space="preserve"> </w:t>
      </w:r>
      <w:r>
        <w:rPr>
          <w:rFonts w:ascii="Arial" w:cs="Arial" w:eastAsia="Arial" w:hAnsi="Arial"/>
          <w:sz w:val="22"/>
          <w:szCs w:val="22"/>
          <w:color w:val="auto"/>
        </w:rPr>
        <w:t>date thereof, as more fully set forth herein.</w:t>
      </w:r>
    </w:p>
    <w:p>
      <w:pPr>
        <w:spacing w:after="0" w:line="12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premises and the mutual covenants contained herein, and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herein set forth, the parties hereby agree as follows:</w:t>
      </w:r>
    </w:p>
    <w:p>
      <w:pPr>
        <w:spacing w:after="0" w:line="101"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1"/>
          <w:szCs w:val="21"/>
          <w:u w:val="single" w:color="auto"/>
          <w:color w:val="auto"/>
        </w:rPr>
        <w:t>DEFINITIONS</w:t>
      </w:r>
    </w:p>
    <w:p>
      <w:pPr>
        <w:spacing w:after="0" w:line="193"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9"/>
          <w:szCs w:val="19"/>
          <w:color w:val="auto"/>
        </w:rPr>
        <w:t>1.1 Unless otherwise defined herein, including in the text of the preamble and recitals hereto, all capitalized terms used herein shall have the respective meanings given to such terms in Section 1.1 of the Credit Agreement, as amended hereby.</w:t>
      </w:r>
    </w:p>
    <w:p>
      <w:pPr>
        <w:spacing w:after="0" w:line="5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2"/>
          <w:szCs w:val="22"/>
          <w:color w:val="auto"/>
        </w:rPr>
        <w:t>1.2 The rules of interpretation set forth in Sections 1.2 and 1.3 of the Credit Agreement shall apply to this Amendment in all respects.</w:t>
      </w:r>
    </w:p>
    <w:p>
      <w:pPr>
        <w:spacing w:after="0" w:line="121"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u w:val="single" w:color="auto"/>
          <w:color w:val="auto"/>
        </w:rPr>
        <w:t>AMENDMENT</w:t>
      </w:r>
    </w:p>
    <w:p>
      <w:pPr>
        <w:spacing w:after="0" w:line="23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of the Credit Agreement is hereby amended by (a) inserting, or (b) amending and restating (and, with respect to this clause (b), by deleting the original definition in its entirety and replacing it with the amended definition stated herein), the following defined terms, in each case in their proper alphabetical order: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10" w:right="339" w:bottom="1440" w:gutter="0" w:footer="0" w:header="0"/>
        </w:sectPr>
      </w:pPr>
    </w:p>
    <w:bookmarkStart w:id="31" w:name="page32"/>
    <w:bookmarkEnd w:id="31"/>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ABR Loan</w:t>
      </w:r>
      <w:r>
        <w:rPr>
          <w:rFonts w:ascii="Arial" w:cs="Arial" w:eastAsia="Arial" w:hAnsi="Arial"/>
          <w:sz w:val="22"/>
          <w:szCs w:val="22"/>
          <w:color w:val="auto"/>
        </w:rPr>
        <w:t>” shall mean any Loan bearing interest at a rate determined by reference to the Alternate Base Rate in accordance with the provisions of Section 1.4.</w:t>
      </w:r>
    </w:p>
    <w:p>
      <w:pPr>
        <w:spacing w:after="0" w:line="13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Alternate Base Rate</w:t>
      </w:r>
      <w:r>
        <w:rPr>
          <w:rFonts w:ascii="Arial" w:cs="Arial" w:eastAsia="Arial" w:hAnsi="Arial"/>
          <w:sz w:val="22"/>
          <w:szCs w:val="22"/>
          <w:color w:val="auto"/>
        </w:rPr>
        <w:t xml:space="preserve">” shall mean the greater of (a) the rate of interest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last quoted by The Wall Street Journal as the “prime rate” for U.S. Dollar loans in the United States for such day (or, if no longer quoted by The Wall Street Journal, such other national publication selected by the Lender in consultation with the Borrower) (the “</w:t>
      </w:r>
      <w:r>
        <w:rPr>
          <w:rFonts w:ascii="Arial" w:cs="Arial" w:eastAsia="Arial" w:hAnsi="Arial"/>
          <w:sz w:val="22"/>
          <w:szCs w:val="22"/>
          <w:b w:val="1"/>
          <w:bCs w:val="1"/>
          <w:i w:val="1"/>
          <w:iCs w:val="1"/>
          <w:color w:val="auto"/>
        </w:rPr>
        <w:t>Prime Rate</w:t>
      </w:r>
      <w:r>
        <w:rPr>
          <w:rFonts w:ascii="Arial" w:cs="Arial" w:eastAsia="Arial" w:hAnsi="Arial"/>
          <w:sz w:val="22"/>
          <w:szCs w:val="22"/>
          <w:color w:val="auto"/>
        </w:rPr>
        <w:t xml:space="preserve">”), and (b) the Federal Funds Effective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0.50% </w:t>
      </w:r>
      <w:r>
        <w:rPr>
          <w:rFonts w:ascii="Arial" w:cs="Arial" w:eastAsia="Arial" w:hAnsi="Arial"/>
          <w:sz w:val="22"/>
          <w:szCs w:val="22"/>
          <w:i w:val="1"/>
          <w:iCs w:val="1"/>
          <w:color w:val="auto"/>
        </w:rPr>
        <w:t>per annum</w:t>
      </w:r>
      <w:r>
        <w:rPr>
          <w:rFonts w:ascii="Arial" w:cs="Arial" w:eastAsia="Arial" w:hAnsi="Arial"/>
          <w:sz w:val="22"/>
          <w:szCs w:val="22"/>
          <w:color w:val="auto"/>
        </w:rPr>
        <w:t>. Any change in the Alternate Base Rate due to a change in the Prime Rate or the Federal Funds Effective Rate shall be effective from and including the date of such change in the Prime Rate or the Federal Funds Effective Rate, respectively.</w:t>
      </w:r>
    </w:p>
    <w:p>
      <w:pPr>
        <w:spacing w:after="0" w:line="1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Federal Funds Effective Rate</w:t>
      </w:r>
      <w:r>
        <w:rPr>
          <w:rFonts w:ascii="Arial" w:cs="Arial" w:eastAsia="Arial" w:hAnsi="Arial"/>
          <w:sz w:val="19"/>
          <w:szCs w:val="19"/>
          <w:color w:val="auto"/>
        </w:rPr>
        <w:t>” shall mean, for any day, the weighted average (rounded upward, if necessary, to the next 1/100 of 1%) of the rates on overnight Federal funds transactions with members of the Federal Reserve System, as published on the next succeeding Business Day by the Federal Reserve Bank of New York, or, if such rate is not so published for any day which is a Business Day, the average (rounded upward, if necessary, to the next 1/100 of 1%) of the quotations for the day of such transactions received by the Lender from three Federal funds brokers of recognized standing selected by it.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LIBOR Loan</w:t>
      </w:r>
      <w:r>
        <w:rPr>
          <w:rFonts w:ascii="Arial" w:cs="Arial" w:eastAsia="Arial" w:hAnsi="Arial"/>
          <w:sz w:val="22"/>
          <w:szCs w:val="22"/>
          <w:color w:val="auto"/>
        </w:rPr>
        <w:t>” shall mean any Loan bearing interest at a rate determined by reference to LIBOR.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LIBOR Scheduled Unavailability Date</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LIBOR Screen Rate</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LIBOR Successor Rate</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LIBOR Successor Rate Conforming Changes</w:t>
      </w:r>
      <w:r>
        <w:rPr>
          <w:rFonts w:ascii="Arial" w:cs="Arial" w:eastAsia="Arial" w:hAnsi="Arial"/>
          <w:sz w:val="19"/>
          <w:szCs w:val="19"/>
          <w:color w:val="auto"/>
        </w:rPr>
        <w:t>” shall mean, with respect to any proposed LIBOR Successor Rate, any conforming changes to this Agreement, including changes to Loan Interest Rate, Interest Period, timing and frequency of determining rates and payments of interest and other administrative matters as may be appropriate, in the Lender’s reasonable discretion, to reflect the adoption of such LIBOR Successor Rate and to permit its administration in a manner substantially consistent with market practice (or, if the Lender reasonably determines that adoption of any portion of such market practice is not administratively feasible or that no market practice for the administration of such LIBOR Successor Rate exists, in such other manner of administration as the Lender reasonably determines in consultation with the Borrower). Such changes shall provide that the LIBOR Successor Rate cannot be less than zero for purposes of this Agreement.</w:t>
      </w:r>
    </w:p>
    <w:p>
      <w:pPr>
        <w:spacing w:after="0" w:line="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Loan Interest Rate</w:t>
      </w:r>
      <w:r>
        <w:rPr>
          <w:rFonts w:ascii="Arial" w:cs="Arial" w:eastAsia="Arial" w:hAnsi="Arial"/>
          <w:sz w:val="22"/>
          <w:szCs w:val="22"/>
          <w:color w:val="auto"/>
        </w:rPr>
        <w:t xml:space="preserve">” shall mean, (a) with respect to any LIBOR Loan, LIBOR in effect from time to time (as the same may vary from Interest Period to Interest Period)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for the Loan Interest Rate (as set forth in, and determined in accordance with, the definition of “Applicable Margin”), or (b) with respect to any ABR Loan,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for the Loan Interest Rate (as set forth in, and determined in accordance with, the definition of “Applicable Margin”)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1% </w:t>
      </w:r>
      <w:r>
        <w:rPr>
          <w:rFonts w:ascii="Arial" w:cs="Arial" w:eastAsia="Arial" w:hAnsi="Arial"/>
          <w:sz w:val="22"/>
          <w:szCs w:val="22"/>
          <w:i w:val="1"/>
          <w:iCs w:val="1"/>
          <w:color w:val="auto"/>
        </w:rPr>
        <w:t>per annum</w:t>
      </w:r>
      <w:r>
        <w:rPr>
          <w:rFonts w:ascii="Arial" w:cs="Arial" w:eastAsia="Arial" w:hAnsi="Arial"/>
          <w:sz w:val="22"/>
          <w:szCs w:val="22"/>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48"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Maturity Date</w:t>
      </w:r>
      <w:r>
        <w:rPr>
          <w:rFonts w:ascii="Arial" w:cs="Arial" w:eastAsia="Arial" w:hAnsi="Arial"/>
          <w:sz w:val="22"/>
          <w:szCs w:val="22"/>
          <w:color w:val="auto"/>
        </w:rPr>
        <w:t>” shall mean March 19, 2023.</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Prime Rate</w:t>
      </w:r>
      <w:r>
        <w:rPr>
          <w:rFonts w:ascii="Arial" w:cs="Arial" w:eastAsia="Arial" w:hAnsi="Arial"/>
          <w:sz w:val="19"/>
          <w:szCs w:val="19"/>
          <w:color w:val="auto"/>
        </w:rPr>
        <w:t xml:space="preserve">” shall have the meaning assigned to such term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“Alternate Base Rate”.</w:t>
      </w:r>
    </w:p>
    <w:p>
      <w:pPr>
        <w:spacing w:after="0" w:line="227"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 xml:space="preserve">Article I </w:t>
      </w:r>
      <w:r>
        <w:rPr>
          <w:rFonts w:ascii="Arial" w:cs="Arial" w:eastAsia="Arial" w:hAnsi="Arial"/>
          <w:sz w:val="19"/>
          <w:szCs w:val="19"/>
          <w:color w:val="auto"/>
        </w:rPr>
        <w:t>of the Credit Agreement is hereby further amended by inserting the following</w:t>
      </w:r>
      <w:r>
        <w:rPr>
          <w:rFonts w:ascii="Arial" w:cs="Arial" w:eastAsia="Arial" w:hAnsi="Arial"/>
          <w:sz w:val="19"/>
          <w:szCs w:val="19"/>
          <w:u w:val="single" w:color="auto"/>
          <w:color w:val="auto"/>
        </w:rPr>
        <w:t xml:space="preserve"> Section 1.4</w:t>
      </w:r>
      <w:r>
        <w:rPr>
          <w:rFonts w:ascii="Arial" w:cs="Arial" w:eastAsia="Arial" w:hAnsi="Arial"/>
          <w:sz w:val="19"/>
          <w:szCs w:val="19"/>
          <w:color w:val="auto"/>
        </w:rPr>
        <w:t>:</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Section</w:t>
      </w:r>
      <w:r>
        <w:rPr>
          <w:rFonts w:ascii="Arial" w:cs="Arial" w:eastAsia="Arial" w:hAnsi="Arial"/>
          <w:sz w:val="21"/>
          <w:szCs w:val="21"/>
          <w:b w:val="1"/>
          <w:bCs w:val="1"/>
          <w:u w:val="single" w:color="auto"/>
          <w:color w:val="auto"/>
        </w:rPr>
        <w:t>LIBOR Amendment</w:t>
      </w:r>
      <w:r>
        <w:rPr>
          <w:rFonts w:ascii="Arial" w:cs="Arial" w:eastAsia="Arial" w:hAnsi="Arial"/>
          <w:sz w:val="21"/>
          <w:szCs w:val="21"/>
          <w:color w:val="auto"/>
        </w:rPr>
        <w:t>. Notwithstanding anything to the contrary in this Agreement or any other Loan</w:t>
      </w:r>
    </w:p>
    <w:p>
      <w:pPr>
        <w:spacing w:after="0" w:line="56" w:lineRule="exact"/>
        <w:rPr>
          <w:sz w:val="20"/>
          <w:szCs w:val="20"/>
          <w:color w:val="auto"/>
        </w:rPr>
      </w:pPr>
    </w:p>
    <w:p>
      <w:pPr>
        <w:ind w:left="320"/>
        <w:spacing w:after="0"/>
        <w:tabs>
          <w:tab w:leader="none" w:pos="194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Document, if the Lender or the Borrower determines that:</w:t>
      </w:r>
    </w:p>
    <w:p>
      <w:pPr>
        <w:spacing w:after="0" w:line="226" w:lineRule="exact"/>
        <w:rPr>
          <w:sz w:val="20"/>
          <w:szCs w:val="20"/>
          <w:color w:val="auto"/>
        </w:rPr>
      </w:pPr>
    </w:p>
    <w:p>
      <w:pPr>
        <w:jc w:val="both"/>
        <w:ind w:left="640" w:firstLine="652"/>
        <w:spacing w:after="0" w:line="364" w:lineRule="auto"/>
        <w:tabs>
          <w:tab w:leader="none" w:pos="1701" w:val="left"/>
        </w:tabs>
        <w:numPr>
          <w:ilvl w:val="0"/>
          <w:numId w:val="13"/>
        </w:numPr>
        <w:rPr>
          <w:rFonts w:ascii="Arial" w:cs="Arial" w:eastAsia="Arial" w:hAnsi="Arial"/>
          <w:sz w:val="18"/>
          <w:szCs w:val="18"/>
          <w:color w:val="auto"/>
        </w:rPr>
      </w:pPr>
      <w:r>
        <w:rPr>
          <w:rFonts w:ascii="Arial" w:cs="Arial" w:eastAsia="Arial" w:hAnsi="Arial"/>
          <w:sz w:val="19"/>
          <w:szCs w:val="19"/>
          <w:color w:val="auto"/>
        </w:rPr>
        <w:t>adequate and reasonable means do not exist for ascertaining LIBOR for any applicable interest period because the LIBOR quote on the applicable screen page (or other source) used to determine LIBOR (“</w:t>
      </w:r>
      <w:r>
        <w:rPr>
          <w:rFonts w:ascii="Arial" w:cs="Arial" w:eastAsia="Arial" w:hAnsi="Arial"/>
          <w:sz w:val="19"/>
          <w:szCs w:val="19"/>
          <w:u w:val="single" w:color="auto"/>
          <w:color w:val="auto"/>
        </w:rPr>
        <w:t>LIBOR</w:t>
      </w:r>
      <w:r>
        <w:rPr>
          <w:rFonts w:ascii="Arial" w:cs="Arial" w:eastAsia="Arial" w:hAnsi="Arial"/>
          <w:sz w:val="19"/>
          <w:szCs w:val="19"/>
          <w:color w:val="auto"/>
        </w:rPr>
        <w:t xml:space="preserve"> </w:t>
      </w:r>
      <w:r>
        <w:rPr>
          <w:rFonts w:ascii="Arial" w:cs="Arial" w:eastAsia="Arial" w:hAnsi="Arial"/>
          <w:sz w:val="19"/>
          <w:szCs w:val="19"/>
          <w:u w:val="single" w:color="auto"/>
          <w:color w:val="auto"/>
        </w:rPr>
        <w:t>Screen Rate</w:t>
      </w:r>
      <w:r>
        <w:rPr>
          <w:rFonts w:ascii="Arial" w:cs="Arial" w:eastAsia="Arial" w:hAnsi="Arial"/>
          <w:sz w:val="19"/>
          <w:szCs w:val="19"/>
          <w:color w:val="auto"/>
        </w:rPr>
        <w:t>”) is not available or published on a current basis and such circumstances are unlikely to be temporary;</w:t>
      </w:r>
    </w:p>
    <w:p>
      <w:pPr>
        <w:spacing w:after="0" w:line="85" w:lineRule="exact"/>
        <w:rPr>
          <w:rFonts w:ascii="Arial" w:cs="Arial" w:eastAsia="Arial" w:hAnsi="Arial"/>
          <w:sz w:val="18"/>
          <w:szCs w:val="18"/>
          <w:color w:val="auto"/>
        </w:rPr>
      </w:pPr>
    </w:p>
    <w:p>
      <w:pPr>
        <w:jc w:val="both"/>
        <w:ind w:left="640" w:firstLine="652"/>
        <w:spacing w:after="0" w:line="292" w:lineRule="auto"/>
        <w:tabs>
          <w:tab w:leader="none" w:pos="1698" w:val="left"/>
        </w:tabs>
        <w:numPr>
          <w:ilvl w:val="0"/>
          <w:numId w:val="13"/>
        </w:numPr>
        <w:rPr>
          <w:rFonts w:ascii="Arial" w:cs="Arial" w:eastAsia="Arial" w:hAnsi="Arial"/>
          <w:sz w:val="20"/>
          <w:szCs w:val="20"/>
          <w:color w:val="auto"/>
        </w:rPr>
      </w:pPr>
      <w:r>
        <w:rPr>
          <w:rFonts w:ascii="Arial" w:cs="Arial" w:eastAsia="Arial" w:hAnsi="Arial"/>
          <w:sz w:val="22"/>
          <w:szCs w:val="22"/>
          <w:color w:val="auto"/>
        </w:rPr>
        <w:t>the administrator of the LIBOR Screen Rate or a Governmental Authority having jurisdiction over the Lender has made a public statement identifying a specific date (“</w:t>
      </w:r>
      <w:r>
        <w:rPr>
          <w:rFonts w:ascii="Arial" w:cs="Arial" w:eastAsia="Arial" w:hAnsi="Arial"/>
          <w:sz w:val="22"/>
          <w:szCs w:val="22"/>
          <w:u w:val="single" w:color="auto"/>
          <w:color w:val="auto"/>
        </w:rPr>
        <w:t>LIBOR Scheduled Unavailability Date</w:t>
      </w:r>
      <w:r>
        <w:rPr>
          <w:rFonts w:ascii="Arial" w:cs="Arial" w:eastAsia="Arial" w:hAnsi="Arial"/>
          <w:sz w:val="22"/>
          <w:szCs w:val="22"/>
          <w:color w:val="auto"/>
        </w:rPr>
        <w:t>”) after which LIBOR or the LIBOR Screen Rate will no longer be available or used for determining the interest rate of loans; or</w:t>
      </w:r>
    </w:p>
    <w:p>
      <w:pPr>
        <w:spacing w:after="0" w:line="145" w:lineRule="exact"/>
        <w:rPr>
          <w:rFonts w:ascii="Arial" w:cs="Arial" w:eastAsia="Arial" w:hAnsi="Arial"/>
          <w:sz w:val="20"/>
          <w:szCs w:val="20"/>
          <w:color w:val="auto"/>
        </w:rPr>
      </w:pPr>
    </w:p>
    <w:p>
      <w:pPr>
        <w:jc w:val="both"/>
        <w:ind w:left="640" w:firstLine="652"/>
        <w:spacing w:after="0" w:line="298" w:lineRule="auto"/>
        <w:tabs>
          <w:tab w:leader="none" w:pos="1728" w:val="left"/>
        </w:tabs>
        <w:numPr>
          <w:ilvl w:val="0"/>
          <w:numId w:val="13"/>
        </w:numPr>
        <w:rPr>
          <w:rFonts w:ascii="Arial" w:cs="Arial" w:eastAsia="Arial" w:hAnsi="Arial"/>
          <w:sz w:val="20"/>
          <w:szCs w:val="20"/>
          <w:color w:val="auto"/>
        </w:rPr>
      </w:pPr>
      <w:r>
        <w:rPr>
          <w:rFonts w:ascii="Arial" w:cs="Arial" w:eastAsia="Arial" w:hAnsi="Arial"/>
          <w:sz w:val="22"/>
          <w:szCs w:val="22"/>
          <w:color w:val="auto"/>
        </w:rPr>
        <w:t>syndicated credit facilities then currently being executed generally, or syndicated credit facilities that include language similar to that contained in this Section are generally being amended to, incorporate or adopt a new benchmark interest rate to replace LIBOR;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40"/>
        <w:spacing w:after="0" w:line="285" w:lineRule="auto"/>
        <w:rPr>
          <w:sz w:val="20"/>
          <w:szCs w:val="20"/>
          <w:color w:val="auto"/>
        </w:rPr>
      </w:pPr>
      <w:r>
        <w:rPr>
          <w:rFonts w:ascii="Arial" w:cs="Arial" w:eastAsia="Arial" w:hAnsi="Arial"/>
          <w:sz w:val="22"/>
          <w:szCs w:val="22"/>
          <w:color w:val="auto"/>
        </w:rPr>
        <w:t>then, reasonably promptly after such determination, the Lender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w:t>
      </w:r>
      <w:r>
        <w:rPr>
          <w:rFonts w:ascii="Arial" w:cs="Arial" w:eastAsia="Arial" w:hAnsi="Arial"/>
          <w:sz w:val="22"/>
          <w:szCs w:val="22"/>
          <w:u w:val="single" w:color="auto"/>
          <w:color w:val="auto"/>
        </w:rPr>
        <w:t>LIBOR Successor</w:t>
      </w:r>
      <w:r>
        <w:rPr>
          <w:rFonts w:ascii="Arial" w:cs="Arial" w:eastAsia="Arial" w:hAnsi="Arial"/>
          <w:sz w:val="22"/>
          <w:szCs w:val="22"/>
          <w:color w:val="auto"/>
        </w:rPr>
        <w:t xml:space="preserve"> </w:t>
      </w:r>
      <w:r>
        <w:rPr>
          <w:rFonts w:ascii="Arial" w:cs="Arial" w:eastAsia="Arial" w:hAnsi="Arial"/>
          <w:sz w:val="22"/>
          <w:szCs w:val="22"/>
          <w:u w:val="single" w:color="auto"/>
          <w:color w:val="auto"/>
        </w:rPr>
        <w:t>Rate</w:t>
      </w:r>
      <w:r>
        <w:rPr>
          <w:rFonts w:ascii="Arial" w:cs="Arial" w:eastAsia="Arial" w:hAnsi="Arial"/>
          <w:sz w:val="22"/>
          <w:szCs w:val="22"/>
          <w:color w:val="auto"/>
        </w:rPr>
        <w:t>”), together with any proposed LIBOR Successor Rate Conforming Changes and the amendment shall be immediately effective.</w:t>
      </w:r>
    </w:p>
    <w:p>
      <w:pPr>
        <w:spacing w:after="0" w:line="37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0"/>
          </w:cols>
          <w:pgMar w:left="980" w:top="321" w:right="339" w:bottom="1440" w:gutter="0" w:footer="0" w:header="0"/>
        </w:sectPr>
      </w:pPr>
    </w:p>
    <w:bookmarkStart w:id="33" w:name="page34"/>
    <w:bookmarkEnd w:id="33"/>
    <w:p>
      <w:pPr>
        <w:jc w:val="both"/>
        <w:ind w:left="1300" w:firstLine="648"/>
        <w:spacing w:after="0" w:line="326" w:lineRule="auto"/>
        <w:rPr>
          <w:sz w:val="20"/>
          <w:szCs w:val="20"/>
          <w:color w:val="auto"/>
        </w:rPr>
      </w:pPr>
      <w:r>
        <w:rPr>
          <w:rFonts w:ascii="Arial" w:cs="Arial" w:eastAsia="Arial" w:hAnsi="Arial"/>
          <w:sz w:val="19"/>
          <w:szCs w:val="19"/>
          <w:color w:val="auto"/>
        </w:rPr>
        <w:t>If no LIBOR Successor Rate has been determined and the circumstances under clause (a) above exist or the LIBOR Scheduled Unavailability Date has occurred, the Lender will promptly notify the Borrower. Thereafter,</w:t>
      </w:r>
    </w:p>
    <w:p>
      <w:pPr>
        <w:jc w:val="both"/>
        <w:ind w:left="1300" w:firstLine="4"/>
        <w:spacing w:after="0" w:line="300" w:lineRule="auto"/>
        <w:tabs>
          <w:tab w:leader="none" w:pos="1559" w:val="left"/>
        </w:tabs>
        <w:numPr>
          <w:ilvl w:val="0"/>
          <w:numId w:val="14"/>
        </w:numPr>
        <w:rPr>
          <w:rFonts w:ascii="Arial" w:cs="Arial" w:eastAsia="Arial" w:hAnsi="Arial"/>
          <w:sz w:val="21"/>
          <w:szCs w:val="21"/>
          <w:color w:val="auto"/>
        </w:rPr>
      </w:pPr>
      <w:r>
        <w:rPr>
          <w:rFonts w:ascii="Arial" w:cs="Arial" w:eastAsia="Arial" w:hAnsi="Arial"/>
          <w:sz w:val="21"/>
          <w:szCs w:val="21"/>
          <w:color w:val="auto"/>
        </w:rPr>
        <w:t xml:space="preserve">the obligation of the Lender to make or maintain LIBOR Loans shall be suspended (to the extent of the affected LIBOR Loans or Interest Periods);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request for a Loan by the Borrower thereafter shall be deemed to be a request for an ABR Loan, (ii) the LIBOR component shall no longer be used in determining the Loan Interest Rate, and (iii) all outstanding borrowings shall be converted to ABR Loans. Upon receipt of such notice, the Borrower may revoke any pending request for funding of a LIBOR Loan (to the extent of the affected LIBOR Loans or Interest Periods);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request is not revoked within 1 Business Day, such request will be deemed to be a request for an ABR Loan.</w:t>
      </w:r>
    </w:p>
    <w:p>
      <w:pPr>
        <w:spacing w:after="0" w:line="14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 xml:space="preserve">The first sentence of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of the Credit Agreement is hereby amended and restated as follows:</w:t>
      </w:r>
    </w:p>
    <w:p>
      <w:pPr>
        <w:spacing w:after="0" w:line="22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All computations of interest (a) with respect to any LIBOR Loan, shall be made by the Lender on the basis of a year of 360 days, or (b) with respect to any ABR Loan, shall be made by the Lender on the basis of a year of 365 days or 366 days, as the case may be.</w:t>
      </w:r>
    </w:p>
    <w:p>
      <w:pPr>
        <w:spacing w:after="0" w:line="239"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EFFECTIVENESS</w:t>
      </w:r>
    </w:p>
    <w:p>
      <w:pPr>
        <w:spacing w:after="0" w:line="23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2"/>
          <w:szCs w:val="22"/>
          <w:color w:val="auto"/>
        </w:rPr>
        <w:t>3.1 This Amendment shall become effective upon the execution and delivery of this Amendment by the Borrower and the Lender.</w:t>
      </w:r>
    </w:p>
    <w:p>
      <w:pPr>
        <w:spacing w:after="0" w:line="121"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1"/>
          <w:szCs w:val="21"/>
          <w:u w:val="single" w:color="auto"/>
          <w:color w:val="auto"/>
        </w:rPr>
        <w:t>MISCELLANEOUS</w:t>
      </w:r>
    </w:p>
    <w:p>
      <w:pPr>
        <w:spacing w:after="0" w:line="233"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Full Force and Effect</w:t>
      </w:r>
      <w:r>
        <w:rPr>
          <w:rFonts w:ascii="Arial" w:cs="Arial" w:eastAsia="Arial" w:hAnsi="Arial"/>
          <w:sz w:val="19"/>
          <w:szCs w:val="19"/>
          <w:color w:val="auto"/>
        </w:rPr>
        <w:t>. Except as specifically amended hereby, all of the terms and conditions of the Credit Agreement are unaffected and shall continue to be in full force and effect and shall be binding on the parties hereto in accordance with their respective terms. Each reference to the Credit Agreement therein or in any other agreement, document or instrument executed and delivered pursuant to the Credit Agreement shall mean and constitute a reference to the Credit Agreement as amended hereby. Except as specifically set forth in this Amendment, nothing in this Amendment shall be construed as modifying any other term or condition of the Credit Agreement or operate as a waiver of, or in prejudice to, any right, power or remedy of the Lender under the Credit Agreement, any applicable law or any existing or future Default or Event of Default.</w:t>
      </w:r>
    </w:p>
    <w:p>
      <w:pPr>
        <w:spacing w:after="0" w:line="11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i w:val="1"/>
          <w:iCs w:val="1"/>
          <w:color w:val="auto"/>
        </w:rPr>
        <w:t>Headings</w:t>
      </w:r>
      <w:r>
        <w:rPr>
          <w:rFonts w:ascii="Arial" w:cs="Arial" w:eastAsia="Arial" w:hAnsi="Arial"/>
          <w:sz w:val="22"/>
          <w:szCs w:val="22"/>
          <w:color w:val="auto"/>
        </w:rPr>
        <w:t>. Section headings used herein are for convenience of reference only, are not part of this Amendment and shall not affect the construction of, or be taken into consideration in interpreting, this Amendment.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361" w:right="339" w:bottom="1440" w:gutter="0" w:footer="0" w:header="0"/>
        </w:sectPr>
      </w:pPr>
    </w:p>
    <w:bookmarkStart w:id="34" w:name="page35"/>
    <w:bookmarkEnd w:id="34"/>
    <w:p>
      <w:pPr>
        <w:jc w:val="both"/>
        <w:ind w:firstLine="648"/>
        <w:spacing w:after="0" w:line="298"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i w:val="1"/>
          <w:iCs w:val="1"/>
          <w:color w:val="auto"/>
        </w:rPr>
        <w:t>Counterparts</w:t>
      </w:r>
      <w:r>
        <w:rPr>
          <w:rFonts w:ascii="Arial" w:cs="Arial" w:eastAsia="Arial" w:hAnsi="Arial"/>
          <w:sz w:val="22"/>
          <w:szCs w:val="22"/>
          <w:color w:val="auto"/>
        </w:rPr>
        <w:t>. This Amendment may be executed in any number of counterparts, each of which shall be enforceable against the party executing such counterpart, and all of which together shall constitute one instrument. Each counterpart may be delivered in original, facsimile or electronic (e.g., “.pdf”) form.</w:t>
      </w:r>
    </w:p>
    <w:p>
      <w:pPr>
        <w:spacing w:after="0" w:line="13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i w:val="1"/>
          <w:iCs w:val="1"/>
          <w:color w:val="auto"/>
        </w:rPr>
        <w:t>Governing Law</w:t>
      </w:r>
      <w:r>
        <w:rPr>
          <w:rFonts w:ascii="Arial" w:cs="Arial" w:eastAsia="Arial" w:hAnsi="Arial"/>
          <w:sz w:val="22"/>
          <w:szCs w:val="22"/>
          <w:color w:val="auto"/>
        </w:rPr>
        <w:t>. This Amendment shall be construed in accordance with and governed by the law of the State of New York.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361" w:right="339" w:bottom="1440" w:gutter="0" w:footer="0" w:header="0"/>
        </w:sectPr>
      </w:pPr>
    </w:p>
    <w:bookmarkStart w:id="35" w:name="page36"/>
    <w:bookmarkEnd w:id="35"/>
    <w:p>
      <w:pPr>
        <w:ind w:firstLine="648"/>
        <w:spacing w:after="0" w:line="307"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to be duly executed as of the day and year</w:t>
      </w:r>
      <w:r>
        <w:rPr>
          <w:rFonts w:ascii="Arial" w:cs="Arial" w:eastAsia="Arial" w:hAnsi="Arial"/>
          <w:sz w:val="22"/>
          <w:szCs w:val="22"/>
          <w:b w:val="1"/>
          <w:bCs w:val="1"/>
          <w:color w:val="auto"/>
        </w:rPr>
        <w:t xml:space="preserve"> </w:t>
      </w:r>
      <w:r>
        <w:rPr>
          <w:rFonts w:ascii="Arial" w:cs="Arial" w:eastAsia="Arial" w:hAnsi="Arial"/>
          <w:sz w:val="22"/>
          <w:szCs w:val="22"/>
          <w:color w:val="auto"/>
        </w:rPr>
        <w:t>first above written.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WESTLAKE CHEMICAL PARTNERS LP</w:t>
      </w:r>
    </w:p>
    <w:p>
      <w:pPr>
        <w:spacing w:after="0" w:line="212"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By: Westlake Chemical Partners GP LLC, its general partner</w:t>
      </w:r>
    </w:p>
    <w:p>
      <w:pPr>
        <w:spacing w:after="0" w:line="20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 Steven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281305</wp:posOffset>
            </wp:positionV>
            <wp:extent cx="3488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Name: M. Steven Bender</w:t>
      </w:r>
    </w:p>
    <w:p>
      <w:pPr>
        <w:spacing w:after="0" w:line="200" w:lineRule="exact"/>
        <w:rPr>
          <w:sz w:val="20"/>
          <w:szCs w:val="20"/>
          <w:color w:val="auto"/>
        </w:rPr>
      </w:pPr>
    </w:p>
    <w:p>
      <w:pPr>
        <w:spacing w:after="0" w:line="249"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WESTLAKE CHEMICAL FINANCE CORPORATION</w:t>
      </w:r>
    </w:p>
    <w:p>
      <w:pPr>
        <w:spacing w:after="0" w:line="212"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Jeff Holy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281305</wp:posOffset>
            </wp:positionV>
            <wp:extent cx="3488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Name: Jeff Holy</w:t>
      </w:r>
    </w:p>
    <w:p>
      <w:pPr>
        <w:spacing w:after="0" w:line="200" w:lineRule="exact"/>
        <w:rPr>
          <w:sz w:val="20"/>
          <w:szCs w:val="20"/>
          <w:color w:val="auto"/>
        </w:rPr>
      </w:pPr>
    </w:p>
    <w:p>
      <w:pPr>
        <w:spacing w:after="0" w:line="249"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Title: Vice President and Treasurer</w:t>
      </w:r>
    </w:p>
    <w:p>
      <w:pPr>
        <w:sectPr>
          <w:pgSz w:w="11900" w:h="16838" w:orient="portrait"/>
          <w:cols w:equalWidth="0" w:num="1">
            <w:col w:w="11220"/>
          </w:cols>
          <w:pgMar w:left="320" w:top="828"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60" w:hanging="685"/>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20" w:right="20" w:hanging="685"/>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60" w:hanging="685"/>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380" w:right="40" w:hanging="670"/>
        <w:spacing w:after="0" w:line="263"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1380" w:right="80" w:hanging="670"/>
        <w:spacing w:after="0" w:line="263"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380" w:right="140" w:hanging="670"/>
        <w:spacing w:after="0" w:line="342" w:lineRule="auto"/>
        <w:tabs>
          <w:tab w:leader="none" w:pos="1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80" w:right="200" w:hanging="670"/>
        <w:spacing w:after="0" w:line="263"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720" w:right="240" w:hanging="685"/>
        <w:spacing w:after="0" w:line="342"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80" w:right="420" w:hanging="670"/>
        <w:spacing w:after="0" w:line="342" w:lineRule="auto"/>
        <w:tabs>
          <w:tab w:leader="none" w:pos="1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80" w:right="120" w:hanging="670"/>
        <w:spacing w:after="0" w:line="277"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40"/>
        <w:spacing w:after="0"/>
        <w:tabs>
          <w:tab w:leader="none" w:pos="700" w:val="left"/>
          <w:tab w:leader="none" w:pos="8300" w:val="left"/>
          <w:tab w:leader="none" w:pos="8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2020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02"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55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60" w:hanging="685"/>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20" w:right="20" w:hanging="685"/>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60" w:hanging="685"/>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380" w:right="40" w:hanging="670"/>
        <w:spacing w:after="0" w:line="263"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1380" w:right="80" w:hanging="670"/>
        <w:spacing w:after="0" w:line="263"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380" w:right="140" w:hanging="670"/>
        <w:spacing w:after="0" w:line="342" w:lineRule="auto"/>
        <w:tabs>
          <w:tab w:leader="none" w:pos="13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80" w:right="200" w:hanging="670"/>
        <w:spacing w:after="0" w:line="263"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720" w:right="240" w:hanging="685"/>
        <w:spacing w:after="0" w:line="342"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80" w:right="420" w:hanging="670"/>
        <w:spacing w:after="0" w:line="342" w:lineRule="auto"/>
        <w:tabs>
          <w:tab w:leader="none" w:pos="13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80" w:right="120" w:hanging="670"/>
        <w:spacing w:after="0" w:line="277"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40"/>
        <w:spacing w:after="0"/>
        <w:tabs>
          <w:tab w:leader="none" w:pos="580" w:val="left"/>
          <w:tab w:leader="none" w:pos="8240" w:val="left"/>
        </w:tabs>
        <w:rPr>
          <w:sz w:val="20"/>
          <w:szCs w:val="20"/>
          <w:color w:val="auto"/>
        </w:rPr>
      </w:pPr>
      <w:r>
        <w:rPr>
          <w:rFonts w:ascii="Arial" w:cs="Arial" w:eastAsia="Arial" w:hAnsi="Arial"/>
          <w:sz w:val="18"/>
          <w:szCs w:val="18"/>
          <w:color w:val="auto"/>
        </w:rPr>
        <w:t>Date:</w:t>
        <w:tab/>
        <w:t>May 6, 2020</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2"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220"/>
        <w:spacing w:after="0"/>
        <w:rPr>
          <w:sz w:val="20"/>
          <w:szCs w:val="20"/>
          <w:color w:val="auto"/>
        </w:rPr>
      </w:pPr>
      <w:r>
        <w:rPr>
          <w:rFonts w:ascii="Arial" w:cs="Arial" w:eastAsia="Arial" w:hAnsi="Arial"/>
          <w:sz w:val="13"/>
          <w:szCs w:val="13"/>
          <w:b w:val="1"/>
          <w:bCs w:val="1"/>
          <w:color w:val="auto"/>
        </w:rPr>
        <w:t>Senior Vice President, Chief Financial Officer and Director of</w:t>
      </w:r>
    </w:p>
    <w:p>
      <w:pPr>
        <w:spacing w:after="0" w:line="3"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69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55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March 31, 2020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580" w:val="left"/>
          <w:tab w:leader="none" w:pos="8240" w:val="left"/>
          <w:tab w:leader="none" w:pos="8600" w:val="left"/>
        </w:tabs>
        <w:rPr>
          <w:sz w:val="20"/>
          <w:szCs w:val="20"/>
          <w:color w:val="auto"/>
        </w:rPr>
      </w:pPr>
      <w:r>
        <w:rPr>
          <w:rFonts w:ascii="Arial" w:cs="Arial" w:eastAsia="Arial" w:hAnsi="Arial"/>
          <w:sz w:val="18"/>
          <w:szCs w:val="18"/>
          <w:color w:val="auto"/>
        </w:rPr>
        <w:t>Date:</w:t>
        <w:tab/>
        <w:t>May 6, 2020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02"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60"/>
        <w:spacing w:after="0" w:line="226" w:lineRule="auto"/>
        <w:rPr>
          <w:sz w:val="20"/>
          <w:szCs w:val="20"/>
          <w:color w:val="auto"/>
        </w:rPr>
      </w:pPr>
      <w:r>
        <w:rPr>
          <w:rFonts w:ascii="Arial" w:cs="Arial" w:eastAsia="Arial" w:hAnsi="Arial"/>
          <w:sz w:val="14"/>
          <w:szCs w:val="14"/>
          <w:b w:val="1"/>
          <w:bCs w:val="1"/>
          <w:color w:val="auto"/>
        </w:rPr>
        <w:t>Westlake Chemical Partners GP LLC</w:t>
      </w:r>
    </w:p>
    <w:p>
      <w:pPr>
        <w:jc w:val="center"/>
        <w:ind w:left="696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580" w:val="left"/>
          <w:tab w:leader="none" w:pos="8040" w:val="left"/>
          <w:tab w:leader="none" w:pos="8400" w:val="left"/>
        </w:tabs>
        <w:rPr>
          <w:sz w:val="20"/>
          <w:szCs w:val="20"/>
          <w:color w:val="auto"/>
        </w:rPr>
      </w:pPr>
      <w:r>
        <w:rPr>
          <w:rFonts w:ascii="Arial" w:cs="Arial" w:eastAsia="Arial" w:hAnsi="Arial"/>
          <w:sz w:val="18"/>
          <w:szCs w:val="18"/>
          <w:color w:val="auto"/>
        </w:rPr>
        <w:t>Date:</w:t>
        <w:tab/>
        <w:t>May 6, 2020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2"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696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6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04"/>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2020-05-06T12:54:03Z</dcterms:created>
  <dcterms:modified xsi:type="dcterms:W3CDTF">2020-05-06T12:54:03Z</dcterms:modified>
</cp:coreProperties>
</file>