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141605</wp:posOffset>
            </wp:positionV>
            <wp:extent cx="3206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135255</wp:posOffset>
            </wp:positionV>
            <wp:extent cx="32061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ind w:left="680" w:right="80" w:hanging="654"/>
        <w:spacing w:after="0" w:line="235"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680"/>
        <w:spacing w:after="0"/>
        <w:tabs>
          <w:tab w:leader="none" w:pos="3760" w:val="left"/>
        </w:tabs>
        <w:rPr>
          <w:sz w:val="20"/>
          <w:szCs w:val="20"/>
          <w:color w:val="auto"/>
        </w:rPr>
      </w:pPr>
      <w:r>
        <w:rPr>
          <w:rFonts w:ascii="Arial" w:cs="Arial" w:eastAsia="Arial" w:hAnsi="Arial"/>
          <w:sz w:val="18"/>
          <w:szCs w:val="18"/>
          <w:b w:val="1"/>
          <w:bCs w:val="1"/>
          <w:color w:val="auto"/>
        </w:rPr>
        <w:t>For the quarterly period ended</w:t>
      </w:r>
      <w:r>
        <w:rPr>
          <w:sz w:val="20"/>
          <w:szCs w:val="20"/>
          <w:color w:val="auto"/>
        </w:rPr>
        <w:tab/>
      </w:r>
      <w:r>
        <w:rPr>
          <w:rFonts w:ascii="Arial" w:cs="Arial" w:eastAsia="Arial" w:hAnsi="Arial"/>
          <w:sz w:val="16"/>
          <w:szCs w:val="16"/>
          <w:b w:val="1"/>
          <w:bCs w:val="1"/>
          <w:color w:val="auto"/>
        </w:rPr>
        <w:t>September 30, 2021</w:t>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680" w:right="40" w:hanging="641"/>
        <w:spacing w:after="0" w:line="235"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680"/>
        <w:spacing w:after="0"/>
        <w:tabs>
          <w:tab w:leader="none" w:pos="39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154305</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Westlake Chemical Partners LP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107315</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60" w:type="dxa"/>
            <w:vAlign w:val="bottom"/>
          </w:tcPr>
          <w:p>
            <w:pPr>
              <w:spacing w:after="0"/>
              <w:rPr>
                <w:sz w:val="19"/>
                <w:szCs w:val="19"/>
                <w:color w:val="auto"/>
              </w:rPr>
            </w:pPr>
          </w:p>
        </w:tc>
        <w:tc>
          <w:tcPr>
            <w:tcW w:w="3720" w:type="dxa"/>
            <w:vAlign w:val="bottom"/>
            <w:gridSpan w:val="2"/>
          </w:tcPr>
          <w:p>
            <w:pPr>
              <w:jc w:val="center"/>
              <w:ind w:left="1636"/>
              <w:spacing w:after="0"/>
              <w:rPr>
                <w:sz w:val="20"/>
                <w:szCs w:val="20"/>
                <w:color w:val="auto"/>
              </w:rPr>
            </w:pPr>
            <w:r>
              <w:rPr>
                <w:rFonts w:ascii="Arial" w:cs="Arial" w:eastAsia="Arial" w:hAnsi="Arial"/>
                <w:sz w:val="18"/>
                <w:szCs w:val="18"/>
                <w:b w:val="1"/>
                <w:bCs w:val="1"/>
                <w:color w:val="auto"/>
                <w:w w:val="91"/>
              </w:rPr>
              <w:t>Delaware</w:t>
            </w:r>
          </w:p>
        </w:tc>
        <w:tc>
          <w:tcPr>
            <w:tcW w:w="2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0" w:type="dxa"/>
            <w:vAlign w:val="bottom"/>
          </w:tcPr>
          <w:p>
            <w:pPr>
              <w:jc w:val="center"/>
              <w:ind w:right="1297"/>
              <w:spacing w:after="0"/>
              <w:rPr>
                <w:sz w:val="20"/>
                <w:szCs w:val="20"/>
                <w:color w:val="auto"/>
              </w:rPr>
            </w:pPr>
            <w:r>
              <w:rPr>
                <w:rFonts w:ascii="Arial" w:cs="Arial" w:eastAsia="Arial" w:hAnsi="Arial"/>
                <w:sz w:val="18"/>
                <w:szCs w:val="18"/>
                <w:b w:val="1"/>
                <w:bCs w:val="1"/>
                <w:color w:val="auto"/>
                <w:w w:val="89"/>
              </w:rPr>
              <w:t>32-0436529</w:t>
            </w: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3720" w:type="dxa"/>
            <w:vAlign w:val="bottom"/>
            <w:gridSpan w:val="2"/>
          </w:tcPr>
          <w:p>
            <w:pPr>
              <w:jc w:val="center"/>
              <w:ind w:left="1636"/>
              <w:spacing w:after="0" w:line="144" w:lineRule="exact"/>
              <w:rPr>
                <w:sz w:val="20"/>
                <w:szCs w:val="20"/>
                <w:color w:val="auto"/>
              </w:rPr>
            </w:pPr>
            <w:r>
              <w:rPr>
                <w:rFonts w:ascii="Arial" w:cs="Arial" w:eastAsia="Arial" w:hAnsi="Arial"/>
                <w:sz w:val="14"/>
                <w:szCs w:val="14"/>
                <w:b w:val="1"/>
                <w:bCs w:val="1"/>
                <w:color w:val="auto"/>
                <w:w w:val="93"/>
              </w:rPr>
              <w:t>(State or other jurisdiction of</w:t>
            </w:r>
          </w:p>
        </w:tc>
        <w:tc>
          <w:tcPr>
            <w:tcW w:w="2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0" w:type="dxa"/>
            <w:vAlign w:val="bottom"/>
          </w:tcPr>
          <w:p>
            <w:pPr>
              <w:jc w:val="center"/>
              <w:ind w:right="1317"/>
              <w:spacing w:after="0" w:line="144"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720" w:type="dxa"/>
            <w:vAlign w:val="bottom"/>
            <w:gridSpan w:val="2"/>
          </w:tcPr>
          <w:p>
            <w:pPr>
              <w:jc w:val="center"/>
              <w:ind w:left="1636"/>
              <w:spacing w:after="0"/>
              <w:rPr>
                <w:sz w:val="20"/>
                <w:szCs w:val="20"/>
                <w:color w:val="auto"/>
              </w:rPr>
            </w:pPr>
            <w:r>
              <w:rPr>
                <w:rFonts w:ascii="Arial" w:cs="Arial" w:eastAsia="Arial" w:hAnsi="Arial"/>
                <w:sz w:val="14"/>
                <w:szCs w:val="14"/>
                <w:b w:val="1"/>
                <w:bCs w:val="1"/>
                <w:color w:val="auto"/>
                <w:w w:val="94"/>
              </w:rPr>
              <w:t>incorporation or organization)</w:t>
            </w:r>
          </w:p>
        </w:tc>
        <w:tc>
          <w:tcPr>
            <w:tcW w:w="2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0" w:type="dxa"/>
            <w:vAlign w:val="bottom"/>
          </w:tcPr>
          <w:p>
            <w:pPr>
              <w:jc w:val="center"/>
              <w:ind w:right="1297"/>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443"/>
        </w:trPr>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60" w:type="dxa"/>
            <w:vAlign w:val="bottom"/>
            <w:gridSpan w:val="2"/>
          </w:tcPr>
          <w:p>
            <w:pPr>
              <w:jc w:val="center"/>
              <w:ind w:left="135"/>
              <w:spacing w:after="0"/>
              <w:rPr>
                <w:sz w:val="20"/>
                <w:szCs w:val="20"/>
                <w:color w:val="auto"/>
              </w:rPr>
            </w:pPr>
            <w:r>
              <w:rPr>
                <w:rFonts w:ascii="Arial" w:cs="Arial" w:eastAsia="Arial" w:hAnsi="Arial"/>
                <w:sz w:val="18"/>
                <w:szCs w:val="18"/>
                <w:b w:val="1"/>
                <w:bCs w:val="1"/>
                <w:color w:val="auto"/>
                <w:w w:val="90"/>
              </w:rPr>
              <w:t>2801 Post Oak Boulevard, Suite 600</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60" w:type="dxa"/>
            <w:vAlign w:val="bottom"/>
            <w:gridSpan w:val="2"/>
          </w:tcPr>
          <w:p>
            <w:pPr>
              <w:jc w:val="center"/>
              <w:ind w:left="155"/>
              <w:spacing w:after="0"/>
              <w:rPr>
                <w:sz w:val="20"/>
                <w:szCs w:val="20"/>
                <w:color w:val="auto"/>
              </w:rPr>
            </w:pPr>
            <w:r>
              <w:rPr>
                <w:rFonts w:ascii="Arial" w:cs="Arial" w:eastAsia="Arial" w:hAnsi="Arial"/>
                <w:sz w:val="18"/>
                <w:szCs w:val="18"/>
                <w:b w:val="1"/>
                <w:bCs w:val="1"/>
                <w:color w:val="auto"/>
                <w:w w:val="87"/>
              </w:rPr>
              <w:t>Houston, Texas 77056</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60" w:type="dxa"/>
            <w:vAlign w:val="bottom"/>
            <w:gridSpan w:val="3"/>
          </w:tcPr>
          <w:p>
            <w:pPr>
              <w:jc w:val="center"/>
              <w:ind w:right="3697"/>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0" w:type="dxa"/>
            <w:vAlign w:val="bottom"/>
          </w:tcPr>
          <w:p>
            <w:pPr>
              <w:spacing w:after="0"/>
              <w:rPr>
                <w:sz w:val="1"/>
                <w:szCs w:val="1"/>
                <w:color w:val="auto"/>
              </w:rPr>
            </w:pPr>
          </w:p>
        </w:tc>
      </w:tr>
      <w:tr>
        <w:trPr>
          <w:trHeight w:val="354"/>
        </w:trPr>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jc w:val="center"/>
              <w:ind w:left="755"/>
              <w:spacing w:after="0"/>
              <w:rPr>
                <w:sz w:val="20"/>
                <w:szCs w:val="20"/>
                <w:color w:val="auto"/>
              </w:rPr>
            </w:pPr>
            <w:r>
              <w:rPr>
                <w:rFonts w:ascii="Arial" w:cs="Arial" w:eastAsia="Arial" w:hAnsi="Arial"/>
                <w:sz w:val="18"/>
                <w:szCs w:val="18"/>
                <w:b w:val="1"/>
                <w:bCs w:val="1"/>
                <w:color w:val="auto"/>
                <w:w w:val="90"/>
              </w:rPr>
              <w:t>(713) 585-2900</w:t>
            </w:r>
          </w:p>
        </w:tc>
        <w:tc>
          <w:tcPr>
            <w:tcW w:w="6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60" w:type="dxa"/>
            <w:vAlign w:val="bottom"/>
            <w:gridSpan w:val="2"/>
          </w:tcPr>
          <w:p>
            <w:pPr>
              <w:jc w:val="center"/>
              <w:ind w:left="135"/>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4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8"/>
        </w:trPr>
        <w:tc>
          <w:tcPr>
            <w:tcW w:w="7240" w:type="dxa"/>
            <w:vAlign w:val="bottom"/>
            <w:gridSpan w:val="5"/>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8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500" w:type="dxa"/>
            <w:vAlign w:val="bottom"/>
            <w:tcBorders>
              <w:bottom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jc w:val="center"/>
              <w:ind w:right="435"/>
              <w:spacing w:after="0"/>
              <w:rPr>
                <w:sz w:val="20"/>
                <w:szCs w:val="20"/>
                <w:color w:val="auto"/>
              </w:rPr>
            </w:pPr>
            <w:r>
              <w:rPr>
                <w:rFonts w:ascii="Arial" w:cs="Arial" w:eastAsia="Arial" w:hAnsi="Arial"/>
                <w:sz w:val="18"/>
                <w:szCs w:val="18"/>
                <w:b w:val="1"/>
                <w:bCs w:val="1"/>
                <w:color w:val="auto"/>
                <w:w w:val="91"/>
              </w:rPr>
              <w:t>Trading Symbol(s)</w:t>
            </w:r>
          </w:p>
        </w:tc>
        <w:tc>
          <w:tcPr>
            <w:tcW w:w="620" w:type="dxa"/>
            <w:vAlign w:val="bottom"/>
            <w:tcBorders>
              <w:bottom w:val="single" w:sz="8" w:color="auto"/>
            </w:tcBorders>
          </w:tcPr>
          <w:p>
            <w:pPr>
              <w:spacing w:after="0"/>
              <w:rPr>
                <w:sz w:val="19"/>
                <w:szCs w:val="19"/>
                <w:color w:val="auto"/>
              </w:rPr>
            </w:pPr>
          </w:p>
        </w:tc>
        <w:tc>
          <w:tcPr>
            <w:tcW w:w="4000" w:type="dxa"/>
            <w:vAlign w:val="bottom"/>
            <w:tcBorders>
              <w:bottom w:val="single" w:sz="8" w:color="auto"/>
              <w:right w:val="single" w:sz="8" w:color="auto"/>
            </w:tcBorders>
          </w:tcPr>
          <w:p>
            <w:pPr>
              <w:jc w:val="center"/>
              <w:ind w:right="577"/>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169"/>
        </w:trPr>
        <w:tc>
          <w:tcPr>
            <w:tcW w:w="60" w:type="dxa"/>
            <w:vAlign w:val="bottom"/>
            <w:tcBorders>
              <w:right w:val="single" w:sz="8" w:color="auto"/>
            </w:tcBorders>
          </w:tcPr>
          <w:p>
            <w:pPr>
              <w:spacing w:after="0"/>
              <w:rPr>
                <w:sz w:val="14"/>
                <w:szCs w:val="14"/>
                <w:color w:val="auto"/>
              </w:rPr>
            </w:pPr>
          </w:p>
        </w:tc>
        <w:tc>
          <w:tcPr>
            <w:tcW w:w="32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Common units representing limited</w:t>
            </w:r>
          </w:p>
        </w:tc>
        <w:tc>
          <w:tcPr>
            <w:tcW w:w="500" w:type="dxa"/>
            <w:vAlign w:val="bottom"/>
          </w:tcPr>
          <w:p>
            <w:pPr>
              <w:spacing w:after="0"/>
              <w:rPr>
                <w:sz w:val="14"/>
                <w:szCs w:val="14"/>
                <w:color w:val="auto"/>
              </w:rPr>
            </w:pPr>
          </w:p>
        </w:tc>
        <w:tc>
          <w:tcPr>
            <w:tcW w:w="2840" w:type="dxa"/>
            <w:vAlign w:val="bottom"/>
            <w:tcBorders>
              <w:right w:val="single" w:sz="8" w:color="auto"/>
            </w:tcBorders>
            <w:vMerge w:val="restart"/>
          </w:tcPr>
          <w:p>
            <w:pPr>
              <w:jc w:val="center"/>
              <w:ind w:right="435"/>
              <w:spacing w:after="0"/>
              <w:rPr>
                <w:sz w:val="20"/>
                <w:szCs w:val="20"/>
                <w:color w:val="auto"/>
              </w:rPr>
            </w:pPr>
            <w:r>
              <w:rPr>
                <w:rFonts w:ascii="Arial" w:cs="Arial" w:eastAsia="Arial" w:hAnsi="Arial"/>
                <w:sz w:val="18"/>
                <w:szCs w:val="18"/>
                <w:color w:val="auto"/>
              </w:rPr>
              <w:t>WLKP</w:t>
            </w:r>
          </w:p>
        </w:tc>
        <w:tc>
          <w:tcPr>
            <w:tcW w:w="620" w:type="dxa"/>
            <w:vAlign w:val="bottom"/>
          </w:tcPr>
          <w:p>
            <w:pPr>
              <w:spacing w:after="0"/>
              <w:rPr>
                <w:sz w:val="14"/>
                <w:szCs w:val="14"/>
                <w:color w:val="auto"/>
              </w:rPr>
            </w:pPr>
          </w:p>
        </w:tc>
        <w:tc>
          <w:tcPr>
            <w:tcW w:w="4000" w:type="dxa"/>
            <w:vAlign w:val="bottom"/>
            <w:tcBorders>
              <w:right w:val="single" w:sz="8" w:color="auto"/>
            </w:tcBorders>
            <w:vMerge w:val="restart"/>
          </w:tcPr>
          <w:p>
            <w:pPr>
              <w:jc w:val="center"/>
              <w:ind w:right="557"/>
              <w:spacing w:after="0"/>
              <w:rPr>
                <w:sz w:val="20"/>
                <w:szCs w:val="20"/>
                <w:color w:val="auto"/>
              </w:rPr>
            </w:pPr>
            <w:r>
              <w:rPr>
                <w:rFonts w:ascii="Arial" w:cs="Arial" w:eastAsia="Arial" w:hAnsi="Arial"/>
                <w:sz w:val="18"/>
                <w:szCs w:val="18"/>
                <w:color w:val="auto"/>
                <w:w w:val="91"/>
              </w:rPr>
              <w:t>The New York Stock Exchange</w:t>
            </w:r>
          </w:p>
        </w:tc>
        <w:tc>
          <w:tcPr>
            <w:tcW w:w="0" w:type="dxa"/>
            <w:vAlign w:val="bottom"/>
          </w:tcPr>
          <w:p>
            <w:pPr>
              <w:spacing w:after="0"/>
              <w:rPr>
                <w:sz w:val="1"/>
                <w:szCs w:val="1"/>
                <w:color w:val="auto"/>
              </w:rPr>
            </w:pPr>
          </w:p>
        </w:tc>
      </w:tr>
      <w:tr>
        <w:trPr>
          <w:trHeight w:val="230"/>
        </w:trPr>
        <w:tc>
          <w:tcPr>
            <w:tcW w:w="6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partnership interests</w:t>
            </w:r>
          </w:p>
        </w:tc>
        <w:tc>
          <w:tcPr>
            <w:tcW w:w="500" w:type="dxa"/>
            <w:vAlign w:val="bottom"/>
            <w:tcBorders>
              <w:bottom w:val="single" w:sz="8" w:color="auto"/>
            </w:tcBorders>
          </w:tcPr>
          <w:p>
            <w:pPr>
              <w:spacing w:after="0"/>
              <w:rPr>
                <w:sz w:val="19"/>
                <w:szCs w:val="19"/>
                <w:color w:val="auto"/>
              </w:rPr>
            </w:pPr>
          </w:p>
        </w:tc>
        <w:tc>
          <w:tcPr>
            <w:tcW w:w="2840" w:type="dxa"/>
            <w:vAlign w:val="bottom"/>
            <w:tcBorders>
              <w:bottom w:val="single" w:sz="8" w:color="auto"/>
              <w:right w:val="single" w:sz="8" w:color="auto"/>
            </w:tcBorders>
            <w:vMerge w:val="continue"/>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0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99"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30" w:lineRule="exact"/>
        <w:rPr>
          <w:sz w:val="24"/>
          <w:szCs w:val="24"/>
          <w:color w:val="auto"/>
        </w:rPr>
      </w:pPr>
    </w:p>
    <w:p>
      <w:pPr>
        <w:ind w:right="36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Arial" w:cs="Arial" w:eastAsia="Arial" w:hAnsi="Arial"/>
          <w:sz w:val="16"/>
          <w:szCs w:val="16"/>
          <w:b w:val="1"/>
          <w:bCs w:val="1"/>
          <w:color w:val="auto"/>
        </w:rPr>
        <w:t>Yes</w:t>
      </w:r>
      <w:r>
        <w:rPr>
          <w:rFonts w:ascii="Arial" w:cs="Arial" w:eastAsia="Arial" w:hAnsi="Arial"/>
          <w:sz w:val="16"/>
          <w:szCs w:val="16"/>
          <w:color w:val="auto"/>
        </w:rPr>
        <w:t xml:space="preserve"> x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128"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18"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380" w:type="dxa"/>
            <w:vAlign w:val="bottom"/>
          </w:tcPr>
          <w:p>
            <w:pPr>
              <w:spacing w:after="0"/>
              <w:rPr>
                <w:sz w:val="20"/>
                <w:szCs w:val="20"/>
                <w:color w:val="auto"/>
              </w:rPr>
            </w:pPr>
            <w:r>
              <w:rPr>
                <w:rFonts w:ascii="Arial" w:cs="Arial" w:eastAsia="Arial" w:hAnsi="Arial"/>
                <w:sz w:val="18"/>
                <w:szCs w:val="18"/>
                <w:b w:val="1"/>
                <w:bCs w:val="1"/>
                <w:color w:val="auto"/>
              </w:rPr>
              <w:t>Large accelerated filer</w:t>
            </w:r>
          </w:p>
        </w:tc>
        <w:tc>
          <w:tcPr>
            <w:tcW w:w="30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220"/>
              <w:spacing w:after="0"/>
              <w:rPr>
                <w:sz w:val="20"/>
                <w:szCs w:val="20"/>
                <w:color w:val="auto"/>
              </w:rPr>
            </w:pPr>
            <w:r>
              <w:rPr>
                <w:rFonts w:ascii="Arial" w:cs="Arial" w:eastAsia="Arial" w:hAnsi="Arial"/>
                <w:sz w:val="18"/>
                <w:szCs w:val="18"/>
                <w:b w:val="1"/>
                <w:bCs w:val="1"/>
                <w:color w:val="auto"/>
              </w:rPr>
              <w:t>Accelerated filer</w:t>
            </w:r>
          </w:p>
        </w:tc>
        <w:tc>
          <w:tcPr>
            <w:tcW w:w="680" w:type="dxa"/>
            <w:vAlign w:val="bottom"/>
          </w:tcPr>
          <w:p>
            <w:pPr>
              <w:ind w:left="520"/>
              <w:spacing w:after="0"/>
              <w:rPr>
                <w:sz w:val="20"/>
                <w:szCs w:val="20"/>
                <w:color w:val="auto"/>
              </w:rPr>
            </w:pPr>
            <w:r>
              <w:rPr>
                <w:rFonts w:ascii="Arial" w:cs="Arial" w:eastAsia="Arial" w:hAnsi="Arial"/>
                <w:sz w:val="18"/>
                <w:szCs w:val="18"/>
                <w:color w:val="auto"/>
              </w:rPr>
              <w:t>x</w:t>
            </w:r>
          </w:p>
        </w:tc>
      </w:tr>
      <w:tr>
        <w:trPr>
          <w:trHeight w:val="338"/>
        </w:trPr>
        <w:tc>
          <w:tcPr>
            <w:tcW w:w="2380" w:type="dxa"/>
            <w:vAlign w:val="bottom"/>
          </w:tcPr>
          <w:p>
            <w:pPr>
              <w:spacing w:after="0"/>
              <w:rPr>
                <w:sz w:val="20"/>
                <w:szCs w:val="20"/>
                <w:color w:val="auto"/>
              </w:rPr>
            </w:pPr>
            <w:r>
              <w:rPr>
                <w:rFonts w:ascii="Arial" w:cs="Arial" w:eastAsia="Arial" w:hAnsi="Arial"/>
                <w:sz w:val="18"/>
                <w:szCs w:val="18"/>
                <w:b w:val="1"/>
                <w:bCs w:val="1"/>
                <w:color w:val="auto"/>
              </w:rPr>
              <w:t>Non-accelerated filer</w:t>
            </w:r>
          </w:p>
        </w:tc>
        <w:tc>
          <w:tcPr>
            <w:tcW w:w="30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220"/>
              <w:spacing w:after="0"/>
              <w:rPr>
                <w:sz w:val="20"/>
                <w:szCs w:val="20"/>
                <w:color w:val="auto"/>
              </w:rPr>
            </w:pPr>
            <w:r>
              <w:rPr>
                <w:rFonts w:ascii="Arial" w:cs="Arial" w:eastAsia="Arial" w:hAnsi="Arial"/>
                <w:sz w:val="18"/>
                <w:szCs w:val="18"/>
                <w:b w:val="1"/>
                <w:bCs w:val="1"/>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860" w:type="dxa"/>
            <w:vAlign w:val="bottom"/>
          </w:tcPr>
          <w:p>
            <w:pPr>
              <w:ind w:left="2220"/>
              <w:spacing w:after="0"/>
              <w:rPr>
                <w:sz w:val="20"/>
                <w:szCs w:val="20"/>
                <w:color w:val="auto"/>
              </w:rPr>
            </w:pPr>
            <w:r>
              <w:rPr>
                <w:rFonts w:ascii="Arial" w:cs="Arial" w:eastAsia="Arial" w:hAnsi="Arial"/>
                <w:sz w:val="18"/>
                <w:szCs w:val="18"/>
                <w:b w:val="1"/>
                <w:bCs w:val="1"/>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2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8340" w:val="left"/>
          <w:tab w:leader="none" w:pos="91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ab/>
        <w:t xml:space="preserve">No  </w:t>
      </w:r>
      <w:r>
        <w:rPr>
          <w:rFonts w:ascii="Arial" w:cs="Arial" w:eastAsia="Arial" w:hAnsi="Arial"/>
          <w:sz w:val="18"/>
          <w:szCs w:val="18"/>
          <w:color w:val="auto"/>
        </w:rPr>
        <w:t>x</w:t>
      </w:r>
    </w:p>
    <w:p>
      <w:pPr>
        <w:spacing w:after="0" w:line="379"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35,214,416 common units outstanding as of October 27, 2021.</w:t>
      </w:r>
    </w:p>
    <w:p>
      <w:pPr>
        <w:sectPr>
          <w:pgSz w:w="11900" w:h="16838" w:orient="portrait"/>
          <w:cols w:equalWidth="0" w:num="1">
            <w:col w:w="11240"/>
          </w:cols>
          <w:pgMar w:left="320" w:top="1043" w:right="339" w:bottom="308"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170815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Item</w:t>
            </w:r>
          </w:p>
        </w:tc>
        <w:tc>
          <w:tcPr>
            <w:tcW w:w="20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800" w:type="dxa"/>
            <w:vAlign w:val="bottom"/>
            <w:gridSpan w:val="2"/>
          </w:tcPr>
          <w:p>
            <w:pPr>
              <w:ind w:lef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20" w:type="dxa"/>
            <w:vAlign w:val="bottom"/>
            <w:gridSpan w:val="3"/>
            <w:vMerge w:val="restart"/>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 FINANCIAL INFORMATION</w:t>
              </w:r>
            </w:hyperlink>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0420" w:type="dxa"/>
            <w:vAlign w:val="bottom"/>
            <w:gridSpan w:val="3"/>
            <w:vMerge w:val="continue"/>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 w:type="dxa"/>
            <w:vAlign w:val="bottom"/>
            <w:gridSpan w:val="3"/>
          </w:tcPr>
          <w:p>
            <w:pPr>
              <w:ind w:left="360"/>
              <w:spacing w:after="0"/>
              <w:rPr>
                <w:rFonts w:ascii="Arial" w:cs="Arial" w:eastAsia="Arial" w:hAnsi="Arial"/>
                <w:sz w:val="18"/>
                <w:szCs w:val="18"/>
                <w:color w:val="auto"/>
                <w:w w:val="87"/>
              </w:rPr>
            </w:pPr>
            <w:hyperlink w:anchor="page4">
              <w:r>
                <w:rPr>
                  <w:rFonts w:ascii="Arial" w:cs="Arial" w:eastAsia="Arial" w:hAnsi="Arial"/>
                  <w:sz w:val="18"/>
                  <w:szCs w:val="18"/>
                  <w:color w:val="auto"/>
                  <w:w w:val="87"/>
                </w:rPr>
                <w:t>1)</w:t>
              </w:r>
            </w:hyperlink>
          </w:p>
        </w:tc>
        <w:tc>
          <w:tcPr>
            <w:tcW w:w="9920" w:type="dxa"/>
            <w:vAlign w:val="bottom"/>
          </w:tcPr>
          <w:p>
            <w:pPr>
              <w:ind w:left="20"/>
              <w:spacing w:after="0"/>
              <w:rPr>
                <w:rFonts w:ascii="Arial" w:cs="Arial" w:eastAsia="Arial" w:hAnsi="Arial"/>
                <w:sz w:val="18"/>
                <w:szCs w:val="18"/>
                <w:color w:val="auto"/>
              </w:rPr>
            </w:pPr>
            <w:hyperlink w:anchor="page4">
              <w:r>
                <w:rPr>
                  <w:rFonts w:ascii="Arial" w:cs="Arial" w:eastAsia="Arial" w:hAnsi="Arial"/>
                  <w:sz w:val="18"/>
                  <w:szCs w:val="18"/>
                  <w:color w:val="auto"/>
                </w:rPr>
                <w:t>Financial Statements</w:t>
              </w:r>
            </w:hyperlink>
          </w:p>
        </w:tc>
        <w:tc>
          <w:tcPr>
            <w:tcW w:w="7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gridSpan w:val="3"/>
          </w:tcPr>
          <w:p>
            <w:pPr>
              <w:ind w:left="360"/>
              <w:spacing w:after="0"/>
              <w:rPr>
                <w:rFonts w:ascii="Arial" w:cs="Arial" w:eastAsia="Arial" w:hAnsi="Arial"/>
                <w:sz w:val="18"/>
                <w:szCs w:val="18"/>
                <w:color w:val="auto"/>
                <w:w w:val="87"/>
              </w:rPr>
            </w:pPr>
            <w:hyperlink w:anchor="page17">
              <w:r>
                <w:rPr>
                  <w:rFonts w:ascii="Arial" w:cs="Arial" w:eastAsia="Arial" w:hAnsi="Arial"/>
                  <w:sz w:val="18"/>
                  <w:szCs w:val="18"/>
                  <w:color w:val="auto"/>
                  <w:w w:val="87"/>
                </w:rPr>
                <w:t>2)</w:t>
              </w:r>
            </w:hyperlink>
          </w:p>
        </w:tc>
        <w:tc>
          <w:tcPr>
            <w:tcW w:w="9920" w:type="dxa"/>
            <w:vAlign w:val="bottom"/>
          </w:tcPr>
          <w:p>
            <w:pPr>
              <w:ind w:left="20"/>
              <w:spacing w:after="0"/>
              <w:rPr>
                <w:rFonts w:ascii="Arial" w:cs="Arial" w:eastAsia="Arial" w:hAnsi="Arial"/>
                <w:sz w:val="18"/>
                <w:szCs w:val="18"/>
                <w:color w:val="auto"/>
              </w:rPr>
            </w:pPr>
            <w:hyperlink w:anchor="page17">
              <w:r>
                <w:rPr>
                  <w:rFonts w:ascii="Arial" w:cs="Arial" w:eastAsia="Arial" w:hAnsi="Arial"/>
                  <w:sz w:val="18"/>
                  <w:szCs w:val="18"/>
                  <w:color w:val="auto"/>
                </w:rPr>
                <w:t>Management's Discussion and Analysis of Financial Condition and Results of Operations</w:t>
              </w:r>
            </w:hyperlink>
          </w:p>
        </w:tc>
        <w:tc>
          <w:tcPr>
            <w:tcW w:w="780" w:type="dxa"/>
            <w:vAlign w:val="bottom"/>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gridSpan w:val="3"/>
          </w:tcPr>
          <w:p>
            <w:pPr>
              <w:ind w:left="360"/>
              <w:spacing w:after="0"/>
              <w:rPr>
                <w:rFonts w:ascii="Arial" w:cs="Arial" w:eastAsia="Arial" w:hAnsi="Arial"/>
                <w:sz w:val="18"/>
                <w:szCs w:val="18"/>
                <w:color w:val="auto"/>
                <w:w w:val="87"/>
              </w:rPr>
            </w:pPr>
            <w:hyperlink w:anchor="page28">
              <w:r>
                <w:rPr>
                  <w:rFonts w:ascii="Arial" w:cs="Arial" w:eastAsia="Arial" w:hAnsi="Arial"/>
                  <w:sz w:val="18"/>
                  <w:szCs w:val="18"/>
                  <w:color w:val="auto"/>
                  <w:w w:val="87"/>
                </w:rPr>
                <w:t>3)</w:t>
              </w:r>
            </w:hyperlink>
          </w:p>
        </w:tc>
        <w:tc>
          <w:tcPr>
            <w:tcW w:w="9920" w:type="dxa"/>
            <w:vAlign w:val="bottom"/>
          </w:tcPr>
          <w:p>
            <w:pPr>
              <w:ind w:left="20"/>
              <w:spacing w:after="0"/>
              <w:rPr>
                <w:rFonts w:ascii="Arial" w:cs="Arial" w:eastAsia="Arial" w:hAnsi="Arial"/>
                <w:sz w:val="18"/>
                <w:szCs w:val="18"/>
                <w:color w:val="auto"/>
              </w:rPr>
            </w:pPr>
            <w:hyperlink w:anchor="page28">
              <w:r>
                <w:rPr>
                  <w:rFonts w:ascii="Arial" w:cs="Arial" w:eastAsia="Arial" w:hAnsi="Arial"/>
                  <w:sz w:val="18"/>
                  <w:szCs w:val="18"/>
                  <w:color w:val="auto"/>
                </w:rPr>
                <w:t>Quantitative and Qualitative Disclosures about Market Risk</w:t>
              </w:r>
            </w:hyperlink>
          </w:p>
        </w:tc>
        <w:tc>
          <w:tcPr>
            <w:tcW w:w="7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gridSpan w:val="3"/>
          </w:tcPr>
          <w:p>
            <w:pPr>
              <w:ind w:left="360"/>
              <w:spacing w:after="0"/>
              <w:rPr>
                <w:rFonts w:ascii="Arial" w:cs="Arial" w:eastAsia="Arial" w:hAnsi="Arial"/>
                <w:sz w:val="18"/>
                <w:szCs w:val="18"/>
                <w:color w:val="auto"/>
                <w:w w:val="87"/>
              </w:rPr>
            </w:pPr>
            <w:hyperlink w:anchor="page29">
              <w:r>
                <w:rPr>
                  <w:rFonts w:ascii="Arial" w:cs="Arial" w:eastAsia="Arial" w:hAnsi="Arial"/>
                  <w:sz w:val="18"/>
                  <w:szCs w:val="18"/>
                  <w:color w:val="auto"/>
                  <w:w w:val="87"/>
                </w:rPr>
                <w:t>4)</w:t>
              </w:r>
            </w:hyperlink>
          </w:p>
        </w:tc>
        <w:tc>
          <w:tcPr>
            <w:tcW w:w="9920" w:type="dxa"/>
            <w:vAlign w:val="bottom"/>
          </w:tcPr>
          <w:p>
            <w:pPr>
              <w:ind w:left="20"/>
              <w:spacing w:after="0"/>
              <w:rPr>
                <w:rFonts w:ascii="Arial" w:cs="Arial" w:eastAsia="Arial" w:hAnsi="Arial"/>
                <w:sz w:val="18"/>
                <w:szCs w:val="18"/>
                <w:color w:val="auto"/>
              </w:rPr>
            </w:pPr>
            <w:hyperlink w:anchor="page29">
              <w:r>
                <w:rPr>
                  <w:rFonts w:ascii="Arial" w:cs="Arial" w:eastAsia="Arial" w:hAnsi="Arial"/>
                  <w:sz w:val="18"/>
                  <w:szCs w:val="18"/>
                  <w:color w:val="auto"/>
                </w:rPr>
                <w:t>Controls and Procedures</w:t>
              </w:r>
            </w:hyperlink>
          </w:p>
        </w:tc>
        <w:tc>
          <w:tcPr>
            <w:tcW w:w="7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26</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10420" w:type="dxa"/>
            <w:vAlign w:val="bottom"/>
            <w:gridSpan w:val="3"/>
          </w:tcPr>
          <w:p>
            <w:pPr>
              <w:spacing w:after="0"/>
              <w:rPr>
                <w:rFonts w:ascii="Arial" w:cs="Arial" w:eastAsia="Arial" w:hAnsi="Arial"/>
                <w:sz w:val="18"/>
                <w:szCs w:val="18"/>
                <w:b w:val="1"/>
                <w:bCs w:val="1"/>
                <w:color w:val="auto"/>
              </w:rPr>
            </w:pPr>
            <w:hyperlink w:anchor="page29">
              <w:r>
                <w:rPr>
                  <w:rFonts w:ascii="Arial" w:cs="Arial" w:eastAsia="Arial" w:hAnsi="Arial"/>
                  <w:sz w:val="18"/>
                  <w:szCs w:val="18"/>
                  <w:b w:val="1"/>
                  <w:bCs w:val="1"/>
                  <w:color w:val="auto"/>
                </w:rPr>
                <w:t>PART II. OTHER INFORMATION</w:t>
              </w:r>
            </w:hyperlink>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gridSpan w:val="3"/>
          </w:tcPr>
          <w:p>
            <w:pPr>
              <w:ind w:left="360"/>
              <w:spacing w:after="0"/>
              <w:rPr>
                <w:rFonts w:ascii="Arial" w:cs="Arial" w:eastAsia="Arial" w:hAnsi="Arial"/>
                <w:sz w:val="18"/>
                <w:szCs w:val="18"/>
                <w:color w:val="auto"/>
                <w:w w:val="87"/>
              </w:rPr>
            </w:pPr>
            <w:hyperlink w:anchor="page29">
              <w:r>
                <w:rPr>
                  <w:rFonts w:ascii="Arial" w:cs="Arial" w:eastAsia="Arial" w:hAnsi="Arial"/>
                  <w:sz w:val="18"/>
                  <w:szCs w:val="18"/>
                  <w:color w:val="auto"/>
                  <w:w w:val="87"/>
                </w:rPr>
                <w:t>1)</w:t>
              </w:r>
            </w:hyperlink>
          </w:p>
        </w:tc>
        <w:tc>
          <w:tcPr>
            <w:tcW w:w="9920" w:type="dxa"/>
            <w:vAlign w:val="bottom"/>
          </w:tcPr>
          <w:p>
            <w:pPr>
              <w:ind w:left="20"/>
              <w:spacing w:after="0"/>
              <w:rPr>
                <w:rFonts w:ascii="Arial" w:cs="Arial" w:eastAsia="Arial" w:hAnsi="Arial"/>
                <w:sz w:val="18"/>
                <w:szCs w:val="18"/>
                <w:color w:val="auto"/>
              </w:rPr>
            </w:pPr>
            <w:hyperlink w:anchor="page29">
              <w:r>
                <w:rPr>
                  <w:rFonts w:ascii="Arial" w:cs="Arial" w:eastAsia="Arial" w:hAnsi="Arial"/>
                  <w:sz w:val="18"/>
                  <w:szCs w:val="18"/>
                  <w:color w:val="auto"/>
                </w:rPr>
                <w:t>Legal Proceedings</w:t>
              </w:r>
            </w:hyperlink>
          </w:p>
        </w:tc>
        <w:tc>
          <w:tcPr>
            <w:tcW w:w="7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120" w:type="dxa"/>
            <w:vAlign w:val="bottom"/>
            <w:gridSpan w:val="2"/>
          </w:tcPr>
          <w:p>
            <w:pPr>
              <w:ind w:left="40"/>
              <w:spacing w:after="0"/>
              <w:rPr>
                <w:rFonts w:ascii="Arial" w:cs="Arial" w:eastAsia="Arial" w:hAnsi="Arial"/>
                <w:sz w:val="18"/>
                <w:szCs w:val="18"/>
                <w:color w:val="auto"/>
              </w:rPr>
            </w:pPr>
            <w:hyperlink w:anchor="page30">
              <w:r>
                <w:rPr>
                  <w:rFonts w:ascii="Arial" w:cs="Arial" w:eastAsia="Arial" w:hAnsi="Arial"/>
                  <w:sz w:val="18"/>
                  <w:szCs w:val="18"/>
                  <w:color w:val="auto"/>
                </w:rPr>
                <w:t>1A) Risk Factors</w:t>
              </w:r>
            </w:hyperlink>
          </w:p>
        </w:tc>
        <w:tc>
          <w:tcPr>
            <w:tcW w:w="78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gridSpan w:val="3"/>
          </w:tcPr>
          <w:p>
            <w:pPr>
              <w:ind w:left="360"/>
              <w:spacing w:after="0"/>
              <w:rPr>
                <w:rFonts w:ascii="Arial" w:cs="Arial" w:eastAsia="Arial" w:hAnsi="Arial"/>
                <w:sz w:val="18"/>
                <w:szCs w:val="18"/>
                <w:color w:val="auto"/>
                <w:w w:val="87"/>
              </w:rPr>
            </w:pPr>
            <w:hyperlink w:anchor="page30">
              <w:r>
                <w:rPr>
                  <w:rFonts w:ascii="Arial" w:cs="Arial" w:eastAsia="Arial" w:hAnsi="Arial"/>
                  <w:sz w:val="18"/>
                  <w:szCs w:val="18"/>
                  <w:color w:val="auto"/>
                  <w:w w:val="87"/>
                </w:rPr>
                <w:t>6)</w:t>
              </w:r>
            </w:hyperlink>
          </w:p>
        </w:tc>
        <w:tc>
          <w:tcPr>
            <w:tcW w:w="9920" w:type="dxa"/>
            <w:vAlign w:val="bottom"/>
          </w:tcPr>
          <w:p>
            <w:pPr>
              <w:ind w:left="20"/>
              <w:spacing w:after="0"/>
              <w:rPr>
                <w:rFonts w:ascii="Arial" w:cs="Arial" w:eastAsia="Arial" w:hAnsi="Arial"/>
                <w:sz w:val="18"/>
                <w:szCs w:val="18"/>
                <w:color w:val="auto"/>
              </w:rPr>
            </w:pPr>
            <w:hyperlink w:anchor="page30">
              <w:r>
                <w:rPr>
                  <w:rFonts w:ascii="Arial" w:cs="Arial" w:eastAsia="Arial" w:hAnsi="Arial"/>
                  <w:sz w:val="18"/>
                  <w:szCs w:val="18"/>
                  <w:color w:val="auto"/>
                </w:rPr>
                <w:t>Exhibits</w:t>
              </w:r>
            </w:hyperlink>
          </w:p>
        </w:tc>
        <w:tc>
          <w:tcPr>
            <w:tcW w:w="78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27</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8"/>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9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40" w:type="dxa"/>
            <w:vAlign w:val="bottom"/>
          </w:tcPr>
          <w:p>
            <w:pPr>
              <w:jc w:val="right"/>
              <w:ind w:right="2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8"/>
        </w:trPr>
        <w:tc>
          <w:tcPr>
            <w:tcW w:w="8240" w:type="dxa"/>
            <w:vAlign w:val="bottom"/>
          </w:tcPr>
          <w:p>
            <w:pPr>
              <w:spacing w:after="0"/>
              <w:rPr>
                <w:sz w:val="18"/>
                <w:szCs w:val="18"/>
                <w:color w:val="auto"/>
              </w:rPr>
            </w:pPr>
          </w:p>
        </w:tc>
        <w:tc>
          <w:tcPr>
            <w:tcW w:w="2980" w:type="dxa"/>
            <w:vAlign w:val="bottom"/>
            <w:gridSpan w:val="5"/>
          </w:tcPr>
          <w:p>
            <w:pPr>
              <w:jc w:val="right"/>
              <w:ind w:right="11"/>
              <w:spacing w:after="0"/>
              <w:rPr>
                <w:sz w:val="20"/>
                <w:szCs w:val="20"/>
                <w:color w:val="auto"/>
              </w:rPr>
            </w:pPr>
            <w:r>
              <w:rPr>
                <w:rFonts w:ascii="Arial" w:cs="Arial" w:eastAsia="Arial" w:hAnsi="Arial"/>
                <w:sz w:val="14"/>
                <w:szCs w:val="14"/>
                <w:b w:val="1"/>
                <w:bCs w:val="1"/>
                <w:color w:val="auto"/>
                <w:w w:val="93"/>
              </w:rPr>
              <w:t>(in thousands of dollars, except unit amounts)</w:t>
            </w:r>
          </w:p>
        </w:tc>
        <w:tc>
          <w:tcPr>
            <w:tcW w:w="0" w:type="dxa"/>
            <w:vAlign w:val="bottom"/>
          </w:tcPr>
          <w:p>
            <w:pPr>
              <w:spacing w:after="0"/>
              <w:rPr>
                <w:sz w:val="1"/>
                <w:szCs w:val="1"/>
                <w:color w:val="auto"/>
              </w:rPr>
            </w:pPr>
          </w:p>
        </w:tc>
      </w:tr>
      <w:tr>
        <w:trPr>
          <w:trHeight w:val="235"/>
        </w:trPr>
        <w:tc>
          <w:tcPr>
            <w:tcW w:w="824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1"/>
              </w:rPr>
              <w:t>ASSETS</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17,154</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w w:val="93"/>
              </w:rPr>
              <w:t>Receivable under the Investment Management Agreement—Westlake Chemical Corporation ("Westlake")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196,252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123,228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net—Westlake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108,028</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Accounts receivable, net—third parties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11,029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263,305</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1,022,181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1,050,677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charges and other assets, net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36,692</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1,360,562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1,356,488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jc w:val="center"/>
              <w:ind w:right="1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Accounts payable—Westlake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13,259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7,855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payable—third parties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13,131</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Accrued and other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18,768</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39,754</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Long-term debt payable to Westlake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399,674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399,674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3"/>
        </w:trPr>
        <w:tc>
          <w:tcPr>
            <w:tcW w:w="824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455,743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441,351</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8"/>
                <w:szCs w:val="18"/>
                <w:color w:val="auto"/>
              </w:rPr>
              <w:t>Commitments and contingencies (Note 12)</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rPr>
              <w:t>EQUITY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20"/>
              <w:spacing w:after="0" w:line="176" w:lineRule="exact"/>
              <w:rPr>
                <w:sz w:val="20"/>
                <w:szCs w:val="20"/>
                <w:color w:val="auto"/>
              </w:rPr>
            </w:pPr>
            <w:r>
              <w:rPr>
                <w:rFonts w:ascii="Arial" w:cs="Arial" w:eastAsia="Arial" w:hAnsi="Arial"/>
                <w:sz w:val="18"/>
                <w:szCs w:val="18"/>
                <w:color w:val="auto"/>
              </w:rPr>
              <w:t>Common unitholders—publicly and privately held (21,092,186 and 21,076,673 units</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474,062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471,701</w:t>
            </w:r>
          </w:p>
        </w:tc>
        <w:tc>
          <w:tcPr>
            <w:tcW w:w="0" w:type="dxa"/>
            <w:vAlign w:val="bottom"/>
          </w:tcPr>
          <w:p>
            <w:pPr>
              <w:spacing w:after="0"/>
              <w:rPr>
                <w:sz w:val="1"/>
                <w:szCs w:val="1"/>
                <w:color w:val="auto"/>
              </w:rPr>
            </w:pPr>
          </w:p>
        </w:tc>
      </w:tr>
      <w:tr>
        <w:trPr>
          <w:trHeight w:val="230"/>
        </w:trPr>
        <w:tc>
          <w:tcPr>
            <w:tcW w:w="8240" w:type="dxa"/>
            <w:vAlign w:val="bottom"/>
          </w:tcPr>
          <w:p>
            <w:pPr>
              <w:ind w:left="160"/>
              <w:spacing w:after="0"/>
              <w:rPr>
                <w:sz w:val="20"/>
                <w:szCs w:val="20"/>
                <w:color w:val="auto"/>
              </w:rPr>
            </w:pPr>
            <w:r>
              <w:rPr>
                <w:rFonts w:ascii="Arial" w:cs="Arial" w:eastAsia="Arial" w:hAnsi="Arial"/>
                <w:sz w:val="18"/>
                <w:szCs w:val="18"/>
                <w:color w:val="auto"/>
              </w:rPr>
              <w:t>issued and outstanding at September 30, 2021 and December 31, 2020, respectively)</w:t>
            </w: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Common unitholder—Westlake (14,122,230 and 14,122,230 units issued and outstanding</w:t>
            </w: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49,576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48,270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 September 30, 2021 and December 31, 2020, respectively)</w:t>
            </w: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partner—Westlake</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(242,572)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(242,572)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Westlake Chemical Partners LP partners'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277,399</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 in Westlake Chemical OpCo LP ("OpCo")</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623,753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637,738</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904,819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915,137</w:t>
            </w:r>
          </w:p>
        </w:tc>
        <w:tc>
          <w:tcPr>
            <w:tcW w:w="0" w:type="dxa"/>
            <w:vAlign w:val="bottom"/>
          </w:tcPr>
          <w:p>
            <w:pPr>
              <w:spacing w:after="0"/>
              <w:rPr>
                <w:sz w:val="1"/>
                <w:szCs w:val="1"/>
                <w:color w:val="auto"/>
              </w:rPr>
            </w:pPr>
          </w:p>
        </w:tc>
      </w:tr>
      <w:tr>
        <w:trPr>
          <w:trHeight w:val="223"/>
        </w:trPr>
        <w:tc>
          <w:tcPr>
            <w:tcW w:w="8240" w:type="dxa"/>
            <w:vAlign w:val="bottom"/>
          </w:tcPr>
          <w:p>
            <w:pPr>
              <w:ind w:left="680"/>
              <w:spacing w:after="0"/>
              <w:rPr>
                <w:sz w:val="20"/>
                <w:szCs w:val="20"/>
                <w:color w:val="auto"/>
              </w:rPr>
            </w:pPr>
            <w:r>
              <w:rPr>
                <w:rFonts w:ascii="Arial" w:cs="Arial" w:eastAsia="Arial" w:hAnsi="Arial"/>
                <w:sz w:val="18"/>
                <w:szCs w:val="18"/>
                <w:b w:val="1"/>
                <w:bCs w:val="1"/>
                <w:color w:val="auto"/>
              </w:rPr>
              <w:t>Total liabilities and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1,360,562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1,356,488</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87"/>
        </w:trPr>
        <w:tc>
          <w:tcPr>
            <w:tcW w:w="52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8"/>
        </w:trPr>
        <w:tc>
          <w:tcPr>
            <w:tcW w:w="5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20" w:type="dxa"/>
            <w:vAlign w:val="bottom"/>
            <w:gridSpan w:val="9"/>
          </w:tcPr>
          <w:p>
            <w:pPr>
              <w:jc w:val="right"/>
              <w:spacing w:after="0"/>
              <w:rPr>
                <w:sz w:val="20"/>
                <w:szCs w:val="20"/>
                <w:color w:val="auto"/>
              </w:rPr>
            </w:pPr>
            <w:r>
              <w:rPr>
                <w:rFonts w:ascii="Arial" w:cs="Arial" w:eastAsia="Arial" w:hAnsi="Arial"/>
                <w:sz w:val="14"/>
                <w:szCs w:val="14"/>
                <w:b w:val="1"/>
                <w:bCs w:val="1"/>
                <w:color w:val="auto"/>
              </w:rPr>
              <w:t>(in thousands of dollars, except unit amounts and per unit data)</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Net sales—Westlake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247,887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217,763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708,646</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660,022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co-product, ethylene and other sales—third parties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46,079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175,756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60,996</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293,966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231,969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884,402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721,018</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218,038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589,746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427,049</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75,928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100,391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294,656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293,969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24,734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18,590</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68,136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94,136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269,922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275,379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Interest expense—Westlake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(9,701)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65,970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91,833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263,324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266,403</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provision (benefit)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66,075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91,848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262,991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265,995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Less: Net income attributable to noncontrolling interest in OpCo</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53,285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209,956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214,853</w:t>
            </w:r>
          </w:p>
        </w:tc>
        <w:tc>
          <w:tcPr>
            <w:tcW w:w="0" w:type="dxa"/>
            <w:vAlign w:val="bottom"/>
          </w:tcPr>
          <w:p>
            <w:pPr>
              <w:spacing w:after="0"/>
              <w:rPr>
                <w:sz w:val="1"/>
                <w:szCs w:val="1"/>
                <w:color w:val="auto"/>
              </w:rPr>
            </w:pPr>
          </w:p>
        </w:tc>
      </w:tr>
      <w:tr>
        <w:trPr>
          <w:trHeight w:val="156"/>
        </w:trPr>
        <w:tc>
          <w:tcPr>
            <w:tcW w:w="520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6"/>
              </w:rPr>
              <w:t>Net income attributable to Westlake Chemical Partners LP and</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12,790</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18,535</w:t>
            </w:r>
          </w:p>
        </w:tc>
        <w:tc>
          <w:tcPr>
            <w:tcW w:w="100" w:type="dxa"/>
            <w:vAlign w:val="bottom"/>
          </w:tcPr>
          <w:p>
            <w:pPr>
              <w:spacing w:after="0"/>
              <w:rPr>
                <w:sz w:val="13"/>
                <w:szCs w:val="13"/>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53,035</w:t>
            </w:r>
          </w:p>
        </w:tc>
        <w:tc>
          <w:tcPr>
            <w:tcW w:w="100" w:type="dxa"/>
            <w:vAlign w:val="bottom"/>
          </w:tcPr>
          <w:p>
            <w:pPr>
              <w:spacing w:after="0"/>
              <w:rPr>
                <w:sz w:val="13"/>
                <w:szCs w:val="13"/>
                <w:color w:val="auto"/>
              </w:rPr>
            </w:pP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51,142</w:t>
            </w:r>
          </w:p>
        </w:tc>
        <w:tc>
          <w:tcPr>
            <w:tcW w:w="0" w:type="dxa"/>
            <w:vAlign w:val="bottom"/>
          </w:tcPr>
          <w:p>
            <w:pPr>
              <w:spacing w:after="0"/>
              <w:rPr>
                <w:sz w:val="1"/>
                <w:szCs w:val="1"/>
                <w:color w:val="auto"/>
              </w:rPr>
            </w:pPr>
          </w:p>
        </w:tc>
      </w:tr>
      <w:tr>
        <w:trPr>
          <w:trHeight w:val="208"/>
        </w:trPr>
        <w:tc>
          <w:tcPr>
            <w:tcW w:w="520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limited partners' interest in net income</w:t>
            </w:r>
          </w:p>
        </w:tc>
        <w:tc>
          <w:tcPr>
            <w:tcW w:w="24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Net income per limited partner unit attributable to Westlake</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2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b w:val="1"/>
                <w:bCs w:val="1"/>
                <w:color w:val="auto"/>
              </w:rPr>
              <w:t>Chemical Partners LP per limited partner unit (basic and</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Common units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175"/>
        </w:trPr>
        <w:tc>
          <w:tcPr>
            <w:tcW w:w="5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6"/>
              </w:rPr>
              <w:t>Weighted average limited partner units outstanding (basic and</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Common units—publicly and privately held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21,087,746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21,072,315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21,081,379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21,072,315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units—Westlake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14,122,230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14,122,230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14,122,230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14,122,230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6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i w:val="1"/>
                <w:iCs w:val="1"/>
                <w:color w:val="auto"/>
              </w:rPr>
              <w:t>Partnership</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1"/>
                <w:szCs w:val="11"/>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General</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00" w:type="dxa"/>
            <w:vAlign w:val="bottom"/>
          </w:tcPr>
          <w:p>
            <w:pPr>
              <w:spacing w:after="0"/>
              <w:rPr>
                <w:sz w:val="11"/>
                <w:szCs w:val="11"/>
                <w:color w:val="auto"/>
              </w:rPr>
            </w:pPr>
          </w:p>
        </w:tc>
        <w:tc>
          <w:tcPr>
            <w:tcW w:w="10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Unitholders</w:t>
            </w:r>
            <w:r>
              <w:rPr>
                <w:rFonts w:ascii="Arial" w:cs="Arial" w:eastAsia="Arial" w:hAnsi="Arial"/>
                <w:sz w:val="14"/>
                <w:szCs w:val="14"/>
                <w:color w:val="auto"/>
                <w:w w:val="95"/>
              </w:rPr>
              <w:t>—</w:t>
            </w: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Public and</w:t>
            </w:r>
          </w:p>
        </w:tc>
        <w:tc>
          <w:tcPr>
            <w:tcW w:w="10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Unitholder</w:t>
            </w:r>
            <w:r>
              <w:rPr>
                <w:rFonts w:ascii="Arial" w:cs="Arial" w:eastAsia="Arial" w:hAnsi="Arial"/>
                <w:sz w:val="14"/>
                <w:szCs w:val="14"/>
                <w:color w:val="auto"/>
                <w:w w:val="97"/>
              </w:rPr>
              <w:t>—</w:t>
            </w:r>
          </w:p>
        </w:tc>
        <w:tc>
          <w:tcPr>
            <w:tcW w:w="140" w:type="dxa"/>
            <w:vAlign w:val="bottom"/>
          </w:tcPr>
          <w:p>
            <w:pPr>
              <w:spacing w:after="0"/>
              <w:rPr>
                <w:sz w:val="11"/>
                <w:szCs w:val="11"/>
                <w:color w:val="auto"/>
              </w:rPr>
            </w:pPr>
          </w:p>
        </w:tc>
        <w:tc>
          <w:tcPr>
            <w:tcW w:w="92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Partner</w:t>
            </w: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Interests</w:t>
            </w:r>
          </w:p>
        </w:tc>
        <w:tc>
          <w:tcPr>
            <w:tcW w:w="200" w:type="dxa"/>
            <w:vAlign w:val="bottom"/>
          </w:tcPr>
          <w:p>
            <w:pPr>
              <w:spacing w:after="0"/>
              <w:rPr>
                <w:sz w:val="11"/>
                <w:szCs w:val="11"/>
                <w:color w:val="auto"/>
              </w:rPr>
            </w:pPr>
          </w:p>
        </w:tc>
        <w:tc>
          <w:tcPr>
            <w:tcW w:w="7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000" w:type="dxa"/>
            <w:vAlign w:val="bottom"/>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Privately Held</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2"/>
              </w:rPr>
              <w:t>Westlake</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Westlake</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OpCo</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6"/>
          </w:tcPr>
          <w:p>
            <w:pPr>
              <w:ind w:left="600"/>
              <w:spacing w:after="0"/>
              <w:rPr>
                <w:sz w:val="20"/>
                <w:szCs w:val="20"/>
                <w:color w:val="auto"/>
              </w:rPr>
            </w:pPr>
            <w:r>
              <w:rPr>
                <w:rFonts w:ascii="Arial" w:cs="Arial" w:eastAsia="Arial" w:hAnsi="Arial"/>
                <w:sz w:val="14"/>
                <w:szCs w:val="14"/>
                <w:b w:val="1"/>
                <w:bCs w:val="1"/>
                <w:color w:val="auto"/>
                <w:w w:val="93"/>
              </w:rPr>
              <w:t>(in thousands of dollars)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471,701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48,270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w w:val="93"/>
              </w:rPr>
              <w:t>(242,572)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637,738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915,137</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9,069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61,476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76,622</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Quarterly distribution to unitholders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(16,593)</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w w:val="97"/>
              </w:rPr>
              <w:t>Quarterly distribution to noncontrolling interest retained in OpCo by Westlake</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(62,058)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Arial" w:cs="Arial" w:eastAsia="Arial" w:hAnsi="Arial"/>
                <w:sz w:val="18"/>
                <w:szCs w:val="18"/>
                <w:color w:val="auto"/>
                <w:w w:val="92"/>
              </w:rPr>
              <w:t>(62,058)</w:t>
            </w:r>
          </w:p>
        </w:tc>
        <w:tc>
          <w:tcPr>
            <w:tcW w:w="0" w:type="dxa"/>
            <w:vAlign w:val="bottom"/>
          </w:tcPr>
          <w:p>
            <w:pPr>
              <w:spacing w:after="0"/>
              <w:rPr>
                <w:sz w:val="1"/>
                <w:szCs w:val="1"/>
                <w:color w:val="auto"/>
              </w:rPr>
            </w:pPr>
          </w:p>
        </w:tc>
      </w:tr>
      <w:tr>
        <w:trPr>
          <w:trHeight w:val="248"/>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470,834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47,690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93"/>
              </w:rPr>
              <w:t>(242,572)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637,156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913,108</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95,195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120,294</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Units issued for vested phantom units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Quarterly distribution to unitholders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(16,593)</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w w:val="97"/>
              </w:rPr>
              <w:t>Quarterly distribution to noncontrolling interest retained in OpCo by Westlake</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(65,200)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Arial" w:cs="Arial" w:eastAsia="Arial" w:hAnsi="Arial"/>
                <w:sz w:val="18"/>
                <w:szCs w:val="18"/>
                <w:color w:val="auto"/>
                <w:w w:val="92"/>
              </w:rPr>
              <w:t>(65,200)</w:t>
            </w:r>
          </w:p>
        </w:tc>
        <w:tc>
          <w:tcPr>
            <w:tcW w:w="0" w:type="dxa"/>
            <w:vAlign w:val="bottom"/>
          </w:tcPr>
          <w:p>
            <w:pPr>
              <w:spacing w:after="0"/>
              <w:rPr>
                <w:sz w:val="1"/>
                <w:szCs w:val="1"/>
                <w:color w:val="auto"/>
              </w:rPr>
            </w:pPr>
          </w:p>
        </w:tc>
      </w:tr>
      <w:tr>
        <w:trPr>
          <w:trHeight w:val="248"/>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476,076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51,103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93"/>
              </w:rPr>
              <w:t>(242,572)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667,151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951,758</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66,075</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Units issued for vested phantom units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Quarterly distribution to unitholders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(16,593)</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w w:val="97"/>
              </w:rPr>
              <w:t>Quarterly distribution to noncontrolling interest retained in OpCo by Westlake</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(96,683)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Arial" w:cs="Arial" w:eastAsia="Arial" w:hAnsi="Arial"/>
                <w:sz w:val="18"/>
                <w:szCs w:val="18"/>
                <w:color w:val="auto"/>
                <w:w w:val="92"/>
              </w:rPr>
              <w:t>(96,683)</w:t>
            </w:r>
          </w:p>
        </w:tc>
        <w:tc>
          <w:tcPr>
            <w:tcW w:w="0" w:type="dxa"/>
            <w:vAlign w:val="bottom"/>
          </w:tcPr>
          <w:p>
            <w:pPr>
              <w:spacing w:after="0"/>
              <w:rPr>
                <w:sz w:val="1"/>
                <w:szCs w:val="1"/>
                <w:color w:val="auto"/>
              </w:rPr>
            </w:pPr>
          </w:p>
        </w:tc>
      </w:tr>
      <w:tr>
        <w:trPr>
          <w:trHeight w:val="248"/>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474,062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49,576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93"/>
              </w:rPr>
              <w:t>(242,572)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623,753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904,819</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6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i w:val="1"/>
                <w:iCs w:val="1"/>
                <w:color w:val="auto"/>
              </w:rPr>
              <w:t>Partnership</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1"/>
                <w:szCs w:val="11"/>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General</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00" w:type="dxa"/>
            <w:vAlign w:val="bottom"/>
          </w:tcPr>
          <w:p>
            <w:pPr>
              <w:spacing w:after="0"/>
              <w:rPr>
                <w:sz w:val="11"/>
                <w:szCs w:val="11"/>
                <w:color w:val="auto"/>
              </w:rPr>
            </w:pPr>
          </w:p>
        </w:tc>
        <w:tc>
          <w:tcPr>
            <w:tcW w:w="10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Unitholders—</w:t>
            </w: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Public and</w:t>
            </w:r>
          </w:p>
        </w:tc>
        <w:tc>
          <w:tcPr>
            <w:tcW w:w="10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Unitholder—</w:t>
            </w:r>
          </w:p>
        </w:tc>
        <w:tc>
          <w:tcPr>
            <w:tcW w:w="140" w:type="dxa"/>
            <w:vAlign w:val="bottom"/>
          </w:tcPr>
          <w:p>
            <w:pPr>
              <w:spacing w:after="0"/>
              <w:rPr>
                <w:sz w:val="11"/>
                <w:szCs w:val="11"/>
                <w:color w:val="auto"/>
              </w:rPr>
            </w:pPr>
          </w:p>
        </w:tc>
        <w:tc>
          <w:tcPr>
            <w:tcW w:w="92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Partner—</w:t>
            </w:r>
          </w:p>
        </w:tc>
        <w:tc>
          <w:tcPr>
            <w:tcW w:w="180" w:type="dxa"/>
            <w:vAlign w:val="bottom"/>
          </w:tcPr>
          <w:p>
            <w:pPr>
              <w:spacing w:after="0"/>
              <w:rPr>
                <w:sz w:val="11"/>
                <w:szCs w:val="11"/>
                <w:color w:val="auto"/>
              </w:rPr>
            </w:pPr>
          </w:p>
        </w:tc>
        <w:tc>
          <w:tcPr>
            <w:tcW w:w="88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Interests</w:t>
            </w:r>
          </w:p>
        </w:tc>
        <w:tc>
          <w:tcPr>
            <w:tcW w:w="200" w:type="dxa"/>
            <w:vAlign w:val="bottom"/>
          </w:tcPr>
          <w:p>
            <w:pPr>
              <w:spacing w:after="0"/>
              <w:rPr>
                <w:sz w:val="11"/>
                <w:szCs w:val="11"/>
                <w:color w:val="auto"/>
              </w:rPr>
            </w:pPr>
          </w:p>
        </w:tc>
        <w:tc>
          <w:tcPr>
            <w:tcW w:w="7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000" w:type="dxa"/>
            <w:vAlign w:val="bottom"/>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Privately Held</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2"/>
              </w:rPr>
              <w:t>Westlake</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Westlake</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OpCo</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6"/>
          </w:tcPr>
          <w:p>
            <w:pPr>
              <w:ind w:left="600"/>
              <w:spacing w:after="0"/>
              <w:rPr>
                <w:sz w:val="20"/>
                <w:szCs w:val="20"/>
                <w:color w:val="auto"/>
              </w:rPr>
            </w:pPr>
            <w:r>
              <w:rPr>
                <w:rFonts w:ascii="Arial" w:cs="Arial" w:eastAsia="Arial" w:hAnsi="Arial"/>
                <w:sz w:val="14"/>
                <w:szCs w:val="14"/>
                <w:b w:val="1"/>
                <w:bCs w:val="1"/>
                <w:color w:val="auto"/>
                <w:w w:val="93"/>
              </w:rPr>
              <w:t>(in thousands of dollars)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471,736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48,350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w w:val="93"/>
              </w:rPr>
              <w:t>(242,572)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674,621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952,135</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76,023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93,770</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Quarterly distribution to unitholders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(16,591)</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w w:val="97"/>
              </w:rPr>
              <w:t>Quarterly distribution to noncontrolling interest retained in OpCo by Westlake</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(79,223)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Arial" w:cs="Arial" w:eastAsia="Arial" w:hAnsi="Arial"/>
                <w:sz w:val="18"/>
                <w:szCs w:val="18"/>
                <w:color w:val="auto"/>
                <w:w w:val="92"/>
              </w:rPr>
              <w:t>(79,223)</w:t>
            </w:r>
          </w:p>
        </w:tc>
        <w:tc>
          <w:tcPr>
            <w:tcW w:w="0" w:type="dxa"/>
            <w:vAlign w:val="bottom"/>
          </w:tcPr>
          <w:p>
            <w:pPr>
              <w:spacing w:after="0"/>
              <w:rPr>
                <w:sz w:val="1"/>
                <w:szCs w:val="1"/>
                <w:color w:val="auto"/>
              </w:rPr>
            </w:pPr>
          </w:p>
        </w:tc>
      </w:tr>
      <w:tr>
        <w:trPr>
          <w:trHeight w:val="248"/>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472,428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48,814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93"/>
              </w:rPr>
              <w:t>(242,572)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671,421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950,091</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65,517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80,377</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Quarterly distributions to unitholders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(9,933)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Arial" w:cs="Arial" w:eastAsia="Arial" w:hAnsi="Arial"/>
                <w:sz w:val="18"/>
                <w:szCs w:val="18"/>
                <w:color w:val="auto"/>
                <w:w w:val="92"/>
              </w:rPr>
              <w:t>(16,590)</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w w:val="97"/>
              </w:rPr>
              <w:t>Quarterly distribution to noncontrolling interest retained in OpCo by Westlake</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(78,025)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(78,025)</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8"/>
                <w:szCs w:val="18"/>
                <w:b w:val="1"/>
                <w:bCs w:val="1"/>
                <w:color w:val="auto"/>
              </w:rPr>
              <w:t>Balance at June 30,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471,392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48,120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w w:val="93"/>
              </w:rPr>
              <w:t>(242,572)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658,913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935,853</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11,098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73,313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91,848</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Quarterly distributions to unitholders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(16,591)</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w w:val="97"/>
              </w:rPr>
              <w:t>Quarterly distribution to noncontrolling interest retained in OpCo by Westlake</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(72,278)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Arial" w:cs="Arial" w:eastAsia="Arial" w:hAnsi="Arial"/>
                <w:sz w:val="18"/>
                <w:szCs w:val="18"/>
                <w:color w:val="auto"/>
                <w:w w:val="92"/>
              </w:rPr>
              <w:t>(72,278)</w:t>
            </w:r>
          </w:p>
        </w:tc>
        <w:tc>
          <w:tcPr>
            <w:tcW w:w="0" w:type="dxa"/>
            <w:vAlign w:val="bottom"/>
          </w:tcPr>
          <w:p>
            <w:pPr>
              <w:spacing w:after="0"/>
              <w:rPr>
                <w:sz w:val="1"/>
                <w:szCs w:val="1"/>
                <w:color w:val="auto"/>
              </w:rPr>
            </w:pPr>
          </w:p>
        </w:tc>
      </w:tr>
      <w:tr>
        <w:trPr>
          <w:trHeight w:val="248"/>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472,556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48,900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93"/>
              </w:rPr>
              <w:t>(242,572)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659,948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938,832</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7"/>
        </w:trPr>
        <w:tc>
          <w:tcPr>
            <w:tcW w:w="8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18"/>
        </w:trPr>
        <w:tc>
          <w:tcPr>
            <w:tcW w:w="8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(in thousands of dollars)</w:t>
            </w:r>
          </w:p>
        </w:tc>
      </w:tr>
      <w:tr>
        <w:trPr>
          <w:trHeight w:val="235"/>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262,991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265,995</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82,830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77,767</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disposition of property, plant and equipment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Other gains,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(522)</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Accounts receivable—third parties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5,170</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accounts receivable—Westlake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(10,136)</w:t>
            </w: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832</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711</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and other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r>
      <w:tr>
        <w:trPr>
          <w:trHeight w:val="23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w:t>
            </w: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340,876</w:t>
            </w:r>
          </w:p>
        </w:tc>
      </w:tr>
      <w:tr>
        <w:trPr>
          <w:trHeight w:val="21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(29,170)</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Maturities of investments with Westlake under the Investment Management Agreement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276,000</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with Westlake under the Investment Management Agreement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(305,000)</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for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(58,170)</w:t>
            </w:r>
          </w:p>
        </w:tc>
      </w:tr>
      <w:tr>
        <w:trPr>
          <w:trHeight w:val="21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Quarterly distributions to noncontrolling interest retained in OpCo by Westlake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(229,526)</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Quarterly distributions to unitholders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(49,772)</w:t>
            </w: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for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(279,298)</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3,408</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19,923</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23,331</w:t>
            </w: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7280" w:firstLine="8"/>
        <w:spacing w:after="0" w:line="37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Basis of Presentation </w:t>
      </w:r>
      <w:r>
        <w:rPr>
          <w:rFonts w:ascii="Arial" w:cs="Arial" w:eastAsia="Arial" w:hAnsi="Arial"/>
          <w:sz w:val="18"/>
          <w:szCs w:val="18"/>
          <w:b w:val="1"/>
          <w:bCs w:val="1"/>
          <w:i w:val="1"/>
          <w:iCs w:val="1"/>
          <w:color w:val="auto"/>
        </w:rPr>
        <w:t>Description of Business</w:t>
      </w:r>
    </w:p>
    <w:p>
      <w:pPr>
        <w:spacing w:after="0" w:line="30"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Westlake Chemical Partners LP (the "Partnership") is a Delaware limited partnership formed in March 2014 to operate, acquire and develop ethylene production facilities and related assets. On August 4, 2014, the Partnership completed its initial public offering (the "IPO") of 12,937,500 common units representing limited partner interests.</w:t>
      </w:r>
    </w:p>
    <w:p>
      <w:pPr>
        <w:spacing w:after="0" w:line="130" w:lineRule="exact"/>
        <w:rPr>
          <w:sz w:val="20"/>
          <w:szCs w:val="20"/>
          <w:color w:val="auto"/>
        </w:rPr>
      </w:pPr>
    </w:p>
    <w:p>
      <w:pPr>
        <w:ind w:right="160" w:firstLine="405"/>
        <w:spacing w:after="0" w:line="291" w:lineRule="auto"/>
        <w:rPr>
          <w:sz w:val="20"/>
          <w:szCs w:val="20"/>
          <w:color w:val="auto"/>
        </w:rPr>
      </w:pPr>
      <w:r>
        <w:rPr>
          <w:rFonts w:ascii="Arial" w:cs="Arial" w:eastAsia="Arial" w:hAnsi="Arial"/>
          <w:sz w:val="16"/>
          <w:szCs w:val="16"/>
          <w:color w:val="auto"/>
        </w:rPr>
        <w:t>In connection with the IPO, the Partnership acquired a 10.6% limited partner interest in Westlake Chemical OpCo LP ("OpCo") and a 100% interest in Westlake Chemical OpCo GP LLC ("OpCo GP"), which is the general partner of OpCo. OpCo owns three ethylene production facilities and one</w:t>
      </w:r>
    </w:p>
    <w:p>
      <w:pPr>
        <w:ind w:right="20"/>
        <w:spacing w:after="0" w:line="255" w:lineRule="auto"/>
        <w:rPr>
          <w:sz w:val="20"/>
          <w:szCs w:val="20"/>
          <w:color w:val="auto"/>
        </w:rPr>
      </w:pPr>
      <w:r>
        <w:rPr>
          <w:rFonts w:ascii="Arial" w:cs="Arial" w:eastAsia="Arial" w:hAnsi="Arial"/>
          <w:sz w:val="18"/>
          <w:szCs w:val="18"/>
          <w:color w:val="auto"/>
        </w:rPr>
        <w:t>common carrier ethylene pipeline (collectively, the "Contributed Assets"</w:t>
      </w:r>
      <w:r>
        <w:rPr>
          <w:rFonts w:ascii="Arial" w:cs="Arial" w:eastAsia="Arial" w:hAnsi="Arial"/>
          <w:sz w:val="21"/>
          <w:szCs w:val="21"/>
          <w:color w:val="auto"/>
        </w:rPr>
        <w:t>)</w:t>
      </w:r>
      <w:r>
        <w:rPr>
          <w:rFonts w:ascii="Arial" w:cs="Arial" w:eastAsia="Arial" w:hAnsi="Arial"/>
          <w:sz w:val="18"/>
          <w:szCs w:val="18"/>
          <w:color w:val="auto"/>
        </w:rPr>
        <w:t>. Since the IPO, the Partnership has periodically purchased additional limited partner interest in OpCo. Most recently, on March 29, 2019, the Partnership purchased an additional 4.5% newly-issued limited partner interest in OpCo for approximately $201,445, resulting in an aggregate 22.8% limited partner interest in OpCo, effective January 1, 2019. The remaining 77.2% limited partner interest in OpCo is owned by Westlake Chemical Corporation.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ind w:right="200" w:firstLine="405"/>
        <w:spacing w:after="0" w:line="254" w:lineRule="auto"/>
        <w:rPr>
          <w:sz w:val="20"/>
          <w:szCs w:val="20"/>
          <w:color w:val="auto"/>
        </w:rPr>
      </w:pPr>
      <w:r>
        <w:rPr>
          <w:rFonts w:ascii="Arial" w:cs="Arial" w:eastAsia="Arial" w:hAnsi="Arial"/>
          <w:sz w:val="18"/>
          <w:szCs w:val="18"/>
          <w:color w:val="auto"/>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consolidated financial statements and notes thereto of the Partnership included in the annual report on Form 10-K for the fiscal year ended December 31, 2020 (the "2020 Form 10-K"), filed with the SEC on March 2, 2021. These financial statements have been prepared in conformity with the accounting principles and practices as disclosed in the notes to the consolidated financial statements of the Partnership for the fiscal year ended December 31, 2020.</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References to "Westlake" refer collectively to Westlake Chemical Corporation and its subsidiaries, other than the Partnership, OpCo and OpCo GP.</w:t>
      </w:r>
    </w:p>
    <w:p>
      <w:pPr>
        <w:spacing w:after="0" w:line="194"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Partnership holds a 22.8% limited partner interest and the entire non-economic general partner interest in OpCo. The remaining 77.2% limited partner interest in OpCo is owned directly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Westlake's retained interest of 77.2% is recorded as noncontrolling interest in the Partnership's consolidated financial statements.</w:t>
      </w:r>
    </w:p>
    <w:p>
      <w:pPr>
        <w:spacing w:after="0" w:line="12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the opinion of the Partnership's management, the accompanying unaudited consolidated interim financial statements reflect all adjustments (consisting only of normal recurring adjustments) that are necessary for a fair statement of the Partnership's financial position as of September 30, 2021, its results of operations for the three and nine months ended September 30, 2021 and 2020 and the changes in its cash position for the nine months ended September 30, 2021 and 2020.</w:t>
      </w:r>
    </w:p>
    <w:p>
      <w:pPr>
        <w:spacing w:after="0" w:line="133"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Results of operations and changes in cash position for the interim periods presented are not necessarily indicative of the results that will be realized for the fiscal year ending December 31, 2021 or any other interim period. The preparation of financial statements in conformity with U.S. GAAP requires management to make estimates and assumptions that affect the reported amounts of assets, liabilities, revenues and expenses and the disclosure of contingent assets and liabilities. Actual results could differ materially from those estimates.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212529"/>
        </w:rPr>
        <w:t xml:space="preserve">The COVID pandemic resulted in widespread adverse impacts on the global economy in 2020. </w:t>
      </w:r>
      <w:r>
        <w:rPr>
          <w:rFonts w:ascii="Arial" w:cs="Arial" w:eastAsia="Arial" w:hAnsi="Arial"/>
          <w:sz w:val="17"/>
          <w:szCs w:val="17"/>
          <w:color w:val="000000"/>
        </w:rPr>
        <w:t>The Partnership has not experienced significant</w:t>
      </w:r>
      <w:r>
        <w:rPr>
          <w:rFonts w:ascii="Arial" w:cs="Arial" w:eastAsia="Arial" w:hAnsi="Arial"/>
          <w:sz w:val="17"/>
          <w:szCs w:val="17"/>
          <w:color w:val="212529"/>
        </w:rPr>
        <w:t xml:space="preserve"> </w:t>
      </w:r>
      <w:r>
        <w:rPr>
          <w:rFonts w:ascii="Arial" w:cs="Arial" w:eastAsia="Arial" w:hAnsi="Arial"/>
          <w:sz w:val="17"/>
          <w:szCs w:val="17"/>
          <w:color w:val="000000"/>
        </w:rPr>
        <w:t>disruptions to its business operations in 2020 or during the nine months ended September 30, 2021 and does not expect significant disruptions to its business operations resulting from COVID-19. However, the impact that COVID-19 will have on the Partnership's financial condition, results of operations and cash flows cannot be estimated with certainty at this time as it will depend on future developments, including, among others, the timing and logistics with respect to the distribution of vaccines globally and the efficacy of the available vaccines (including with respect to the more recent variants of COVID-19) and other treatments, the ultimate duration of the pandemic, geographic spread and severity of the virus, the consequences of governmental and other measures designed to prevent the spread of the virus, the impact on the operation of OpCo's facilities, Westlake, customers, suppliers and other third parties and the timing and extent to which normal economic and operating conditions resume.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 (ASU No. 2020-04)</w:t>
      </w:r>
    </w:p>
    <w:p>
      <w:pPr>
        <w:spacing w:after="0" w:line="10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March 2020, the FASB issued an accounting standards update to provide optional expedients and exceptions for applying generally accepted accounting principles to contracts, hedging relationships and other transactions affected by reference rate reform if certain criteria are met. The amendments in this update are effective for all entities as of March 12, 2020 through December 31, 2022 and are not expected to have a material impact on the Partnership's consolidated financial position, results of operations and cash flows. Certain exceptions provided under this guidance may be applicable to future reference rate reform related transitions.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Receivable—Third Parties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receivable—third parties consist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2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customers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11,344</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net—third parties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3. Inventories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2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260" w:type="dxa"/>
            <w:vAlign w:val="bottom"/>
          </w:tcPr>
          <w:p>
            <w:pPr>
              <w:ind w:left="460"/>
              <w:spacing w:after="0"/>
              <w:rPr>
                <w:sz w:val="20"/>
                <w:szCs w:val="20"/>
                <w:color w:val="auto"/>
              </w:rPr>
            </w:pPr>
            <w:r>
              <w:rPr>
                <w:rFonts w:ascii="Arial" w:cs="Arial" w:eastAsia="Arial" w:hAnsi="Arial"/>
                <w:sz w:val="18"/>
                <w:szCs w:val="18"/>
                <w:color w:val="auto"/>
              </w:rPr>
              <w:t>Inventories consist of the following:</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7"/>
                <w:szCs w:val="17"/>
                <w:color w:val="auto"/>
              </w:rPr>
            </w:pPr>
          </w:p>
        </w:tc>
        <w:tc>
          <w:tcPr>
            <w:tcW w:w="122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products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Feedstock, additives and chemicals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Plant and Equipment</w:t>
      </w:r>
    </w:p>
    <w:p>
      <w:pPr>
        <w:spacing w:after="0" w:line="108" w:lineRule="exact"/>
        <w:rPr>
          <w:sz w:val="20"/>
          <w:szCs w:val="20"/>
          <w:color w:val="auto"/>
        </w:rPr>
      </w:pPr>
    </w:p>
    <w:p>
      <w:pPr>
        <w:ind w:right="160" w:firstLine="405"/>
        <w:spacing w:after="0" w:line="311" w:lineRule="auto"/>
        <w:rPr>
          <w:sz w:val="20"/>
          <w:szCs w:val="20"/>
          <w:color w:val="auto"/>
        </w:rPr>
      </w:pPr>
      <w:r>
        <w:rPr>
          <w:rFonts w:ascii="Arial" w:cs="Arial" w:eastAsia="Arial" w:hAnsi="Arial"/>
          <w:sz w:val="16"/>
          <w:szCs w:val="16"/>
          <w:color w:val="auto"/>
        </w:rPr>
        <w:t>Depreciation expense on property, plant and equipment of $23,010 and $22,913 is included in cost of sales in the consolidated statements of operations for the three months ended September 30, 2021 and 2020, respectively. Depreciation expense on property, plant and equipment of $68,795 and $68,380 is included in cost of sales in the consolidated statements of operations for the nine months ended September 30, 2021 and 2020,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Deferred Charges and Other Assets</w:t>
      </w:r>
    </w:p>
    <w:p>
      <w:pPr>
        <w:spacing w:after="0" w:line="108"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Amortization expense on other assets of $3,576 and $3,010 is included in costs of sales in the consolidated statements of operations for the three months ended September 30, 2021 and 2020, respectively. Amortization expense on other assets of $14,035 and $9,387 is included in costs of sales in the consolidated statements of operations for the nine months ended September 30, 2021 and 2020, respectively.</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Distributions and Net Income Per Limited Partner Unit</w:t>
      </w:r>
    </w:p>
    <w:p>
      <w:pPr>
        <w:spacing w:after="0" w:line="94"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On November 1, 2021, the board of directors of Westlake Chemical Partners GP LLC ("Westlake GP"), the Partnership's general partner, declared a quarterly cash distribution for the three months ended September 30, 2021 of $0.4714 per unit. This distribution is payable on November 29, 2021 to unitholders of record as of November 12, 2021.</w:t>
      </w:r>
    </w:p>
    <w:p>
      <w:pPr>
        <w:spacing w:after="0" w:line="13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Distributions are declared subsequent to quarter end; therefore, the table below represents total cash distributions declared from earnings of the related periods pertaining to such distributions.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5"/>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87"/>
        </w:trPr>
        <w:tc>
          <w:tcPr>
            <w:tcW w:w="524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8"/>
              </w:rPr>
              <w:t>12,790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51,142</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Limited partners' distribution declared on common units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8"/>
              </w:rPr>
              <w:t>16,600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49,772</w:t>
            </w:r>
          </w:p>
        </w:tc>
        <w:tc>
          <w:tcPr>
            <w:tcW w:w="0" w:type="dxa"/>
            <w:vAlign w:val="bottom"/>
          </w:tcPr>
          <w:p>
            <w:pPr>
              <w:spacing w:after="0"/>
              <w:rPr>
                <w:sz w:val="1"/>
                <w:szCs w:val="1"/>
                <w:color w:val="auto"/>
              </w:rPr>
            </w:pPr>
          </w:p>
        </w:tc>
      </w:tr>
      <w:tr>
        <w:trPr>
          <w:trHeight w:val="155"/>
        </w:trPr>
        <w:tc>
          <w:tcPr>
            <w:tcW w:w="5240" w:type="dxa"/>
            <w:vAlign w:val="bottom"/>
          </w:tcPr>
          <w:p>
            <w:pPr>
              <w:ind w:left="20"/>
              <w:spacing w:after="0" w:line="156" w:lineRule="exact"/>
              <w:rPr>
                <w:sz w:val="20"/>
                <w:szCs w:val="20"/>
                <w:color w:val="auto"/>
              </w:rPr>
            </w:pPr>
            <w:r>
              <w:rPr>
                <w:rFonts w:ascii="Arial" w:cs="Arial" w:eastAsia="Arial" w:hAnsi="Arial"/>
                <w:sz w:val="18"/>
                <w:szCs w:val="18"/>
                <w:color w:val="auto"/>
              </w:rPr>
              <w:t>Net income in excess of distribution (distribution in excess of net</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ind w:left="640"/>
              <w:spacing w:after="0"/>
              <w:rPr>
                <w:sz w:val="20"/>
                <w:szCs w:val="20"/>
                <w:color w:val="auto"/>
              </w:rPr>
            </w:pPr>
            <w:r>
              <w:rPr>
                <w:rFonts w:ascii="Arial" w:cs="Arial" w:eastAsia="Arial" w:hAnsi="Arial"/>
                <w:sz w:val="18"/>
                <w:szCs w:val="18"/>
                <w:color w:val="auto"/>
                <w:w w:val="91"/>
              </w:rPr>
              <w:t>(3,810)</w:t>
            </w:r>
          </w:p>
        </w:tc>
        <w:tc>
          <w:tcPr>
            <w:tcW w:w="120" w:type="dxa"/>
            <w:vAlign w:val="bottom"/>
          </w:tcPr>
          <w:p>
            <w:pPr>
              <w:spacing w:after="0"/>
              <w:rPr>
                <w:sz w:val="13"/>
                <w:szCs w:val="13"/>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3,247</w:t>
            </w:r>
          </w:p>
        </w:tc>
        <w:tc>
          <w:tcPr>
            <w:tcW w:w="100" w:type="dxa"/>
            <w:vAlign w:val="bottom"/>
          </w:tcPr>
          <w:p>
            <w:pPr>
              <w:spacing w:after="0"/>
              <w:rPr>
                <w:sz w:val="13"/>
                <w:szCs w:val="13"/>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08"/>
        </w:trPr>
        <w:tc>
          <w:tcPr>
            <w:tcW w:w="5240" w:type="dxa"/>
            <w:vAlign w:val="bottom"/>
          </w:tcPr>
          <w:p>
            <w:pPr>
              <w:ind w:left="180"/>
              <w:spacing w:after="0" w:line="202" w:lineRule="exact"/>
              <w:rPr>
                <w:sz w:val="20"/>
                <w:szCs w:val="20"/>
                <w:color w:val="auto"/>
              </w:rPr>
            </w:pPr>
            <w:r>
              <w:rPr>
                <w:rFonts w:ascii="Arial" w:cs="Arial" w:eastAsia="Arial" w:hAnsi="Arial"/>
                <w:sz w:val="18"/>
                <w:szCs w:val="18"/>
                <w:color w:val="auto"/>
              </w:rPr>
              <w:t>income)</w:t>
            </w:r>
          </w:p>
        </w:tc>
        <w:tc>
          <w:tcPr>
            <w:tcW w:w="22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20" w:firstLine="405"/>
        <w:spacing w:after="0" w:line="271" w:lineRule="auto"/>
        <w:rPr>
          <w:sz w:val="20"/>
          <w:szCs w:val="20"/>
          <w:color w:val="auto"/>
        </w:rPr>
      </w:pPr>
      <w:r>
        <w:rPr>
          <w:rFonts w:ascii="Arial" w:cs="Arial" w:eastAsia="Arial" w:hAnsi="Arial"/>
          <w:sz w:val="17"/>
          <w:szCs w:val="17"/>
          <w:color w:val="auto"/>
        </w:rPr>
        <w:t>Net income per unit applicable to common limited partner units is computed by dividing the respective limited partners' interest in net income by the weighted-average number of common units outstanding for the period. Because the Partnership has more than one class of participating securities, it uses the two-class method when calculating the net income per unit applicable to limited partners. The classes of participating securities include common units and incentive distribution rights. Net income attributable to the Partnership is allocated to the unitholders in accordance with their respective ownership percentages in preparation of the consolidated statements of changes in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6"/>
          </w:tcPr>
          <w:p>
            <w:pPr>
              <w:jc w:val="center"/>
              <w:ind w:left="737"/>
              <w:spacing w:after="0"/>
              <w:rPr>
                <w:sz w:val="20"/>
                <w:szCs w:val="20"/>
                <w:color w:val="auto"/>
              </w:rPr>
            </w:pPr>
            <w:r>
              <w:rPr>
                <w:rFonts w:ascii="Arial" w:cs="Arial" w:eastAsia="Arial" w:hAnsi="Arial"/>
                <w:sz w:val="14"/>
                <w:szCs w:val="14"/>
                <w:b w:val="1"/>
                <w:bCs w:val="1"/>
                <w:color w:val="auto"/>
                <w:w w:val="92"/>
              </w:rPr>
              <w:t>Three Months Ended September 30, 2021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3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right"/>
              <w:ind w:right="77"/>
              <w:spacing w:after="0" w:line="135" w:lineRule="exact"/>
              <w:rPr>
                <w:sz w:val="20"/>
                <w:szCs w:val="20"/>
                <w:color w:val="auto"/>
              </w:rPr>
            </w:pPr>
            <w:r>
              <w:rPr>
                <w:rFonts w:ascii="Arial" w:cs="Arial" w:eastAsia="Arial" w:hAnsi="Arial"/>
                <w:sz w:val="14"/>
                <w:szCs w:val="14"/>
                <w:b w:val="1"/>
                <w:bCs w:val="1"/>
                <w:color w:val="auto"/>
                <w:w w:val="98"/>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Incentive Distribution</w:t>
            </w:r>
          </w:p>
        </w:tc>
        <w:tc>
          <w:tcPr>
            <w:tcW w:w="500" w:type="dxa"/>
            <w:vAlign w:val="bottom"/>
          </w:tcPr>
          <w:p>
            <w:pPr>
              <w:spacing w:after="0"/>
              <w:rPr>
                <w:sz w:val="11"/>
                <w:szCs w:val="11"/>
                <w:color w:val="auto"/>
              </w:rPr>
            </w:pPr>
          </w:p>
        </w:tc>
        <w:tc>
          <w:tcPr>
            <w:tcW w:w="94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157"/>
              <w:spacing w:after="0"/>
              <w:rPr>
                <w:sz w:val="20"/>
                <w:szCs w:val="20"/>
                <w:color w:val="auto"/>
              </w:rPr>
            </w:pPr>
            <w:r>
              <w:rPr>
                <w:rFonts w:ascii="Arial" w:cs="Arial" w:eastAsia="Arial" w:hAnsi="Arial"/>
                <w:sz w:val="14"/>
                <w:szCs w:val="14"/>
                <w:b w:val="1"/>
                <w:bCs w:val="1"/>
                <w:color w:val="auto"/>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Rights</w:t>
            </w:r>
          </w:p>
        </w:tc>
        <w:tc>
          <w:tcPr>
            <w:tcW w:w="5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2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Arial" w:cs="Arial" w:eastAsia="Arial" w:hAnsi="Arial"/>
                <w:sz w:val="18"/>
                <w:szCs w:val="18"/>
                <w:color w:val="auto"/>
              </w:rPr>
              <w:t>Distribution</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16,600</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16,600</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 in excess of net income</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0" w:type="dxa"/>
            <w:vAlign w:val="bottom"/>
          </w:tcPr>
          <w:p>
            <w:pPr>
              <w:spacing w:after="0"/>
              <w:rPr>
                <w:sz w:val="1"/>
                <w:szCs w:val="1"/>
                <w:color w:val="auto"/>
              </w:rPr>
            </w:pPr>
          </w:p>
        </w:tc>
      </w:tr>
      <w:tr>
        <w:trPr>
          <w:trHeight w:val="223"/>
        </w:trPr>
        <w:tc>
          <w:tcPr>
            <w:tcW w:w="4340" w:type="dxa"/>
            <w:vAlign w:val="bottom"/>
          </w:tcPr>
          <w:p>
            <w:pPr>
              <w:ind w:left="680"/>
              <w:spacing w:after="0"/>
              <w:rPr>
                <w:sz w:val="20"/>
                <w:szCs w:val="20"/>
                <w:color w:val="auto"/>
              </w:rPr>
            </w:pPr>
            <w:r>
              <w:rPr>
                <w:rFonts w:ascii="Arial" w:cs="Arial" w:eastAsia="Arial" w:hAnsi="Arial"/>
                <w:sz w:val="18"/>
                <w:szCs w:val="18"/>
                <w:color w:val="auto"/>
              </w:rPr>
              <w:t>Net income</w:t>
            </w:r>
          </w:p>
        </w:tc>
        <w:tc>
          <w:tcPr>
            <w:tcW w:w="2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12,790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12,790</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units outstanding:</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35,209,976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35,209,976</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limited partner unit:</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0" w:type="dxa"/>
            <w:vAlign w:val="bottom"/>
            <w:vMerge w:val="restart"/>
          </w:tcPr>
          <w:p>
            <w:pPr>
              <w:jc w:val="right"/>
              <w:ind w:right="990"/>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34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6"/>
          </w:tcPr>
          <w:p>
            <w:pPr>
              <w:jc w:val="center"/>
              <w:ind w:left="737"/>
              <w:spacing w:after="0"/>
              <w:rPr>
                <w:sz w:val="20"/>
                <w:szCs w:val="20"/>
                <w:color w:val="auto"/>
              </w:rPr>
            </w:pPr>
            <w:r>
              <w:rPr>
                <w:rFonts w:ascii="Arial" w:cs="Arial" w:eastAsia="Arial" w:hAnsi="Arial"/>
                <w:sz w:val="14"/>
                <w:szCs w:val="14"/>
                <w:b w:val="1"/>
                <w:bCs w:val="1"/>
                <w:color w:val="auto"/>
                <w:w w:val="92"/>
              </w:rPr>
              <w:t>Three Months Ended September 30, 2020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Incentive Distribution</w:t>
            </w:r>
          </w:p>
        </w:tc>
        <w:tc>
          <w:tcPr>
            <w:tcW w:w="500" w:type="dxa"/>
            <w:vAlign w:val="bottom"/>
          </w:tcPr>
          <w:p>
            <w:pPr>
              <w:spacing w:after="0"/>
              <w:rPr>
                <w:sz w:val="11"/>
                <w:szCs w:val="11"/>
                <w:color w:val="auto"/>
              </w:rPr>
            </w:pPr>
          </w:p>
        </w:tc>
        <w:tc>
          <w:tcPr>
            <w:tcW w:w="94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Rights</w:t>
            </w:r>
          </w:p>
        </w:tc>
        <w:tc>
          <w:tcPr>
            <w:tcW w:w="5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Distribution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16,591</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16,591</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in excess of distribution</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23"/>
        </w:trPr>
        <w:tc>
          <w:tcPr>
            <w:tcW w:w="6740" w:type="dxa"/>
            <w:vAlign w:val="bottom"/>
          </w:tcPr>
          <w:p>
            <w:pPr>
              <w:ind w:left="68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18,535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18,535</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units outstanding:</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35,194,545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35,194,545</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limited partner unit:</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9"/>
        </w:trPr>
        <w:tc>
          <w:tcPr>
            <w:tcW w:w="6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6"/>
          </w:tcPr>
          <w:p>
            <w:pPr>
              <w:jc w:val="center"/>
              <w:ind w:left="737"/>
              <w:spacing w:after="0"/>
              <w:rPr>
                <w:sz w:val="20"/>
                <w:szCs w:val="20"/>
                <w:color w:val="auto"/>
              </w:rPr>
            </w:pPr>
            <w:r>
              <w:rPr>
                <w:rFonts w:ascii="Arial" w:cs="Arial" w:eastAsia="Arial" w:hAnsi="Arial"/>
                <w:sz w:val="14"/>
                <w:szCs w:val="14"/>
                <w:b w:val="1"/>
                <w:bCs w:val="1"/>
                <w:color w:val="auto"/>
                <w:w w:val="92"/>
              </w:rPr>
              <w:t>Nine Months Ended September 30, 2021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Incentive Distribution</w:t>
            </w:r>
          </w:p>
        </w:tc>
        <w:tc>
          <w:tcPr>
            <w:tcW w:w="500" w:type="dxa"/>
            <w:vAlign w:val="bottom"/>
          </w:tcPr>
          <w:p>
            <w:pPr>
              <w:spacing w:after="0"/>
              <w:rPr>
                <w:sz w:val="11"/>
                <w:szCs w:val="11"/>
                <w:color w:val="auto"/>
              </w:rPr>
            </w:pPr>
          </w:p>
        </w:tc>
        <w:tc>
          <w:tcPr>
            <w:tcW w:w="94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Rights</w:t>
            </w:r>
          </w:p>
        </w:tc>
        <w:tc>
          <w:tcPr>
            <w:tcW w:w="5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Distribution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49,788</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49,788</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in excess of distribution</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0" w:type="dxa"/>
            <w:vAlign w:val="bottom"/>
          </w:tcPr>
          <w:p>
            <w:pPr>
              <w:spacing w:after="0"/>
              <w:rPr>
                <w:sz w:val="1"/>
                <w:szCs w:val="1"/>
                <w:color w:val="auto"/>
              </w:rPr>
            </w:pPr>
          </w:p>
        </w:tc>
      </w:tr>
      <w:tr>
        <w:trPr>
          <w:trHeight w:val="223"/>
        </w:trPr>
        <w:tc>
          <w:tcPr>
            <w:tcW w:w="6740" w:type="dxa"/>
            <w:vAlign w:val="bottom"/>
          </w:tcPr>
          <w:p>
            <w:pPr>
              <w:ind w:left="68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53,035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53,035</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units outstanding:</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35,203,609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35,203,609</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limited partner unit:</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9"/>
        </w:trPr>
        <w:tc>
          <w:tcPr>
            <w:tcW w:w="6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6"/>
          </w:tcPr>
          <w:p>
            <w:pPr>
              <w:jc w:val="center"/>
              <w:ind w:left="737"/>
              <w:spacing w:after="0"/>
              <w:rPr>
                <w:sz w:val="20"/>
                <w:szCs w:val="20"/>
                <w:color w:val="auto"/>
              </w:rPr>
            </w:pPr>
            <w:r>
              <w:rPr>
                <w:rFonts w:ascii="Arial" w:cs="Arial" w:eastAsia="Arial" w:hAnsi="Arial"/>
                <w:sz w:val="14"/>
                <w:szCs w:val="14"/>
                <w:b w:val="1"/>
                <w:bCs w:val="1"/>
                <w:color w:val="auto"/>
                <w:w w:val="92"/>
              </w:rPr>
              <w:t>Nine Months Ended September 30, 2020</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Incentive Distribution</w:t>
            </w:r>
          </w:p>
        </w:tc>
        <w:tc>
          <w:tcPr>
            <w:tcW w:w="500" w:type="dxa"/>
            <w:vAlign w:val="bottom"/>
          </w:tcPr>
          <w:p>
            <w:pPr>
              <w:spacing w:after="0"/>
              <w:rPr>
                <w:sz w:val="11"/>
                <w:szCs w:val="11"/>
                <w:color w:val="auto"/>
              </w:rPr>
            </w:pPr>
          </w:p>
        </w:tc>
        <w:tc>
          <w:tcPr>
            <w:tcW w:w="94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Rights</w:t>
            </w:r>
          </w:p>
        </w:tc>
        <w:tc>
          <w:tcPr>
            <w:tcW w:w="5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Distribution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49,772</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49,772</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in excess of distribution</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23"/>
        </w:trPr>
        <w:tc>
          <w:tcPr>
            <w:tcW w:w="6740" w:type="dxa"/>
            <w:vAlign w:val="bottom"/>
          </w:tcPr>
          <w:p>
            <w:pPr>
              <w:ind w:left="68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51,142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51,142</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units outstanding:</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35,194,545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35,194,545</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limited partner unit:</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amended Partnership Agreement provides that the Partnership will distribute cash each quarter to all the unitholders, pro rata, until each unit has received a distribution of $1.2938. If cash distributions to the Partnership's unitholders exceed $1.2938 per common unit in any quarter, the Partnership's unitholders and Westlake, as the holder of the Partnership's incentive distribution rights, will receive distributions according to the following percentage allocations: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4"/>
                <w:szCs w:val="14"/>
                <w:b w:val="1"/>
                <w:bCs w:val="1"/>
                <w:color w:val="auto"/>
                <w:w w:val="99"/>
              </w:rPr>
              <w:t>Marginal Percentage Interest in Distributions</w:t>
            </w:r>
          </w:p>
        </w:tc>
      </w:tr>
      <w:tr>
        <w:trPr>
          <w:trHeight w:val="188"/>
        </w:trPr>
        <w:tc>
          <w:tcPr>
            <w:tcW w:w="3960" w:type="dxa"/>
            <w:vAlign w:val="bottom"/>
          </w:tcPr>
          <w:p>
            <w:pPr>
              <w:ind w:left="20"/>
              <w:spacing w:after="0"/>
              <w:rPr>
                <w:sz w:val="20"/>
                <w:szCs w:val="20"/>
                <w:color w:val="auto"/>
              </w:rPr>
            </w:pPr>
            <w:r>
              <w:rPr>
                <w:rFonts w:ascii="Arial" w:cs="Arial" w:eastAsia="Arial" w:hAnsi="Arial"/>
                <w:sz w:val="14"/>
                <w:szCs w:val="14"/>
                <w:b w:val="1"/>
                <w:bCs w:val="1"/>
                <w:color w:val="auto"/>
              </w:rPr>
              <w:t>Total Quarterly Distribution Per Unit</w:t>
            </w:r>
          </w:p>
        </w:tc>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ind w:left="420"/>
              <w:spacing w:after="0"/>
              <w:rPr>
                <w:sz w:val="20"/>
                <w:szCs w:val="20"/>
                <w:color w:val="auto"/>
              </w:rPr>
            </w:pPr>
            <w:r>
              <w:rPr>
                <w:rFonts w:ascii="Arial" w:cs="Arial" w:eastAsia="Arial" w:hAnsi="Arial"/>
                <w:sz w:val="14"/>
                <w:szCs w:val="14"/>
                <w:b w:val="1"/>
                <w:bCs w:val="1"/>
                <w:color w:val="auto"/>
              </w:rPr>
              <w:t>Unitholders</w:t>
            </w:r>
          </w:p>
        </w:tc>
        <w:tc>
          <w:tcPr>
            <w:tcW w:w="1560" w:type="dxa"/>
            <w:vAlign w:val="bottom"/>
          </w:tcPr>
          <w:p>
            <w:pPr>
              <w:jc w:val="right"/>
              <w:ind w:right="295"/>
              <w:spacing w:after="0"/>
              <w:rPr>
                <w:sz w:val="20"/>
                <w:szCs w:val="20"/>
                <w:color w:val="auto"/>
              </w:rPr>
            </w:pPr>
            <w:r>
              <w:rPr>
                <w:rFonts w:ascii="Arial" w:cs="Arial" w:eastAsia="Arial" w:hAnsi="Arial"/>
                <w:sz w:val="14"/>
                <w:szCs w:val="14"/>
                <w:b w:val="1"/>
                <w:bCs w:val="1"/>
                <w:color w:val="auto"/>
              </w:rPr>
              <w:t>IDR Holders</w:t>
            </w:r>
          </w:p>
        </w:tc>
      </w:tr>
      <w:tr>
        <w:trPr>
          <w:trHeight w:val="224"/>
        </w:trPr>
        <w:tc>
          <w:tcPr>
            <w:tcW w:w="3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Above $1.2938 up to $1.4063</w:t>
            </w:r>
          </w:p>
        </w:tc>
        <w:tc>
          <w:tcPr>
            <w:tcW w:w="3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Above $1.4063 up to $1.6875</w:t>
            </w:r>
          </w:p>
        </w:tc>
        <w:tc>
          <w:tcPr>
            <w:tcW w:w="5620" w:type="dxa"/>
            <w:vAlign w:val="bottom"/>
            <w:gridSpan w:val="3"/>
          </w:tcPr>
          <w:p>
            <w:pPr>
              <w:jc w:val="right"/>
              <w:spacing w:after="0"/>
              <w:rPr>
                <w:sz w:val="20"/>
                <w:szCs w:val="20"/>
                <w:color w:val="auto"/>
              </w:rPr>
            </w:pPr>
            <w:r>
              <w:rPr>
                <w:rFonts w:ascii="Arial" w:cs="Arial" w:eastAsia="Arial" w:hAnsi="Arial"/>
                <w:sz w:val="18"/>
                <w:szCs w:val="18"/>
                <w:color w:val="auto"/>
              </w:rPr>
              <w:t>75.0 %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25.0 %</w:t>
            </w: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Above $1.6875</w:t>
            </w:r>
          </w:p>
        </w:tc>
        <w:tc>
          <w:tcPr>
            <w:tcW w:w="5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r>
      <w:tr>
        <w:trPr>
          <w:trHeight w:val="891"/>
        </w:trPr>
        <w:tc>
          <w:tcPr>
            <w:tcW w:w="3960" w:type="dxa"/>
            <w:vAlign w:val="bottom"/>
          </w:tcPr>
          <w:p>
            <w:pPr>
              <w:spacing w:after="0"/>
              <w:rPr>
                <w:sz w:val="24"/>
                <w:szCs w:val="24"/>
                <w:color w:val="auto"/>
              </w:rPr>
            </w:pPr>
          </w:p>
        </w:tc>
        <w:tc>
          <w:tcPr>
            <w:tcW w:w="3940" w:type="dxa"/>
            <w:vAlign w:val="bottom"/>
          </w:tcPr>
          <w:p>
            <w:pPr>
              <w:jc w:val="right"/>
              <w:ind w:right="215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380" w:firstLine="405"/>
        <w:spacing w:after="0" w:line="263" w:lineRule="auto"/>
        <w:rPr>
          <w:sz w:val="20"/>
          <w:szCs w:val="20"/>
          <w:color w:val="auto"/>
        </w:rPr>
      </w:pPr>
      <w:r>
        <w:rPr>
          <w:rFonts w:ascii="Arial" w:cs="Arial" w:eastAsia="Arial" w:hAnsi="Arial"/>
          <w:sz w:val="18"/>
          <w:szCs w:val="18"/>
          <w:color w:val="auto"/>
        </w:rPr>
        <w:t>The Partnership's distribution for the three months ended September 30, 2021 did not exceed the $1.2938 per unit threshold, and, as a result, no distribution was made with respect to the Partnership's incentive distribution rights to Westlake, as the holder of the Partnership's incentive distribution rights.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Per Common Unit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Distributions per common unit for the three and nine months ended September 30, 2021 and 2020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9"/>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7"/>
        </w:trPr>
        <w:tc>
          <w:tcPr>
            <w:tcW w:w="524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r>
      <w:tr>
        <w:trPr>
          <w:trHeight w:val="249"/>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 per common unit</w:t>
            </w:r>
          </w:p>
        </w:tc>
        <w:tc>
          <w:tcPr>
            <w:tcW w:w="840" w:type="dxa"/>
            <w:vAlign w:val="bottom"/>
            <w:tcBorders>
              <w:bottom w:val="single" w:sz="8" w:color="auto"/>
            </w:tcBorders>
            <w:shd w:val="clear" w:color="auto" w:fill="CCEEFF"/>
          </w:tcPr>
          <w:p>
            <w:pPr>
              <w:jc w:val="right"/>
              <w:ind w:right="66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0.4714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1.4142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1.4142</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Partners' Equity</w:t>
      </w:r>
    </w:p>
    <w:p>
      <w:pPr>
        <w:spacing w:after="0" w:line="94"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On October 4, 2018, the Partnership and Westlake Chemical Partners GP LLC, the general partner of the Partnership, entered into an Equity Distribution Agreement with UBS Securities LLC, Barclays Capital Inc., Citigroup Global Markets Inc., Deutsche Bank Securities Inc., RBC Capital Markets, LLC, Merrill Lynch, Pierce, Fenner &amp; Smith Incorporated and Wells Fargo Securities, LLC to offer and sell the Partnership's common units, from time to time, up to an aggregate offering amount of $50,000. The Equity Distribution Agreement was amended on February 28, 2020 to reference a new shelf registration for utilization under this agreement. No common units were issued under this program as of September 30, 2021.</w:t>
      </w:r>
    </w:p>
    <w:p>
      <w:pPr>
        <w:spacing w:after="0" w:line="122"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On March 29, 2019, the Partnership completed the issuance and sale of 2,940,818 common units at a price of $21.40 per unit through a private placement. TTWF LP, Westlake's principal stockholder and a related party, acquired 1,401,869 common units out of 2,940,818 common units issued in the private placement.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108"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Partnership and OpCo regularly enter into related party transactions with Westlake. See below for a description of transactions with related parties.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Related Parties</w:t>
      </w:r>
    </w:p>
    <w:p>
      <w:pPr>
        <w:spacing w:after="0" w:line="104"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OpCo sells ethylene to Westlake under the Ethylene Sales Agreement. Additionally, the Partnership and OpCo from time to time provide other services or products for which it charges Westlake a fee.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Sales to related parties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9"/>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7"/>
        </w:trPr>
        <w:tc>
          <w:tcPr>
            <w:tcW w:w="52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r>
      <w:tr>
        <w:trPr>
          <w:trHeight w:val="249"/>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sales—Westlake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708,646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660,022</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865"/>
        </w:trPr>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839"/>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OpCo declared force majeure events in September 2021 during the Petro 2 facility turnaround, in June 2021 related to OpCo's Petro 1 facility outage, and in February 2021 due to the severe winter storm. As a result of these events, the Partnership updated its estimate of OpCo's 2021 anticipated production as of September 30, 2021. The buyer deficiency fee is measured based upon the lower of the actual production deficiency at period end or the estimated annual production deficiency based upon OpCo's annual anticipated production. Based upon this change in estimate of OpCo's 2021 anticipated production, the Partnership has recognized buyer deficiency fees and shortfall fees of $3,045 and $21,465 during the three and nine months ended September 30, 2021, respectively. The buyer deficiency fees and shortfall fees are classified as a component of net sales.</w:t>
      </w:r>
    </w:p>
    <w:p>
      <w:pPr>
        <w:spacing w:after="0" w:line="43"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During 2020, the Lake Charles Petro 1 and Petro 2 facilities were impacted by Hurricanes Laura and Delta, which resulted in force majeure events under the Ethylene Sales Agreement. As a result of the force majeure events, the Partnership recognized a buyer deficiency fee of $69,555 as a component of net sales in 2020. Payment for the buyer deficiency fee was received by the Partnership in January 2021.</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from Related Parties</w:t>
      </w:r>
    </w:p>
    <w:p>
      <w:pPr>
        <w:spacing w:after="0" w:line="104" w:lineRule="exact"/>
        <w:rPr>
          <w:sz w:val="20"/>
          <w:szCs w:val="20"/>
          <w:color w:val="auto"/>
        </w:rPr>
      </w:pPr>
    </w:p>
    <w:p>
      <w:pPr>
        <w:ind w:right="420" w:firstLine="405"/>
        <w:spacing w:after="0" w:line="308" w:lineRule="auto"/>
        <w:rPr>
          <w:sz w:val="20"/>
          <w:szCs w:val="20"/>
          <w:color w:val="auto"/>
        </w:rPr>
      </w:pPr>
      <w:r>
        <w:rPr>
          <w:rFonts w:ascii="Arial" w:cs="Arial" w:eastAsia="Arial" w:hAnsi="Arial"/>
          <w:sz w:val="17"/>
          <w:szCs w:val="17"/>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 cost of sales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7"/>
        </w:trPr>
        <w:tc>
          <w:tcPr>
            <w:tcW w:w="52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24"/>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Feedstock purchased from Westlake and included in cost of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189,608</w:t>
            </w:r>
          </w:p>
        </w:tc>
      </w:tr>
      <w:tr>
        <w:trPr>
          <w:trHeight w:val="229"/>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charges from Westlake and included in cost of sales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71,164</w:t>
            </w: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397,018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260,772</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from Related Parties Included in Selling, General and Administrative Expenses</w:t>
      </w:r>
    </w:p>
    <w:p>
      <w:pPr>
        <w:spacing w:after="0" w:line="90"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included within selling, general and administrative expenses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9"/>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87"/>
        </w:trPr>
        <w:tc>
          <w:tcPr>
            <w:tcW w:w="524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7"/>
        </w:trPr>
        <w:tc>
          <w:tcPr>
            <w:tcW w:w="524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w w:val="94"/>
              </w:rPr>
              <w:t>Services received from Westlake and included in selling, general and</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6,925</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5,679</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2"/>
              <w:spacing w:after="0"/>
              <w:rPr>
                <w:sz w:val="20"/>
                <w:szCs w:val="20"/>
                <w:color w:val="auto"/>
              </w:rPr>
            </w:pPr>
            <w:r>
              <w:rPr>
                <w:rFonts w:ascii="Arial" w:cs="Arial" w:eastAsia="Arial" w:hAnsi="Arial"/>
                <w:sz w:val="18"/>
                <w:szCs w:val="18"/>
                <w:color w:val="auto"/>
              </w:rPr>
              <w:t>21,837</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16,492</w:t>
            </w:r>
          </w:p>
        </w:tc>
        <w:tc>
          <w:tcPr>
            <w:tcW w:w="0" w:type="dxa"/>
            <w:vAlign w:val="bottom"/>
          </w:tcPr>
          <w:p>
            <w:pPr>
              <w:spacing w:after="0"/>
              <w:rPr>
                <w:sz w:val="1"/>
                <w:szCs w:val="1"/>
                <w:color w:val="auto"/>
              </w:rPr>
            </w:pPr>
          </w:p>
        </w:tc>
      </w:tr>
      <w:tr>
        <w:trPr>
          <w:trHeight w:val="222"/>
        </w:trPr>
        <w:tc>
          <w:tcPr>
            <w:tcW w:w="524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administrative expenses</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Goods and Services from Related Parties Capitalized as Assets</w:t>
      </w:r>
    </w:p>
    <w:p>
      <w:pPr>
        <w:spacing w:after="0" w:line="104"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for goods and services capitalized as assets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9"/>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7"/>
        </w:trPr>
        <w:tc>
          <w:tcPr>
            <w:tcW w:w="524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r>
      <w:tr>
        <w:trPr>
          <w:trHeight w:val="249"/>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Goods and services purchased from Westlake and capitalized as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4,542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865"/>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839"/>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 under the Investment Management Agreement</w:t>
      </w:r>
    </w:p>
    <w:p>
      <w:pPr>
        <w:spacing w:after="0" w:line="90"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On August 1, 2017, the Partnership, OpCo and Westlake executed an investment management agreement (the "Investment Management Agreement") that authorized Westlake to invest the Partnership's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Accrued interest of $81 and $56 was included in the receivable under the Investment Management Agreement balance at September 30, 2021 and December 31, 2020, respectively. Total interest earned related to the Investment Management Agreement was $81 and $69 for the three months ended September 30, 2021 and 2020, respectively, and $225 and $876 for the nine months ended September 30, 2021 and 2020, respectively.</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Partnership's receivable under the Investment Management Agreement was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2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24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 under the Investment Management Agreement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196,252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123,228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from Related Parties</w:t>
      </w:r>
    </w:p>
    <w:p>
      <w:pPr>
        <w:spacing w:after="0" w:line="104"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The Partnership's accounts receivable from Westlake result primarily from ethylene sales to Westlake and the buyer deficiency fee and shortfall fee recognized under the Ethylene Sales Agreement, as discussed above under "Sales to Related Parties." The buyer deficiency fee and shortfall fee recognized in the nine months ended September 30, 2021 are scheduled to be received by the Partnership after the end of 2021.</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Partnership's accounts receivable from Westlake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2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24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receivable—Westlake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57,020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108,028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Payable to Related Parties</w:t>
      </w:r>
    </w:p>
    <w:p>
      <w:pPr>
        <w:spacing w:after="0" w:line="104"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Partnership's accounts payable to Westlake result primarily from feedstock purchases under the Feedstock Supply Agreement and services provided under the Services and Secondment Agreement and the Omnibus Agreement.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related party accounts payable balances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2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24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payable—Westlake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13,259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7,855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Leases</w:t>
      </w:r>
    </w:p>
    <w:p>
      <w:pPr>
        <w:spacing w:after="0" w:line="90"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OpCo is obligated to Westlake under various long-term and short-term noncancelable operating leases, primarily related to rail car leases and land. Operating lease rentals paid to Westlake for such leases were $997 and $407 for the three months ended September 30, 2021 and 2020, respectively, and $2,292 and $1,803 for the nine months ended September 30, 2021 and 2020, respectively, and reflected in other charges from Westlake that are included in cost of sales.</w:t>
      </w:r>
    </w:p>
    <w:p>
      <w:pPr>
        <w:spacing w:after="0" w:line="6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OpCo has two site lease agreements with Westlake, each of which has a term of 50 years. Pursuant to the site lease agreements, OpCo pays Westlake one dollar per site per year.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Payable to Related Parties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9 for a description of related party debt payable balances.</w:t>
      </w:r>
    </w:p>
    <w:p>
      <w:pPr>
        <w:spacing w:after="0" w:line="10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Interest on related party debt payable balances for the three months ended September 30, 2021 and 2020 was $2,190 and $2,320, respectively. Interest on related party debt payable balances for the nine months ended September 30, 2021 and 2020 was $6,650 and $9,701, respectively. Interest on related party debt payable is presented as interest expense—Westlake in the consolidated statements of operations. At September 30, 2021 and December 31, 2020, accrued interest on related party debt was $2,193 and $2,336, respectively, and is reflected as a component of accrued liabilities in the consolidated balance sheets.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payable to related parties was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2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24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payable to Westlake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399,674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399,674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Major Customer and Concentration of Credit Risk</w:t>
      </w:r>
    </w:p>
    <w:p>
      <w:pPr>
        <w:spacing w:after="0" w:line="104"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During the three months ended September 30, 2021 and 2020, Westlake accounted for approximately 84.3% and 93.9%, respectively, of the Partnership's net sales. During the nine months ended September 30, 2021 and 2020, Westlake accounted for approximately 80.1% and 91.5%, respectively, of the Partnership's net sales.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 Payable to Westlake</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 payable to Westlake consists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7"/>
        </w:trPr>
        <w:tc>
          <w:tcPr>
            <w:tcW w:w="826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w w:val="99"/>
              </w:rPr>
              <w:t>OpCo Revolver (variable interest rate of London Interbank Offered Rate ("LIBOR") plus 2.0%, scheduled</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22,619</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22,619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maturity of September 25, 2023)</w:t>
            </w:r>
          </w:p>
        </w:tc>
        <w:tc>
          <w:tcPr>
            <w:tcW w:w="20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MLP Revolver (variable interest rate of LIBOR plus 2.0%, scheduled maturity of March 19, 2023)</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377,055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377,055</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399,674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weighted average interest rate on all long-term debt was 2.1% and 2.2% at September 30, 2021 and December 31, 2020, respectively.</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September 30, 2021, the Partnership was in compliance with all of the covenants under the OpCo Revolver and the MLP Revolver.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108"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The Partnership has financial assets and liabilities subject to fair value measures. These financial assets and liabilities include cash and cash equivalents, accounts receivable, net, accounts payable and long-term debt payable to Westlake, all of which are recorded at carrying value. The amounts reported in the consolidated balance sheets for accounts receivable, net and accounts payable approximate their fair value due to the short maturities of these instruments. The carrying and fair values of the Partnership's long-term debt at September 30, 2021 and December 31, 2020 are summarized in the table below. The Partnership's long-term debt includes the OpCo Revolver and the MLP Revolver at September 30, 2021. The fair value of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600"/>
              <w:spacing w:after="0"/>
              <w:rPr>
                <w:sz w:val="20"/>
                <w:szCs w:val="20"/>
                <w:color w:val="auto"/>
              </w:rPr>
            </w:pPr>
            <w:r>
              <w:rPr>
                <w:rFonts w:ascii="Arial" w:cs="Arial" w:eastAsia="Arial" w:hAnsi="Arial"/>
                <w:sz w:val="14"/>
                <w:szCs w:val="14"/>
                <w:b w:val="1"/>
                <w:bCs w:val="1"/>
                <w:color w:val="auto"/>
              </w:rPr>
              <w:t>September 30, 2021</w:t>
            </w:r>
          </w:p>
        </w:tc>
        <w:tc>
          <w:tcPr>
            <w:tcW w:w="2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900" w:type="dxa"/>
            <w:vAlign w:val="bottom"/>
          </w:tcPr>
          <w:p>
            <w:pPr>
              <w:spacing w:after="0"/>
              <w:rPr>
                <w:sz w:val="16"/>
                <w:szCs w:val="16"/>
                <w:color w:val="auto"/>
              </w:rPr>
            </w:pPr>
          </w:p>
        </w:tc>
      </w:tr>
      <w:tr>
        <w:trPr>
          <w:trHeight w:val="134"/>
        </w:trPr>
        <w:tc>
          <w:tcPr>
            <w:tcW w:w="5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Carrying</w:t>
            </w:r>
          </w:p>
        </w:tc>
        <w:tc>
          <w:tcPr>
            <w:tcW w:w="3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239"/>
              <w:spacing w:after="0" w:line="135"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7"/>
              </w:rPr>
              <w:t>Carrying</w:t>
            </w:r>
          </w:p>
        </w:tc>
        <w:tc>
          <w:tcPr>
            <w:tcW w:w="5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499"/>
              <w:spacing w:after="0" w:line="135" w:lineRule="exact"/>
              <w:rPr>
                <w:sz w:val="20"/>
                <w:szCs w:val="20"/>
                <w:color w:val="auto"/>
              </w:rPr>
            </w:pPr>
            <w:r>
              <w:rPr>
                <w:rFonts w:ascii="Arial" w:cs="Arial" w:eastAsia="Arial" w:hAnsi="Arial"/>
                <w:sz w:val="14"/>
                <w:szCs w:val="14"/>
                <w:b w:val="1"/>
                <w:bCs w:val="1"/>
                <w:color w:val="auto"/>
              </w:rPr>
              <w:t>Fair</w:t>
            </w:r>
          </w:p>
        </w:tc>
      </w:tr>
      <w:tr>
        <w:trPr>
          <w:trHeight w:val="188"/>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32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540" w:type="dxa"/>
            <w:vAlign w:val="bottom"/>
          </w:tcPr>
          <w:p>
            <w:pPr>
              <w:spacing w:after="0"/>
              <w:rPr>
                <w:sz w:val="16"/>
                <w:szCs w:val="16"/>
                <w:color w:val="auto"/>
              </w:rPr>
            </w:pPr>
          </w:p>
        </w:tc>
        <w:tc>
          <w:tcPr>
            <w:tcW w:w="900" w:type="dxa"/>
            <w:vAlign w:val="bottom"/>
          </w:tcPr>
          <w:p>
            <w:pPr>
              <w:jc w:val="right"/>
              <w:ind w:right="459"/>
              <w:spacing w:after="0"/>
              <w:rPr>
                <w:sz w:val="20"/>
                <w:szCs w:val="20"/>
                <w:color w:val="auto"/>
              </w:rPr>
            </w:pPr>
            <w:r>
              <w:rPr>
                <w:rFonts w:ascii="Arial" w:cs="Arial" w:eastAsia="Arial" w:hAnsi="Arial"/>
                <w:sz w:val="14"/>
                <w:szCs w:val="14"/>
                <w:b w:val="1"/>
                <w:bCs w:val="1"/>
                <w:color w:val="auto"/>
                <w:w w:val="90"/>
              </w:rPr>
              <w:t>Value</w:t>
            </w:r>
          </w:p>
        </w:tc>
      </w:tr>
      <w:tr>
        <w:trPr>
          <w:trHeight w:val="224"/>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OpCo Revolver</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22,619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22,619</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23,301</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MLP Revolver</w:t>
            </w:r>
          </w:p>
        </w:tc>
        <w:tc>
          <w:tcPr>
            <w:tcW w:w="260" w:type="dxa"/>
            <w:vAlign w:val="bottom"/>
          </w:tcPr>
          <w:p>
            <w:pPr>
              <w:spacing w:after="0"/>
              <w:rPr>
                <w:sz w:val="20"/>
                <w:szCs w:val="20"/>
                <w:color w:val="auto"/>
              </w:rPr>
            </w:pPr>
          </w:p>
        </w:tc>
        <w:tc>
          <w:tcPr>
            <w:tcW w:w="1160" w:type="dxa"/>
            <w:vAlign w:val="bottom"/>
          </w:tcPr>
          <w:p>
            <w:pPr>
              <w:jc w:val="right"/>
              <w:ind w:right="1"/>
              <w:spacing w:after="0"/>
              <w:rPr>
                <w:sz w:val="20"/>
                <w:szCs w:val="20"/>
                <w:color w:val="auto"/>
              </w:rPr>
            </w:pPr>
            <w:r>
              <w:rPr>
                <w:rFonts w:ascii="Arial" w:cs="Arial" w:eastAsia="Arial" w:hAnsi="Arial"/>
                <w:sz w:val="18"/>
                <w:szCs w:val="18"/>
                <w:color w:val="auto"/>
              </w:rPr>
              <w:t>377,055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385,426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1"/>
              <w:spacing w:after="0"/>
              <w:rPr>
                <w:sz w:val="20"/>
                <w:szCs w:val="20"/>
                <w:color w:val="auto"/>
              </w:rPr>
            </w:pPr>
            <w:r>
              <w:rPr>
                <w:rFonts w:ascii="Arial" w:cs="Arial" w:eastAsia="Arial" w:hAnsi="Arial"/>
                <w:sz w:val="18"/>
                <w:szCs w:val="18"/>
                <w:color w:val="auto"/>
              </w:rPr>
              <w:t>377,055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383,284</w:t>
            </w:r>
          </w:p>
        </w:tc>
      </w:tr>
    </w:tbl>
    <w:p>
      <w:pPr>
        <w:spacing w:after="0" w:line="318" w:lineRule="exact"/>
        <w:rPr>
          <w:sz w:val="20"/>
          <w:szCs w:val="20"/>
          <w:color w:val="auto"/>
        </w:rPr>
      </w:pPr>
    </w:p>
    <w:p>
      <w:pPr>
        <w:ind w:right="8920" w:firstLine="8"/>
        <w:spacing w:after="0" w:line="398" w:lineRule="auto"/>
        <w:tabs>
          <w:tab w:leader="none" w:pos="26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Information </w:t>
      </w:r>
      <w:r>
        <w:rPr>
          <w:rFonts w:ascii="Arial" w:cs="Arial" w:eastAsia="Arial" w:hAnsi="Arial"/>
          <w:sz w:val="16"/>
          <w:szCs w:val="16"/>
          <w:b w:val="1"/>
          <w:bCs w:val="1"/>
          <w:i w:val="1"/>
          <w:iCs w:val="1"/>
          <w:color w:val="auto"/>
        </w:rPr>
        <w:t>Accrued and Other Liabilities</w:t>
      </w:r>
    </w:p>
    <w:p>
      <w:pPr>
        <w:spacing w:after="0" w:line="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Accrued and other liabilities were $24,527 and $18,768 at September 30, 2021 and December 31, 2020, respectively. Accrued taxes, accrued maintenance expense, accrued turnaround costs and accrued capital expenditures, which are components of accrued liabilities, were $4,784, $5,438, $3,330 and $4,832, respectively, at September 30, 2021 and $6,207, $3,905, $0 and $2,286, respectively, at December 31, 2020. No other component of accrued and other liabilities was more than five percent of total current liabilities.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Investing Activity</w:t>
      </w:r>
    </w:p>
    <w:p>
      <w:pPr>
        <w:spacing w:after="0" w:line="104"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non-cash investing activities related to accruals for capital expenditures were $3,663 and $1,945 for the nine months ended September 30, 2021 and 2020,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75" w:lineRule="exact"/>
        <w:rPr>
          <w:sz w:val="20"/>
          <w:szCs w:val="20"/>
          <w:color w:val="auto"/>
        </w:rPr>
      </w:pPr>
    </w:p>
    <w:p>
      <w:pPr>
        <w:ind w:right="120" w:firstLine="405"/>
        <w:spacing w:after="0" w:line="290" w:lineRule="auto"/>
        <w:rPr>
          <w:sz w:val="20"/>
          <w:szCs w:val="20"/>
          <w:color w:val="auto"/>
        </w:rPr>
      </w:pPr>
      <w:r>
        <w:rPr>
          <w:rFonts w:ascii="Arial" w:cs="Arial" w:eastAsia="Arial" w:hAnsi="Arial"/>
          <w:sz w:val="16"/>
          <w:szCs w:val="16"/>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("RCRA"),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Westlake will indemnify the Partnership for liabilities that occurred or existed prior to August 4, 2014.</w:t>
      </w:r>
    </w:p>
    <w:p>
      <w:pPr>
        <w:spacing w:after="0" w:line="111"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On September 27, 2021, shortly after the turnaround on Petro 2 commenced, there was a flash fire at the quench tower of the Petro 2 facility. Several contractors working on the quench tower were injured. There are five lawsuits pending in connection with the flash fire.</w:t>
      </w:r>
    </w:p>
    <w:p>
      <w:pPr>
        <w:spacing w:after="0" w:line="116"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Partnership is also involved in other legal proceedings incidental to the conduct of its business. The Partnership does not believe that any of these legal proceedings will have a material adverse effect on its financial condition, results of operations or cash flows.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This Management's Discussion and Analysis of Financial Condition and Results of Operations section should be read in conjunction with the accompanying consolidated financial statements and the notes thereto and the consolidated financial statements and notes thereto included in Westlake Chemical Partners LP's annual report on Form 10-K for the fiscal year ended December 31, 2020 (the "2020 Form 10-K"), as filed with the SEC on March 2, 2021. Unless otherwise indicated, references in this report to "we," "our," "us" or like terms, refer to Westlake Chemical Partners LP (the "Partnership"), Westlake Chemical OpCo LP ("OpCo") and Westlake Chemical OpCo GP LLC ("OpCo GP"). References to "Westlake" refer to Westlake Chemical Corporation and its consolidated subsidiaries other than the Partnership, OpCo GP and OpCo. The following discussion contains forward-looking statements. Please read "Forward-Looking Statements" for a discussion of limitations inherent in such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Overview</w:t>
      </w:r>
    </w:p>
    <w:p>
      <w:pPr>
        <w:spacing w:after="0" w:line="108"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We are a Delaware limited partnership formed by Westlake to operate, acquire and develop ethylene production facilities and related assets. On August 4, 2014, we closed our initial public offering (the "IPO") of 12,937,500 common units. In connection with the IPO, we acquired a 10.6% interest in OpCo and a 100% interest in OpCo GP, which is the general partner of OpCo. On April 29, 2015, we purchased an additional 2.7% newly-issued limited partner interest in OpCo, resulting in an aggregate 13.3% limited partner interest in OpCo, effective April 1, 2015. The 12,686,115 subordinated units of the Partnership, all of which were previously owned by Westlake, were converted into common units of the Partnership on August 30, 2017. On September 29, 2017, we completed a secondary public offering of 5,175,000 common units and purchased an additional 5.0% newly-issued limited partner interest in OpCo, resulting in an aggregate 18.3% limited partner interest in OpCo, effective July 1, 2017. On March 29, 2019, we completed a private placement of 2,940,818 common units and used the net proceeds to purchase an additional 4.5% interest in OpCo, effective January 1, 2019, resulting in us owning an aggregate 22.8% limited partner interest in OpCo.</w:t>
      </w:r>
    </w:p>
    <w:p>
      <w:pPr>
        <w:spacing w:after="0" w:line="127"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Our sole revenue generating asset is our 22.8% limited partner interest in OpCo, a limited partnership formed by Westlake and us in anticipation of the IPO to own and operate an ethylene production business. We control OpCo through our ownership of its general partner. Westlake retains the remaining 77.2% limited partner interest in OpCo as well as a significant interest in us through its ownership of our general partner, 40.1% of our limited partner units (consisting of 14,122,230 common units)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w:t>
      </w:r>
    </w:p>
    <w:p>
      <w:pPr>
        <w:spacing w:after="0" w:line="108"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We generate revenue primarily by selling ethylene and the resulting co-products we produce. OpCo and Westlake have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 Pursuant to the Ethylene Sales Agreement, Westlake's obligation to pay for the annual minimum commitment (95% of OpCo's budgeted ethylene production), which is measured on an annual basis, is not reduced for the first 45 days of a force majeure event, but is reduced for the portion of a force majeure event extending beyond the 45th day. In the event of a force majeure event, we recognize buyer deficiency fees representing fixed margin and unavoided operating and maintenance capital expenditures and maintenance expenses associated with ethylene that OpCo would have produced and is not expected to be produced based on anticipated production. Payment for the buyer deficiency fee is scheduled to be received by the Partnership after the conclusion of the year.</w:t>
      </w:r>
    </w:p>
    <w:p>
      <w:pPr>
        <w:spacing w:after="0" w:line="118"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 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generally recognized during the period in which the related operating, maintenance or turnaround activities occur.</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Maintenance Capital Expenditures and Turnaround Costs</w:t>
      </w:r>
    </w:p>
    <w:p>
      <w:pPr>
        <w:spacing w:after="0" w:line="94"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w:t>
      </w:r>
    </w:p>
    <w:p>
      <w:pPr>
        <w:spacing w:after="0" w:line="124" w:lineRule="exact"/>
        <w:rPr>
          <w:sz w:val="20"/>
          <w:szCs w:val="20"/>
          <w:color w:val="auto"/>
        </w:rPr>
      </w:pPr>
    </w:p>
    <w:p>
      <w:pPr>
        <w:ind w:right="180" w:firstLine="405"/>
        <w:spacing w:after="0" w:line="289" w:lineRule="auto"/>
        <w:rPr>
          <w:sz w:val="20"/>
          <w:szCs w:val="20"/>
          <w:color w:val="auto"/>
        </w:rPr>
      </w:pPr>
      <w:r>
        <w:rPr>
          <w:rFonts w:ascii="Arial" w:cs="Arial" w:eastAsia="Arial" w:hAnsi="Arial"/>
          <w:sz w:val="16"/>
          <w:szCs w:val="16"/>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 may directly affect our profitability and cash flows. The impact on profitability is partially mitigated by the fact that we generally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MLP Distributable Cash Flow and EBITDA</w:t>
      </w:r>
    </w:p>
    <w:p>
      <w:pPr>
        <w:spacing w:after="0" w:line="108" w:lineRule="exact"/>
        <w:rPr>
          <w:sz w:val="20"/>
          <w:szCs w:val="20"/>
          <w:color w:val="auto"/>
        </w:rPr>
      </w:pPr>
    </w:p>
    <w:p>
      <w:pPr>
        <w:ind w:right="80" w:firstLine="405"/>
        <w:spacing w:after="0" w:line="285" w:lineRule="auto"/>
        <w:rPr>
          <w:sz w:val="20"/>
          <w:szCs w:val="20"/>
          <w:color w:val="auto"/>
        </w:rPr>
      </w:pPr>
      <w:r>
        <w:rPr>
          <w:rFonts w:ascii="Arial" w:cs="Arial" w:eastAsia="Arial" w:hAnsi="Arial"/>
          <w:sz w:val="16"/>
          <w:szCs w:val="16"/>
          <w:color w:val="auto"/>
        </w:rPr>
        <w:t>The body of accounting principles generally accepted in the United States is commonly referred to as "GAAP." For this purpose, a non-GAAP financial measure is generally defined by the Securities and Exchange Commission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We use the non-GAAP measures of MLP distributable cash flow and EBITDA to analyze our performance. We define distributable cash flow as net income plus depreciation, amortization and disposition of property, plant and equipment, less contributions for turnaround reserves, maintenance capital expenditures and mark-to-market adjustment on derivative contracts.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We use each of MLP distributable cash flow and EBITDA to analyze our performance. Fees for a buyer deficiency and Shortfall are included in net income in the periods in which they are recognized. MLP distributable cash flow and EBITDA are non-GAAP supplemental financial measures that management and external users of our consolidated financial statements, such as industry analysts, investors, lenders and rating agencies, may use to assess our operating performance as compared to other publicly-traded partnerships; our ability to incur and service debt and fund capital expenditures; and the viability of acquisitions and other capital expenditure projects and the returns on investment of various investment opportunities.</w:t>
      </w:r>
    </w:p>
    <w:p>
      <w:pPr>
        <w:spacing w:after="0" w:line="122"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MLP distributable cash flow is not a substitute for the GAAP measures of net income and net cash provided by operating activities. MLP distributable cash flow has important limitations as an analytical tool because it excludes some but not all items that affect net income and net cash provided by operating activities. EBITDA is not a substitute for the GAAP measures of net income, income from operations and net cash provided by operating activities. In addition, it should be noted that companies calculate EBITDA differently and, therefore, EBITDA as presented for us may not be comparable to EBITDA reported by other companies. EBITDA has material limitations as a performance measure because it excludes interest expense, depreciation and amortization, and income taxes. Reconciliations for each of MLP distributable cash flow and EBITDA are included in the "Results of Operations" section below.</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Developments Affecting Industry Conditions and Our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Industry Conditions and Our Business</w:t>
      </w:r>
    </w:p>
    <w:p>
      <w:pPr>
        <w:spacing w:after="0" w:line="104"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 xml:space="preserve">On March 11, 2020, the World Health Organization declared the ongoing coronavirus (COVID-19) outbreak a pandemic and recommended containment and mitigation measures worldwide. </w:t>
      </w:r>
      <w:r>
        <w:rPr>
          <w:rFonts w:ascii="Arial" w:cs="Arial" w:eastAsia="Arial" w:hAnsi="Arial"/>
          <w:sz w:val="16"/>
          <w:szCs w:val="16"/>
          <w:color w:val="212529"/>
        </w:rPr>
        <w:t>The pandemic</w:t>
      </w:r>
      <w:r>
        <w:rPr>
          <w:rFonts w:ascii="Arial" w:cs="Arial" w:eastAsia="Arial" w:hAnsi="Arial"/>
          <w:sz w:val="16"/>
          <w:szCs w:val="16"/>
          <w:color w:val="auto"/>
        </w:rPr>
        <w:t xml:space="preserve"> has resulted in widespread adverse impacts on the global economy and on our employees, customers and suppliers. We have not experienced significant disruptions to our business operations and do not expect to experience </w:t>
      </w:r>
      <w:r>
        <w:rPr>
          <w:rFonts w:ascii="Arial" w:cs="Arial" w:eastAsia="Arial" w:hAnsi="Arial"/>
          <w:sz w:val="16"/>
          <w:szCs w:val="16"/>
          <w:color w:val="212529"/>
        </w:rPr>
        <w:t>significant disruptions</w:t>
      </w:r>
      <w:r>
        <w:rPr>
          <w:rFonts w:ascii="Arial" w:cs="Arial" w:eastAsia="Arial" w:hAnsi="Arial"/>
          <w:sz w:val="16"/>
          <w:szCs w:val="16"/>
          <w:color w:val="auto"/>
        </w:rPr>
        <w:t xml:space="preserve"> </w:t>
      </w:r>
      <w:r>
        <w:rPr>
          <w:rFonts w:ascii="Arial" w:cs="Arial" w:eastAsia="Arial" w:hAnsi="Arial"/>
          <w:sz w:val="16"/>
          <w:szCs w:val="16"/>
          <w:color w:val="212529"/>
        </w:rPr>
        <w:t>to our business operations resulting from COVID-19, primarily due to the fact that 95% of our production is sold to Westlake on a take-or-pay contract.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OpCo's Petro 2 Turnaround</w:t>
      </w:r>
    </w:p>
    <w:p>
      <w:pPr>
        <w:spacing w:after="0" w:line="9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September 2021, we commenced our planned major maintenance activities, or turnaround, of OpCo's Petro 2 ethylene unit in Lake Charles, Louisiana. The turnaround was originally expected to conclude in November. On September 27, 2021, shortly after the turnaround commenced, there was a flash fire at the quench tower of the Petro 2 facility. Several contractors working on the quench tower were injured. Although there was no sustained fire or offsite impact resulting from the incident and the quench tower did not sustain significant damage, due to the subsequent investigation by the Occupational Safety and Health Administration, the duration of the turnaround has been extended and is now expected to conclude in December. There are five lawsuits pending in connection with the flash fire.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Force Majeure Events</w:t>
      </w:r>
    </w:p>
    <w:p>
      <w:pPr>
        <w:spacing w:after="0" w:line="104"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OpCo declared force majeure events in September 2021 during the Petro 2 facility turnaround, in June 2021 related to OpCo's Petro 1 facility outage, and in February 2021 due to the severe winter storm. As a result of these force majeure events and the commencement of OpCo's Petro 2 ethylene unit turnaround in September 2021, the Partnership updated its estimate of OpCo's 2021 anticipated production as of September 30, 2021. The buyer deficiency fee is measured based upon the lower of the actual production deficiency at period end or the estimated annual production deficiency based upon OpCo's annual anticipated production. Based upon this change in estimate of OpCo's 2021 anticipated production, the Partnership has recognized buyer deficiency fees and Shortfall of $3.0 million and $21.5 million during the three and nine months ended September 30, 2021, respectively. The buyer deficiency fees and Shortfall are classified as a component of net sales.</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84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7"/>
        </w:trPr>
        <w:tc>
          <w:tcPr>
            <w:tcW w:w="486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8"/>
        </w:trPr>
        <w:tc>
          <w:tcPr>
            <w:tcW w:w="4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80" w:type="dxa"/>
            <w:vAlign w:val="bottom"/>
            <w:gridSpan w:val="5"/>
          </w:tcPr>
          <w:p>
            <w:pPr>
              <w:ind w:left="54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20"/>
              <w:spacing w:after="0"/>
              <w:rPr>
                <w:sz w:val="20"/>
                <w:szCs w:val="20"/>
                <w:color w:val="auto"/>
              </w:rPr>
            </w:pPr>
            <w:r>
              <w:rPr>
                <w:rFonts w:ascii="Arial" w:cs="Arial" w:eastAsia="Arial" w:hAnsi="Arial"/>
                <w:sz w:val="18"/>
                <w:szCs w:val="18"/>
                <w:color w:val="auto"/>
              </w:rPr>
              <w:t>Net sales—Westlake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247,887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217,763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708,646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660,022</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co-product, ethylene and other sales—third parties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46,079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14,206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175,756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60,996</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28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293,966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231,969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884,402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721,018</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218,038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131,578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589,746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427,049</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75,928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100,391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294,656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293,969</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7,792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6,255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24,734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18,590</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68,136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94,136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269,922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275,379</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20"/>
              <w:spacing w:after="0"/>
              <w:rPr>
                <w:sz w:val="20"/>
                <w:szCs w:val="20"/>
                <w:color w:val="auto"/>
              </w:rPr>
            </w:pPr>
            <w:r>
              <w:rPr>
                <w:rFonts w:ascii="Arial" w:cs="Arial" w:eastAsia="Arial" w:hAnsi="Arial"/>
                <w:sz w:val="18"/>
                <w:szCs w:val="18"/>
                <w:color w:val="auto"/>
              </w:rPr>
              <w:t>Interest expense—Westlake</w:t>
            </w:r>
          </w:p>
        </w:tc>
        <w:tc>
          <w:tcPr>
            <w:tcW w:w="280" w:type="dxa"/>
            <w:vAlign w:val="bottom"/>
          </w:tcPr>
          <w:p>
            <w:pPr>
              <w:spacing w:after="0"/>
              <w:rPr>
                <w:sz w:val="19"/>
                <w:szCs w:val="19"/>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(2,190)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(2,320)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(6,650)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(9,701)</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65,970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91,833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263,324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266,403</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provision (benefit)</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66,075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91,848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262,991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265,995</w:t>
            </w:r>
          </w:p>
        </w:tc>
        <w:tc>
          <w:tcPr>
            <w:tcW w:w="0" w:type="dxa"/>
            <w:vAlign w:val="bottom"/>
          </w:tcPr>
          <w:p>
            <w:pPr>
              <w:spacing w:after="0"/>
              <w:rPr>
                <w:sz w:val="1"/>
                <w:szCs w:val="1"/>
                <w:color w:val="auto"/>
              </w:rPr>
            </w:pPr>
          </w:p>
        </w:tc>
      </w:tr>
      <w:tr>
        <w:trPr>
          <w:trHeight w:val="176"/>
        </w:trPr>
        <w:tc>
          <w:tcPr>
            <w:tcW w:w="48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Less: Net income attributable to noncontrolling interest in</w:t>
            </w:r>
          </w:p>
        </w:tc>
        <w:tc>
          <w:tcPr>
            <w:tcW w:w="2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53,285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73,313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209,956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214,853</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OpCo</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w w:val="97"/>
              </w:rPr>
              <w:t>Net income attributable to Westlake Chemical Partners LP</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12,790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18,535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53,035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51,142</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MLP distributable cash flow </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12,977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21,188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54,760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56,380</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line="229"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3"/>
                <w:szCs w:val="23"/>
                <w:color w:val="auto"/>
                <w:vertAlign w:val="superscript"/>
              </w:rPr>
              <w:t>(2)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94,746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120,076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352,804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353,871</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____________</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80" w:hanging="254"/>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"Reconciliation of MLP Distributable Cash Flow to Net Income and Net Cash Provided by Operating Activities" below.</w:t>
      </w:r>
    </w:p>
    <w:p>
      <w:pPr>
        <w:spacing w:after="0" w:line="76" w:lineRule="exact"/>
        <w:rPr>
          <w:rFonts w:ascii="Arial" w:cs="Arial" w:eastAsia="Arial" w:hAnsi="Arial"/>
          <w:sz w:val="18"/>
          <w:szCs w:val="18"/>
          <w:color w:val="auto"/>
        </w:rPr>
      </w:pPr>
    </w:p>
    <w:p>
      <w:pPr>
        <w:ind w:left="280" w:hanging="254"/>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"Reconciliation of EBITDA to Net Income, Income from Operations and Net Cash Provided by Operating Activities" below.</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3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Three Months Ended September 30, 2021</w:t>
            </w:r>
          </w:p>
        </w:tc>
        <w:tc>
          <w:tcPr>
            <w:tcW w:w="100" w:type="dxa"/>
            <w:vAlign w:val="bottom"/>
          </w:tcPr>
          <w:p>
            <w:pPr>
              <w:spacing w:after="0"/>
              <w:rPr>
                <w:sz w:val="16"/>
                <w:szCs w:val="16"/>
                <w:color w:val="auto"/>
              </w:rPr>
            </w:pPr>
          </w:p>
        </w:tc>
        <w:tc>
          <w:tcPr>
            <w:tcW w:w="314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rPr>
              <w:t>Nine Months Ended September 30, 2021</w:t>
            </w:r>
          </w:p>
        </w:tc>
        <w:tc>
          <w:tcPr>
            <w:tcW w:w="0" w:type="dxa"/>
            <w:vAlign w:val="bottom"/>
          </w:tcPr>
          <w:p>
            <w:pPr>
              <w:spacing w:after="0"/>
              <w:rPr>
                <w:sz w:val="1"/>
                <w:szCs w:val="1"/>
                <w:color w:val="auto"/>
              </w:rPr>
            </w:pPr>
          </w:p>
        </w:tc>
      </w:tr>
      <w:tr>
        <w:trPr>
          <w:trHeight w:val="135"/>
        </w:trPr>
        <w:tc>
          <w:tcPr>
            <w:tcW w:w="4860" w:type="dxa"/>
            <w:vAlign w:val="bottom"/>
          </w:tcPr>
          <w:p>
            <w:pPr>
              <w:spacing w:after="0"/>
              <w:rPr>
                <w:sz w:val="11"/>
                <w:szCs w:val="11"/>
                <w:color w:val="auto"/>
              </w:rPr>
            </w:pPr>
          </w:p>
        </w:tc>
        <w:tc>
          <w:tcPr>
            <w:tcW w:w="16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Average</w:t>
            </w:r>
          </w:p>
        </w:tc>
        <w:tc>
          <w:tcPr>
            <w:tcW w:w="162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Volume</w:t>
            </w:r>
          </w:p>
        </w:tc>
        <w:tc>
          <w:tcPr>
            <w:tcW w:w="16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Average</w:t>
            </w:r>
          </w:p>
        </w:tc>
        <w:tc>
          <w:tcPr>
            <w:tcW w:w="152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88"/>
        </w:trPr>
        <w:tc>
          <w:tcPr>
            <w:tcW w:w="4860" w:type="dxa"/>
            <w:vAlign w:val="bottom"/>
          </w:tcPr>
          <w:p>
            <w:pPr>
              <w:spacing w:after="0"/>
              <w:rPr>
                <w:sz w:val="16"/>
                <w:szCs w:val="16"/>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Sales Price</w:t>
            </w:r>
          </w:p>
        </w:tc>
        <w:tc>
          <w:tcPr>
            <w:tcW w:w="1620" w:type="dxa"/>
            <w:vAlign w:val="bottom"/>
            <w:gridSpan w:val="2"/>
            <w:vMerge w:val="continue"/>
          </w:tcPr>
          <w:p>
            <w:pPr>
              <w:spacing w:after="0"/>
              <w:rPr>
                <w:sz w:val="16"/>
                <w:szCs w:val="16"/>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Sales Price</w:t>
            </w: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86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w w:val="95"/>
              </w:rPr>
              <w:t>Product sales prices and volume percentage change from prior-</w:t>
            </w:r>
          </w:p>
        </w:tc>
        <w:tc>
          <w:tcPr>
            <w:tcW w:w="1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+30.3 %</w:t>
            </w:r>
          </w:p>
        </w:tc>
        <w:tc>
          <w:tcPr>
            <w:tcW w:w="10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+22.3 %</w:t>
            </w:r>
          </w:p>
        </w:tc>
        <w:tc>
          <w:tcPr>
            <w:tcW w:w="10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+27.6 %</w:t>
            </w:r>
          </w:p>
        </w:tc>
        <w:tc>
          <w:tcPr>
            <w:tcW w:w="10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year period</w:t>
            </w:r>
          </w:p>
        </w:tc>
        <w:tc>
          <w:tcPr>
            <w:tcW w:w="1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4860" w:type="dxa"/>
            <w:vAlign w:val="bottom"/>
          </w:tcPr>
          <w:p>
            <w:pPr>
              <w:spacing w:after="0"/>
              <w:rPr>
                <w:sz w:val="24"/>
                <w:szCs w:val="24"/>
                <w:color w:val="auto"/>
              </w:rPr>
            </w:pPr>
          </w:p>
        </w:tc>
        <w:tc>
          <w:tcPr>
            <w:tcW w:w="32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Three Months Ended September 30,</w:t>
            </w:r>
          </w:p>
        </w:tc>
        <w:tc>
          <w:tcPr>
            <w:tcW w:w="3140" w:type="dxa"/>
            <w:vAlign w:val="bottom"/>
            <w:gridSpan w:val="3"/>
          </w:tcPr>
          <w:p>
            <w:pPr>
              <w:jc w:val="right"/>
              <w:ind w:right="416"/>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7"/>
        </w:trPr>
        <w:tc>
          <w:tcPr>
            <w:tcW w:w="4860" w:type="dxa"/>
            <w:vAlign w:val="bottom"/>
            <w:tcBorders>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top w:val="single" w:sz="8" w:color="auto"/>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top w:val="single" w:sz="8" w:color="auto"/>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4860" w:type="dxa"/>
            <w:vAlign w:val="bottom"/>
            <w:shd w:val="clear" w:color="auto" w:fill="CCEEFF"/>
          </w:tcPr>
          <w:p>
            <w:pPr>
              <w:ind w:left="20"/>
              <w:spacing w:after="0" w:line="211" w:lineRule="exact"/>
              <w:rPr>
                <w:sz w:val="20"/>
                <w:szCs w:val="20"/>
                <w:color w:val="auto"/>
              </w:rPr>
            </w:pPr>
            <w:r>
              <w:rPr>
                <w:rFonts w:ascii="Arial" w:cs="Arial" w:eastAsia="Arial" w:hAnsi="Arial"/>
                <w:sz w:val="18"/>
                <w:szCs w:val="18"/>
                <w:b w:val="1"/>
                <w:bCs w:val="1"/>
                <w:color w:val="auto"/>
              </w:rPr>
              <w:t xml:space="preserve">Average industry prices </w:t>
            </w:r>
            <w:r>
              <w:rPr>
                <w:rFonts w:ascii="Arial" w:cs="Arial" w:eastAsia="Arial" w:hAnsi="Arial"/>
                <w:sz w:val="23"/>
                <w:szCs w:val="23"/>
                <w:b w:val="1"/>
                <w:bCs w:val="1"/>
                <w:color w:val="auto"/>
                <w:vertAlign w:val="superscript"/>
              </w:rPr>
              <w:t>(1)</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Ethane (cents/lb)</w:t>
            </w:r>
          </w:p>
        </w:tc>
        <w:tc>
          <w:tcPr>
            <w:tcW w:w="1520" w:type="dxa"/>
            <w:vAlign w:val="bottom"/>
          </w:tcPr>
          <w:p>
            <w:pPr>
              <w:jc w:val="right"/>
              <w:ind w:right="14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1520" w:type="dxa"/>
            <w:vAlign w:val="bottom"/>
          </w:tcPr>
          <w:p>
            <w:pPr>
              <w:jc w:val="right"/>
              <w:ind w:right="136"/>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520" w:type="dxa"/>
            <w:vAlign w:val="bottom"/>
          </w:tcPr>
          <w:p>
            <w:pPr>
              <w:jc w:val="right"/>
              <w:ind w:right="14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520" w:type="dxa"/>
            <w:vAlign w:val="bottom"/>
          </w:tcPr>
          <w:p>
            <w:pPr>
              <w:jc w:val="right"/>
              <w:ind w:right="136"/>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Propane (cents/lb)</w:t>
            </w:r>
          </w:p>
        </w:tc>
        <w:tc>
          <w:tcPr>
            <w:tcW w:w="152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304"/>
        </w:trPr>
        <w:tc>
          <w:tcPr>
            <w:tcW w:w="4860" w:type="dxa"/>
            <w:vAlign w:val="bottom"/>
          </w:tcPr>
          <w:p>
            <w:pPr>
              <w:ind w:left="20"/>
              <w:spacing w:after="0"/>
              <w:rPr>
                <w:sz w:val="20"/>
                <w:szCs w:val="20"/>
                <w:color w:val="auto"/>
              </w:rPr>
            </w:pPr>
            <w:r>
              <w:rPr>
                <w:rFonts w:ascii="Arial" w:cs="Arial" w:eastAsia="Arial" w:hAnsi="Arial"/>
                <w:sz w:val="18"/>
                <w:szCs w:val="18"/>
                <w:color w:val="auto"/>
              </w:rPr>
              <w:t xml:space="preserve">Ethylene (cents/lb) </w:t>
            </w:r>
            <w:r>
              <w:rPr>
                <w:rFonts w:ascii="Arial" w:cs="Arial" w:eastAsia="Arial" w:hAnsi="Arial"/>
                <w:sz w:val="23"/>
                <w:szCs w:val="23"/>
                <w:color w:val="auto"/>
                <w:vertAlign w:val="superscript"/>
              </w:rPr>
              <w:t>(2)</w:t>
            </w:r>
          </w:p>
        </w:tc>
        <w:tc>
          <w:tcPr>
            <w:tcW w:w="1520" w:type="dxa"/>
            <w:vAlign w:val="bottom"/>
          </w:tcPr>
          <w:p>
            <w:pPr>
              <w:jc w:val="right"/>
              <w:ind w:right="14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4"/>
                <w:szCs w:val="24"/>
                <w:color w:val="auto"/>
              </w:rPr>
            </w:pPr>
          </w:p>
        </w:tc>
        <w:tc>
          <w:tcPr>
            <w:tcW w:w="1520" w:type="dxa"/>
            <w:vAlign w:val="bottom"/>
          </w:tcPr>
          <w:p>
            <w:pPr>
              <w:jc w:val="right"/>
              <w:ind w:right="136"/>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4"/>
                <w:szCs w:val="24"/>
                <w:color w:val="auto"/>
              </w:rPr>
            </w:pPr>
          </w:p>
        </w:tc>
        <w:tc>
          <w:tcPr>
            <w:tcW w:w="1520" w:type="dxa"/>
            <w:vAlign w:val="bottom"/>
          </w:tcPr>
          <w:p>
            <w:pPr>
              <w:jc w:val="right"/>
              <w:ind w:right="14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4"/>
                <w:szCs w:val="24"/>
                <w:color w:val="auto"/>
              </w:rPr>
            </w:pPr>
          </w:p>
        </w:tc>
        <w:tc>
          <w:tcPr>
            <w:tcW w:w="1520" w:type="dxa"/>
            <w:vAlign w:val="bottom"/>
          </w:tcPr>
          <w:p>
            <w:pPr>
              <w:jc w:val="right"/>
              <w:ind w:right="136"/>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w:t>
      </w:r>
    </w:p>
    <w:p>
      <w:pPr>
        <w:spacing w:after="0" w:line="55" w:lineRule="exact"/>
        <w:rPr>
          <w:sz w:val="20"/>
          <w:szCs w:val="20"/>
          <w:color w:val="auto"/>
        </w:rPr>
      </w:pPr>
    </w:p>
    <w:p>
      <w:pPr>
        <w:ind w:left="480" w:hanging="472"/>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Industry pricing data was obtained through IHS Markit ("IHS"). We have not independently verified the data.</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average North American spot prices of ethylene over the period as reported by IHS.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MLP Distributable Cash Flow to Net Income and Net Cash Provided by Operating Activities</w:t>
      </w:r>
    </w:p>
    <w:p>
      <w:pPr>
        <w:spacing w:after="0" w:line="94"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following table presents reconciliations of MLP distributable cash flow to net income and net cash provided by operating activities, the most directly comparable GAAP financial measures, for each of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87"/>
        </w:trPr>
        <w:tc>
          <w:tcPr>
            <w:tcW w:w="524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8"/>
        </w:trPr>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5"/>
          </w:tcPr>
          <w:p>
            <w:pPr>
              <w:ind w:left="46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99,459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117,157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386,577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340,876</w:t>
            </w: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rPr>
              <w:t>Loss from disposition of fixed assets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 and other</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(73,881)</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66,075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265,995</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360"/>
              <w:spacing w:after="0" w:line="176" w:lineRule="exact"/>
              <w:rPr>
                <w:sz w:val="20"/>
                <w:szCs w:val="20"/>
                <w:color w:val="auto"/>
              </w:rPr>
            </w:pPr>
            <w:r>
              <w:rPr>
                <w:rFonts w:ascii="Arial" w:cs="Arial" w:eastAsia="Arial" w:hAnsi="Arial"/>
                <w:sz w:val="18"/>
                <w:szCs w:val="18"/>
                <w:color w:val="auto"/>
                <w:w w:val="95"/>
              </w:rPr>
              <w:t>Depreciation, amortization and disposition of property, plant and</w:t>
            </w:r>
          </w:p>
        </w:tc>
        <w:tc>
          <w:tcPr>
            <w:tcW w:w="2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26,958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26,476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84,590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78,767</w:t>
            </w:r>
          </w:p>
        </w:tc>
        <w:tc>
          <w:tcPr>
            <w:tcW w:w="0" w:type="dxa"/>
            <w:vAlign w:val="bottom"/>
          </w:tcPr>
          <w:p>
            <w:pPr>
              <w:spacing w:after="0"/>
              <w:rPr>
                <w:sz w:val="1"/>
                <w:szCs w:val="1"/>
                <w:color w:val="auto"/>
              </w:rPr>
            </w:pPr>
          </w:p>
        </w:tc>
      </w:tr>
      <w:tr>
        <w:trPr>
          <w:trHeight w:val="230"/>
        </w:trPr>
        <w:tc>
          <w:tcPr>
            <w:tcW w:w="5240" w:type="dxa"/>
            <w:vAlign w:val="bottom"/>
          </w:tcPr>
          <w:p>
            <w:pPr>
              <w:ind w:left="520"/>
              <w:spacing w:after="0"/>
              <w:rPr>
                <w:sz w:val="20"/>
                <w:szCs w:val="20"/>
                <w:color w:val="auto"/>
              </w:rPr>
            </w:pPr>
            <w:r>
              <w:rPr>
                <w:rFonts w:ascii="Arial" w:cs="Arial" w:eastAsia="Arial" w:hAnsi="Arial"/>
                <w:sz w:val="18"/>
                <w:szCs w:val="18"/>
                <w:color w:val="auto"/>
              </w:rPr>
              <w:t>equipment</w:t>
            </w:r>
          </w:p>
        </w:tc>
        <w:tc>
          <w:tcPr>
            <w:tcW w:w="2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Mark-to-market adjustment loss (gain) on derivative contracts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Contribution to turnaround reserves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(29,697)</w:t>
            </w: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rPr>
              <w:t>Maintenance capital expenditures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(41,433)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(25,858)</w:t>
            </w: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8"/>
              </w:rPr>
              <w:t>Distributable cash flow attributable to noncontrolling interest in</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(53,915)</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(82,309)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(215,798)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(232,612)</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OpCo</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MLP distributable cash flow</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56,380</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EBITDA to Net Income, Income from Operations and Net Cash Provided by Operating Activities</w:t>
      </w:r>
    </w:p>
    <w:p>
      <w:pPr>
        <w:spacing w:after="0" w:line="108"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following table presents reconciliations of EBITDA to net income, income from operations and net cash provided by operating activities, the most directly comparable GAAP financial measures, for each of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7"/>
        </w:trPr>
        <w:tc>
          <w:tcPr>
            <w:tcW w:w="52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18"/>
        </w:trPr>
        <w:tc>
          <w:tcPr>
            <w:tcW w:w="5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5"/>
          </w:tcPr>
          <w:p>
            <w:pPr>
              <w:ind w:left="48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99,459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117,157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386,577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340,876</w:t>
            </w:r>
          </w:p>
        </w:tc>
      </w:tr>
      <w:tr>
        <w:trPr>
          <w:trHeight w:val="230"/>
        </w:trPr>
        <w:tc>
          <w:tcPr>
            <w:tcW w:w="5220" w:type="dxa"/>
            <w:vAlign w:val="bottom"/>
          </w:tcPr>
          <w:p>
            <w:pPr>
              <w:ind w:left="360"/>
              <w:spacing w:after="0"/>
              <w:rPr>
                <w:sz w:val="20"/>
                <w:szCs w:val="20"/>
                <w:color w:val="auto"/>
              </w:rPr>
            </w:pPr>
            <w:r>
              <w:rPr>
                <w:rFonts w:ascii="Arial" w:cs="Arial" w:eastAsia="Arial" w:hAnsi="Arial"/>
                <w:sz w:val="18"/>
                <w:szCs w:val="18"/>
                <w:color w:val="auto"/>
              </w:rPr>
              <w:t>Loss from disposition of fixed assets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 and other</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(73,881)</w:t>
            </w:r>
          </w:p>
        </w:tc>
      </w:tr>
      <w:tr>
        <w:trPr>
          <w:trHeight w:val="223"/>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91,848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265,995</w:t>
            </w:r>
          </w:p>
        </w:tc>
      </w:tr>
      <w:tr>
        <w:trPr>
          <w:trHeight w:val="20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5220" w:type="dxa"/>
            <w:vAlign w:val="bottom"/>
          </w:tcPr>
          <w:p>
            <w:pPr>
              <w:ind w:left="36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725</w:t>
            </w:r>
          </w:p>
        </w:tc>
      </w:tr>
      <w:tr>
        <w:trPr>
          <w:trHeight w:val="230"/>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(9,701)</w:t>
            </w:r>
          </w:p>
        </w:tc>
      </w:tr>
      <w:tr>
        <w:trPr>
          <w:trHeight w:val="230"/>
        </w:trPr>
        <w:tc>
          <w:tcPr>
            <w:tcW w:w="5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Benefit (Provision) for income taxes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275,379</w:t>
            </w:r>
          </w:p>
        </w:tc>
      </w:tr>
      <w:tr>
        <w:trPr>
          <w:trHeight w:val="210"/>
        </w:trPr>
        <w:tc>
          <w:tcPr>
            <w:tcW w:w="5220" w:type="dxa"/>
            <w:vAlign w:val="bottom"/>
          </w:tcPr>
          <w:p>
            <w:pPr>
              <w:ind w:left="20"/>
              <w:spacing w:after="0"/>
              <w:rPr>
                <w:sz w:val="20"/>
                <w:szCs w:val="20"/>
                <w:color w:val="auto"/>
              </w:rPr>
            </w:pPr>
            <w:r>
              <w:rPr>
                <w:rFonts w:ascii="Arial" w:cs="Arial" w:eastAsia="Arial" w:hAnsi="Arial"/>
                <w:sz w:val="18"/>
                <w:szCs w:val="18"/>
                <w:color w:val="auto"/>
              </w:rPr>
              <w:t>Add:</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77,767</w:t>
            </w:r>
          </w:p>
        </w:tc>
      </w:tr>
      <w:tr>
        <w:trPr>
          <w:trHeight w:val="230"/>
        </w:trPr>
        <w:tc>
          <w:tcPr>
            <w:tcW w:w="5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352,804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353,871</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825"/>
        </w:trPr>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83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04"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For the quarter ended September 30, 2021, net income was $66.1 million on net sales of $294.0 million. This represents a decrease in net income of $25.7 million as compared to net income of $91.8 million on net sales of $232.0 million for the quarter ended September 30, 2020. Net income attributable to the Partnership for the third quarter of 2021 was $12.8 million as compared to $18.5 million for the third quarter of 2020, a decrease of $5.7 million. Income from operations was $68.1 million for the third quarter of 2021 as compared to $94.1 million for the third quarter of 2020. Net income, net income attributable to the Partnership and the operating income for the third quarter of 2021 as compared to the third quarter of 2020 were lower primarily due to decreased sales volumes to third parties and higher ethane feedstock and natural gas costs, partially offset by increased sales prices and volumes to Westlake. Net income, net income attributable to the partnership and income from operations for the third quarter of 2020 were also higher as compared to the current quarter because of a buyer deficiency fee of $41.3 million recognized in the third quarter of 2020 due to force majeure events in that period. Net sales for the third quarter of 2021 increased by $62.0 million as compared to net sales for the third quarter of 2020, mainly due to higher production during the current quarter resulting in higher sales volumes to Westlake and higher sales prices to Westlake and third parties, partially offset by lower sales volumes to third parties and the buyer deficiency fee of $41.3 million recognized during the third quarter of 2020.</w:t>
      </w:r>
    </w:p>
    <w:p>
      <w:pPr>
        <w:spacing w:after="0" w:line="37"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For the nine months ended September 30, 2021, net income was $263.0 million on net sales of $884.4 million. This represents a decrease in net income of $3.0 million as compared to net income of $266.0 million on net sales of $721.0 million for the nine months ended September 30, 2020. Income from operations was $269.9 million for the nine months ended September 30, 2021 as compared to $275.4 million for the nine months ended September 30, 2020. Net income and the income from operations for the nine months ended September 30, 2021 as compared to the nine months ended September 30, 2020 were lower due to decreased sales volumes to Westlake and higher ethane feedstock and natural gas costs, partially offset by increased sales prices and volumes to third parties, and increased sales prices to Westlake. A buyer deficiency fee and Shortfall totaling $21.5 million per the terms of the Ethylene Sales Agreement with Westlake was recognized in the nine months ended September 30, 2021 as compared to the buyer deficiency fee of $41.3 million recognized in the nine months ended September 30, 2020. Net income attributable to the Partnership for the nine months ended September 30, 2021 was $53.0 million as compared to $51.1 million for the nine months ended September 30, 2020, an increase of $1.9 million. The higher net income attributable to the Partnership for the nine months ended September 30, 2021 as compared to the nine months ended September 30, 2020 was primarily due to lower interest expense in the nine months ended September 30, 2021. Net sales for the nine months ended September 30, 2021 increased by $163.4 million as compared to net sales for the nine months ended September 30, 2020, mainly due to higher sales prices and volumes to third parties and higher sales price to Westlake, as well as the buyer deficiency fee and Shortfall recognized during the nine months ended September 30, 2021, partially offset by the buyer deficiency fee recognized during the first nine months of 2020 and lower sales volumes to Westlake during the nine months ended September 30, 2021.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2021 Compared with Third Quarter 2020</w:t>
      </w:r>
    </w:p>
    <w:p>
      <w:pPr>
        <w:spacing w:after="0" w:line="90"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Total net sales increased by $62.0 million, or 26.7%, to $294.0 million in the third quarter of 2021 from $232.0 million in the third quarter</w:t>
      </w:r>
      <w:r>
        <w:rPr>
          <w:rFonts w:ascii="Arial" w:cs="Arial" w:eastAsia="Arial" w:hAnsi="Arial"/>
          <w:sz w:val="17"/>
          <w:szCs w:val="17"/>
          <w:i w:val="1"/>
          <w:iCs w:val="1"/>
          <w:color w:val="auto"/>
        </w:rPr>
        <w:t xml:space="preserve"> </w:t>
      </w:r>
      <w:r>
        <w:rPr>
          <w:rFonts w:ascii="Arial" w:cs="Arial" w:eastAsia="Arial" w:hAnsi="Arial"/>
          <w:sz w:val="17"/>
          <w:szCs w:val="17"/>
          <w:color w:val="auto"/>
        </w:rPr>
        <w:t>of 2020. The increase in net sales in the third quarter of 2021 was primarily due to higher sales prices and volumes to Westlake, higher sales prices to third parties, partially offset by lower sales volumes to third parties and the buyer deficiency fee recognized during the third quarter of 2020. The average sales price in the third quarter of 2021 contributed to a 30.3% increase in net sales, primarily due to higher ethylene sales prices to third parties and Westlake per the terms of the Ethylene Sales Agreement. The average sales volume in the third quarter of 2021 contributed to a 22.3% increase in net sales, primarily due to higher production resulting in increased sales volumes to Westlake as compared to the third quarter of 2020.</w:t>
      </w:r>
    </w:p>
    <w:p>
      <w:pPr>
        <w:spacing w:after="0" w:line="124"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decreased to $75.9 million for the third quarter of 2021 from $100.4 million for the third quarter of 2020. The gross profit</w:t>
      </w:r>
      <w:r>
        <w:rPr>
          <w:rFonts w:ascii="Arial" w:cs="Arial" w:eastAsia="Arial" w:hAnsi="Arial"/>
          <w:sz w:val="16"/>
          <w:szCs w:val="16"/>
          <w:i w:val="1"/>
          <w:iCs w:val="1"/>
          <w:color w:val="auto"/>
        </w:rPr>
        <w:t xml:space="preserve"> </w:t>
      </w:r>
      <w:r>
        <w:rPr>
          <w:rFonts w:ascii="Arial" w:cs="Arial" w:eastAsia="Arial" w:hAnsi="Arial"/>
          <w:sz w:val="16"/>
          <w:szCs w:val="16"/>
          <w:color w:val="auto"/>
        </w:rPr>
        <w:t>margin in the third quarter of 2021 was 25.8%, as compared to 43.3% for the third quarter of 2020. The third quarter 2021 gross profit margin was lower mainly due to lower sales prices to Westlake, higher ethane feedstock and natural gas costs and the buyer deficiency fee recognized during the third quarter of 2020, partially offset by higher prices for ethylene sold to third parties and higher volumes for ethylene sold to Westlake in the third quarter of 2021.</w:t>
      </w:r>
    </w:p>
    <w:p>
      <w:pPr>
        <w:spacing w:after="0" w:line="103"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by $1.5 million, or 23.8%, to $7.8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third quarter of 2021 as compared to $6.3 million in the third quarter of 2020. The increase in the third quarter of 2021 was mainly attributable to increased service costs and allowance for doubtful accounts as compared to the third quarter of 2020.</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of $2.2 million in the third quarter of 2021 was comparable to $2.3 million in the third quarter of 2020.</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i w:val="1"/>
          <w:iCs w:val="1"/>
          <w:color w:val="auto"/>
        </w:rPr>
        <w:t xml:space="preserve">MLP Distributable Cash Flow. </w:t>
      </w:r>
      <w:r>
        <w:rPr>
          <w:rFonts w:ascii="Arial" w:cs="Arial" w:eastAsia="Arial" w:hAnsi="Arial"/>
          <w:sz w:val="18"/>
          <w:szCs w:val="18"/>
          <w:color w:val="auto"/>
        </w:rPr>
        <w:t>MLP distributable cash flow decreased by $8.2 million to $13.0 million in the third quarter of 2021 from $21.2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third quarter of 2020. The decrease in the third quarter of 2021, as compared to the prior-year period, was primarily attributable to the decreased earnings at OpCo, increased turnaround reserves and higher maintenance expense due to OpCo's Petro 2 ethylene unit turnaround that commenced in September 2021.</w:t>
      </w:r>
    </w:p>
    <w:p>
      <w:pPr>
        <w:spacing w:after="0" w:line="133" w:lineRule="exact"/>
        <w:rPr>
          <w:sz w:val="20"/>
          <w:szCs w:val="20"/>
          <w:color w:val="auto"/>
        </w:rPr>
      </w:pPr>
    </w:p>
    <w:p>
      <w:pPr>
        <w:jc w:val="both"/>
        <w:ind w:right="400" w:firstLine="405"/>
        <w:spacing w:after="0" w:line="311" w:lineRule="auto"/>
        <w:rPr>
          <w:sz w:val="20"/>
          <w:szCs w:val="20"/>
          <w:color w:val="auto"/>
        </w:rPr>
      </w:pPr>
      <w:r>
        <w:rPr>
          <w:rFonts w:ascii="Arial" w:cs="Arial" w:eastAsia="Arial" w:hAnsi="Arial"/>
          <w:sz w:val="16"/>
          <w:szCs w:val="16"/>
          <w:i w:val="1"/>
          <w:iCs w:val="1"/>
          <w:color w:val="auto"/>
        </w:rPr>
        <w:t xml:space="preserve">EBITDA. </w:t>
      </w:r>
      <w:r>
        <w:rPr>
          <w:rFonts w:ascii="Arial" w:cs="Arial" w:eastAsia="Arial" w:hAnsi="Arial"/>
          <w:sz w:val="16"/>
          <w:szCs w:val="16"/>
          <w:color w:val="auto"/>
        </w:rPr>
        <w:t>EBITDA decreased by $25.4 million to $94.7 million in the third quarter of 2021 from $120.1 million in the third quarter of 2020. The</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was primarily due to the buyer deficiency recognized during the third quarter of 2020, higher ethane feedstock and natural gas costs, partially offset by higher sales volumes and prices to Westlake and the buyer deficiency fee and Shortfall recognized during the third quarter of 2021.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2021 Compared with Nine Months Ended September 30, 2020</w:t>
      </w:r>
    </w:p>
    <w:p>
      <w:pPr>
        <w:spacing w:after="0" w:line="90"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Total net sales increased by $163.4 million, or 22.7%, to $884.4 million in the nine months ended September 30, 2021 from $721.0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 the nine months ended September 30, 2020. The increase in net sales in the nine months ended September 30, 2021 was primarily due to higher sales prices and volumes to third parties and higher sales price to Westlake per the terms of the Ethylene Sales Agreement, as well as the buyer deficiency fee and Shortfall recognized during the nine months ended September 30, 2021, partially offset by the buyer deficiency fee recognized during the first nine months of 2020 and lower sales volumes to Westlake during the nine months ended September 30, 2021. The average sales price in the nine months ended September 30, 2021 contributed to a 27.6% increase in net sales, primarily due to higher ethylene sales prices to third parties and to Westlake.</w:t>
      </w:r>
    </w:p>
    <w:p>
      <w:pPr>
        <w:spacing w:after="0" w:line="110"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increased to $294.7 million for the nine months ended September 30, 2021 from $294.0 million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2020. The gross profit margin in the nine months ended September 30, 2021 was 33.3%, as compared to 40.8% for the nine months ended September 30, 2020. The decrease was lower mainly due to the decreased sales volume to Westlake, increased ethane feedstock and natural gas costs, partially offset by higher prices for ethylene sold to Westlake and third parties and the buyer deficiency fee and Shortfall recognized during the nine months ended September 30, 2021 compared to the nine months ended September 30, 2020.</w:t>
      </w:r>
    </w:p>
    <w:p>
      <w:pPr>
        <w:spacing w:after="0" w:line="122"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by $6.1 million, or 32.8%, to $24.7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2021 as compared to $18.6 million in the nine months ended September 30, 2020. The increase in the nine months ended September 30, 2021 was mainly attributable to higher service costs and allowance for doubtful accounts, as compared to the nine months ended September 30, 2020.</w:t>
      </w:r>
    </w:p>
    <w:p>
      <w:pPr>
        <w:spacing w:after="0" w:line="133"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decreased by $3.0 million to $6.7 million in the nine months ended September 30, 2021 from $9.7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2020, largely due to a lower average interest rate on debt.</w:t>
      </w:r>
    </w:p>
    <w:p>
      <w:pPr>
        <w:spacing w:after="0" w:line="116"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i w:val="1"/>
          <w:iCs w:val="1"/>
          <w:color w:val="auto"/>
        </w:rPr>
        <w:t xml:space="preserve">MLP Distributable Cash Flow. </w:t>
      </w:r>
      <w:r>
        <w:rPr>
          <w:rFonts w:ascii="Arial" w:cs="Arial" w:eastAsia="Arial" w:hAnsi="Arial"/>
          <w:sz w:val="18"/>
          <w:szCs w:val="18"/>
          <w:color w:val="auto"/>
        </w:rPr>
        <w:t>MLP distributable cash flow decreased by $1.6 million to $54.8 million in the nine months ended September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from $56.4 million in the nine months ended September 30, 2020. The decrease in the nine months ended September 30, 2021 was primarily attributable to the decreased earnings at OpCo, increased turnaround reserves and higher maintenance expense related to OpCo's Petro 2 ethylene unit turnaround that commenced in September 2021.</w:t>
      </w:r>
    </w:p>
    <w:p>
      <w:pPr>
        <w:spacing w:after="0" w:line="133"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EBITDA decreased by $1.1 million to $352.8 million in the nine months ended September 30, 2021 from $353.9 million in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2020. The decrease was primarily due to lower sales volumes to Westlake as a result of force majeure events, higher ethane feedstock and natural gas costs and the buyer deficiency fee recognized during the nine months ended September 30, 2020, partially offset by higher sales prices and volumes for ethylene sold to third parties, higher sales prices to Westlake and the buyer deficiency fee and Shortfall recognized in the nine months ended September 30, 2021.</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3460"/>
        <w:spacing w:after="0" w:line="354" w:lineRule="auto"/>
        <w:rPr>
          <w:sz w:val="20"/>
          <w:szCs w:val="20"/>
          <w:color w:val="auto"/>
        </w:rPr>
      </w:pPr>
      <w:r>
        <w:rPr>
          <w:rFonts w:ascii="Arial" w:cs="Arial" w:eastAsia="Arial" w:hAnsi="Arial"/>
          <w:sz w:val="18"/>
          <w:szCs w:val="18"/>
          <w:b w:val="1"/>
          <w:bCs w:val="1"/>
          <w:color w:val="auto"/>
        </w:rPr>
        <w:t xml:space="preserve">CASH FLOW DISCUSSION FOR THE NINE MONTHS ENDED SEPTEMBER 30, 2021 AND 2020 </w:t>
      </w:r>
      <w:r>
        <w:rPr>
          <w:rFonts w:ascii="Arial" w:cs="Arial" w:eastAsia="Arial" w:hAnsi="Arial"/>
          <w:sz w:val="18"/>
          <w:szCs w:val="18"/>
          <w:b w:val="1"/>
          <w:bCs w:val="1"/>
          <w:i w:val="1"/>
          <w:iCs w:val="1"/>
          <w:color w:val="auto"/>
        </w:rPr>
        <w:t>Operating Activities</w:t>
      </w:r>
    </w:p>
    <w:p>
      <w:pPr>
        <w:spacing w:after="0" w:line="1"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Operating activities provided cash of $386.6 million in the first nine months of 2021 compared to cash provided by operating activities of $340.9 million in the first nine months of 2020. The $45.7 million increase in cash flows from operating activities was mainly due to an increase in cash provided from working capital during the nine months ended September 30, 2021 as compared to the prior-year period. Changes in components of working capital, which we define for the purposes of this cash flow discussion as accounts receivable, net—Westlake, accounts receivable, net—third parties, inventories, prepaid expenses and other current assets less accounts payable—Westlake, accounts payable—third parties and accrued liabilities, provided cash of $57.3 million in the first nine months of 2021 as compared to $2.1 million of cash used in the first nine months of 2020, resulting in an overall favorable change of $59.4 million. The favorable change in working capital was mainly attributable to a favorable change in Westlake, net accounts receivable due to the receipt of the buyer deficiency fee recognized in 2020 related to the force majeure events partially offset by unfavorable changes in accounts receivable, net —third parties due to higher sales prices in the nine months ended September 30,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Net cash used for investing activities during the first nine months of 2021 was $111.4 million as compared to net cash used for investing activities of $58.2 million in the first nine months of 2020, mainly due to increased net cash used under the Investment Management Agreement in the first nine months of 2021, as compared to the prior-year period. Capital expenditures during the first nine months of 2021 and 2020 were primarily related to projects to improve production capacity or reduce costs, maintenance and safety and environmental projects at our facilities.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Net cash used for financing activities during the first nine months of 2021 was $273.7 million as compared to net cash used for financing activities of $279.3 million in the first nine months of 2020. The outflows during the first nine months of 2021 were related to the distribution of $223.9 million to Westlake and of $49.8 million to other unitholders by the Partnership. The cash outflows during the first nine months of 2020 were related to the distribution of $229.5 million to Westlake and of $49.8 million to other unitholders by the Partnership.</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Financing Arrangements</w:t>
      </w:r>
    </w:p>
    <w:p>
      <w:pPr>
        <w:spacing w:after="0" w:line="17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Pursuant to the terms of the ATM Agreement, entered in October 2018 and amended in February 2020, among the Partnership and various investment banks, the Partnership may offer and sell the Partnership's common units from time to time to or through the Managers, as the Partnership's sales agents or as principals, having an aggregate offering amount of up to $50.0 million (the "ATM Program"). The Partnership intends to use the net proceeds of sales of the common units, if any, for general partnership purposes, including the funding of potential drop-downs and other acquisitions. No common units had been issued under the ATM Program as of September 30, 2021.</w:t>
      </w:r>
    </w:p>
    <w:p>
      <w:pPr>
        <w:spacing w:after="0" w:line="134" w:lineRule="exact"/>
        <w:rPr>
          <w:sz w:val="20"/>
          <w:szCs w:val="20"/>
          <w:color w:val="auto"/>
        </w:rPr>
      </w:pPr>
    </w:p>
    <w:p>
      <w:pPr>
        <w:ind w:right="400" w:firstLine="405"/>
        <w:spacing w:after="0" w:line="263" w:lineRule="auto"/>
        <w:rPr>
          <w:sz w:val="20"/>
          <w:szCs w:val="20"/>
          <w:color w:val="auto"/>
        </w:rPr>
      </w:pPr>
      <w:r>
        <w:rPr>
          <w:rFonts w:ascii="Arial" w:cs="Arial" w:eastAsia="Arial" w:hAnsi="Arial"/>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and debt interests.</w:t>
      </w:r>
    </w:p>
    <w:p>
      <w:pPr>
        <w:spacing w:after="0" w:line="130" w:lineRule="exact"/>
        <w:rPr>
          <w:sz w:val="20"/>
          <w:szCs w:val="20"/>
          <w:color w:val="auto"/>
        </w:rPr>
      </w:pPr>
    </w:p>
    <w:p>
      <w:pPr>
        <w:ind w:right="80" w:firstLine="405"/>
        <w:spacing w:after="0" w:line="275" w:lineRule="auto"/>
        <w:rPr>
          <w:sz w:val="20"/>
          <w:szCs w:val="20"/>
          <w:color w:val="auto"/>
        </w:rPr>
      </w:pPr>
      <w:r>
        <w:rPr>
          <w:rFonts w:ascii="Arial" w:cs="Arial" w:eastAsia="Arial" w:hAnsi="Arial"/>
          <w:sz w:val="17"/>
          <w:szCs w:val="17"/>
          <w:color w:val="auto"/>
        </w:rPr>
        <w:t>The Partnership maintains separate bank accounts, but Westlake continues to provide treasury services on our behalf under the Services and Secondment Agreement. Our sources of liquidity include cash generated from operations, the OpCo Revolver, the MLP Revolver and, if necessary and possible under then current market conditions, the issuance of additional equity interests or debt.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required to do so.</w:t>
      </w:r>
    </w:p>
    <w:p>
      <w:pPr>
        <w:spacing w:after="0" w:line="12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order to fund non-annual turnaround expenditures, we cause OpCo to reserve an amount for turnaround costs during each twelve-month period designed to cover future turnaround activities. Each of OpCo's ethylene production facilities requires turnaround maintenance approximately every five years. By reserving additional cash annually, we intend to reduce the variability in OpCo's cash flow. Westlake's purchase price for ethylene purchased under the Ethylene Sales Agreement includes a component (adjusted annually) designed to cover, over the long term, substantially all of OpCo's turnaround expenditures.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Westlake's credit facility and various indentures do not prevent OpCo from making distributions to us.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November 1, 2021, the board of directors of Westlake Chemical Partners GP LLC, our general partner, approved a quarterly distribution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$0.4714 per unit payable on November 29, 2021 to unitholders of record as of November 12, 2021, which equates to a total amount of approximately $16.6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per quarter, or approximately $66.4 million per year in aggregate, based on the number of common units outstanding on September 30, 2021.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 not have a legal or contractual obligation to pay distributions on a quarterly basis or any other basis at our minimum quarterly distribution rate or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rate.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90"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Westlake has historically funded expansion capital expenditures related to Lake Charles Olefins and Calvert City Olefins. Total capital expenditures for the nine months ended September 30, 2021 and 2020 were $38.5 million and $29.2 million, respectively. No funding was required by OpCo to fund capital expenditures during the nine months ended September 30, 2021 and 2020. We expect that Westlake will loan additional cash to OpCo to fund its expansion capital expenditures in the future, but Westlake is under no obligation to do so.</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4"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As of September 30, 2021, our cash and cash equivalents totaled $18.6 million. In addition, we have cash invested under the Investment Management Agreement (as described below) and a revolving credit facility with Westlake available to supplement cash if needed, as described under "Indebtedness" below.</w:t>
      </w:r>
    </w:p>
    <w:p>
      <w:pPr>
        <w:spacing w:after="0" w:line="130"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In August 2017, the Partnership, OpCo and Westlake executed the Investment Management Agreement that authorized Westlake to invest the Partnership's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$196.3 million of cash invested under the Investment Management Agreement at September 30,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OpCo Revolver</w:t>
      </w:r>
    </w:p>
    <w:p>
      <w:pPr>
        <w:spacing w:after="0" w:line="104"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In connection with the IPO, OpCo entered into a $600.0 million revolving credit facility with Westlake, as amended in August and December 2017 and March 2020 (the "OpCo Revolver") that may be used to fund growth projects and working capital needs. The OpCo Revolver is scheduled to mature on September 25, 2023. As of September 30, 2021, outstanding borrowings under the OpCo Revolver totaled $22.6 million and bore interest at the LIBOR rate plus 2.0%, which is accrued in arrears quarterly.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MLP Revolver</w:t>
      </w:r>
    </w:p>
    <w:p>
      <w:pPr>
        <w:spacing w:after="0" w:line="171"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In 2015, we entered into a senior, unsecured revolving credit agreement with an affiliate of Westlake (the "MLP Revolver"). The MLP Revolver has a borrowing capacity of $600.0 million and is scheduled to mature in 2023. On March 29, 2019, the Partnership borrowed $123.5 million under the MLP Revolver to partially fund the purchase of an additional 4.5% interest in OpCo. On March 19, 2020, the Partnership entered into an amendment to the MLP Revolver, to extend the maturity date to March 19, 2023 and add a phase-out provision for LIBOR, which is to be replaced by an alternate benchmark rate. Borrowings under the MLP Revolver bear interest at a variable rate of either (a) LIBOR plus 2.0% or, if LIBOR is no longer available, (b) Alternate Base Rate plus 1.0%.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 or less, or (2) during any other period, 4.50:1.00 or less. The MLP Revolver also contains certain other customary covenants. The repayment of borrowings under the MLP Revolver is subject to acceleration upon the occurrence of an event of default. As of September 30, 2021, outstanding borrowings under the MLP Revolver totaled $377.1 million and bore interest at the LIBOR rate plus 2.0%, which is accrued in arrears quarterly. We intend to use the MLP Revolver to purchase additional limited partnership interests in OpCo in the future, in the event OpCo desires to sell such additional interests to us, for other acquisitions and for general corporate purposes.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6"/>
          <w:szCs w:val="16"/>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6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amount of ethane that we are able to process, which could be adversely affected by, among other things, operating difficulties;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volume of ethylene that we are able to sell;</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price at which we are able to sell ethylene;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industry market outlook, including prices and margins in third-party ethylene and co-products sales;</w:t>
      </w:r>
    </w:p>
    <w:p>
      <w:pPr>
        <w:spacing w:after="0" w:line="103"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widespread outbreak of an illness or any other communicable disease, or any other public health crisis, including the COVID-19 pandemic and efforts to contain its transmission;</w:t>
      </w:r>
    </w:p>
    <w:p>
      <w:pPr>
        <w:spacing w:after="0" w:line="35"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plans and Westlake's plans to respond to the challenges presented by the COVID-19 epidemic, as well as the duration of the planned ongoing turnaround at OpCo's Petro 2 ethylene unit;</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parties to whom we will sell ethylene and on what basis;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volumes of ethylene that Westlake may purchase, in addition to the minimum commitment under the Ethylene Sales Agreement;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funding and results of capital expenditures;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intended quarterly distributions and the manner of making such distributions;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meet our liquidity needs;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of and amount of capital expenditures;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Partnership's At-the-Market program and the use of any net proceeds from any sales under that program;</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loans from Westlake to OpCo to fund OpCo's expansion capital expenditures in the future;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expected mitigation of exposure to commodity price fluctuations;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turnaround activities and the variability of OpCo's cash flow;</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receipt of any buyer deficiency fee and Shortfall under the Ethylene Sales Agreement;</w:t>
      </w:r>
    </w:p>
    <w:p>
      <w:pPr>
        <w:spacing w:after="0" w:line="103"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receive indemnification from Westlake for environmental and other losses;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effects of pending legal proceedings.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under "Risk Factors" in the 2020 Form 10-K and the following:</w:t>
      </w:r>
    </w:p>
    <w:p>
      <w:pPr>
        <w:spacing w:after="0" w:line="6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cyclical nature of the chemical industry;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cost and volatility of raw materials and energy;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low crude oil prices reducing the cost advantage of ethane-based ethylene producers;</w:t>
      </w:r>
    </w:p>
    <w:p>
      <w:pPr>
        <w:spacing w:after="0" w:line="90"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uncertainties associated with the United States and worldwide economies, including those due to political tensions and unrest in the Middle East and elsewhere;</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uncertainties associated with pandemic infectious diseases, particularly COVID-19;</w:t>
      </w:r>
    </w:p>
    <w:p>
      <w:pPr>
        <w:spacing w:after="0" w:line="103"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current and potential governmental regulatory actions in the United States and regulatory actions and political unrest in other countries, including environmental regulations;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industry production capacity and operating rates;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supply/demand balance for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competitive products and pricing pressures;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instability in the credit and financial markets;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access to capital markets;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90"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 developments;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foreign currency exchange risks;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implement our business strategies;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creditworthiness of our customers.</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0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A substantial portion of the Partnership's products and raw materials are commodities whose prices fluctuate as market supply and demand fundamentals change. However, our direct exposure to commodity price risk is limited to approximately 5.0% of our total ethylene production, which is the portion sold to third parties. We believe we have substantially mitigated our indirect exposure to commodity price fluctuation during the term of the Ethylene Sales Agreement through the minimum commitment and the cost-plus based pricing. Additionally, we may use derivative instruments to reduce price volatility risk on feedstocks and ethylene associated with the production and sales to third parties. We did not have any open derivative position at September 30, 2021.</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We are exposed to interest rate risk with respect to our outstanding debt, all of which is variable rate debt. At September 30, 2021, we had total variable rate debt of $399.7 million outstanding, all of which was owed to wholly-owned subsidiaries of Westlake, and currently accrues interest at a variable rate of LIBOR plus 200 basis points. On March 19, 2020, the Partnership entered into an amendment to the MLP Revolver to extend the maturity date to March 19, 2023 and add a phase-out provision for LIBOR, which is to be replaced by an alternate benchmark rate. The amended credit agreement bears interest at a variable rate of either (a) LIBOR plus 2.0% or, if LIBOR is no longer available, (b) Alternate Base Rate plus 1.0%. The weighted average variable interest rate of our debt as of September 30, 2021 was 2.1%. We will continue to be subject to interest rate risk with respect to our variable rate debt as well as the risk of higher interest cost if and when this debt is refinanced. A hypothetical increase in our average interest rate on variable rate debt by 100 basis points would increase our annual interest expense by approximately $4.0 million based on the September 30, 2021 debt balance.</w:t>
      </w:r>
    </w:p>
    <w:p>
      <w:pPr>
        <w:spacing w:after="0" w:line="44" w:lineRule="exact"/>
        <w:rPr>
          <w:sz w:val="20"/>
          <w:szCs w:val="20"/>
          <w:color w:val="auto"/>
        </w:rPr>
      </w:pPr>
    </w:p>
    <w:p>
      <w:pPr>
        <w:jc w:val="both"/>
        <w:ind w:right="80" w:firstLine="405"/>
        <w:spacing w:after="0" w:line="263" w:lineRule="auto"/>
        <w:rPr>
          <w:sz w:val="20"/>
          <w:szCs w:val="20"/>
          <w:color w:val="auto"/>
        </w:rPr>
      </w:pPr>
      <w:r>
        <w:rPr>
          <w:rFonts w:ascii="Arial" w:cs="Arial" w:eastAsia="Arial" w:hAnsi="Arial"/>
          <w:sz w:val="18"/>
          <w:szCs w:val="18"/>
          <w:color w:val="auto"/>
        </w:rPr>
        <w:t>LIBOR is used as a reference rate for all of our outstanding variable rate debt as of September 30, 2021. The phase-out of LIBOR is set to commence at the end of 2021 and conclude by June 30, 2023. We are currently reviewing how LIBOR phase-out will affect us, but we do not expect the impact to be material.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President and Chief Executive Officer and our Executive Vice President and Chief Financial Officer, of the effectiveness of our disclosure controls and procedures pursuant to Rules 13a-15 or 15d-15 under the Securities Exchange Act of 1934, as amended (the "Exchange Act"), as of the end of the period covered by this report. Based upon that evaluation, our President and Chief Executive Officer and our Executive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112"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September 30, 2021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right="340" w:firstLine="405"/>
        <w:spacing w:after="0" w:line="263" w:lineRule="auto"/>
        <w:rPr>
          <w:sz w:val="20"/>
          <w:szCs w:val="20"/>
          <w:color w:val="auto"/>
        </w:rPr>
      </w:pPr>
      <w:r>
        <w:rPr>
          <w:rFonts w:ascii="Arial" w:cs="Arial" w:eastAsia="Arial" w:hAnsi="Arial"/>
          <w:sz w:val="18"/>
          <w:szCs w:val="18"/>
          <w:color w:val="auto"/>
        </w:rPr>
        <w:t>The 2020 Form 10-K, filed on March 2, 2021, contained a description of various legal proceedings in which we are involved, including environmental proceedings. See below and Note 12 to the unaudited consolidated financial statements within this Quarterly Report on Form 10-Q for a discussion on legal proceedings, which information is incorporated by reference herein.</w:t>
      </w:r>
    </w:p>
    <w:p>
      <w:pPr>
        <w:spacing w:after="0" w:line="130"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Under the Omnibus Agreement, Westlake Chemical Corporation ("Westlake") has agreed to indemnify the Partnership for certain environmental and other liabilities relating to OpCo's processing facilities and related assets.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i w:val="1"/>
          <w:iCs w:val="1"/>
          <w:color w:val="auto"/>
        </w:rPr>
        <w:t>Potential Flare Modifications</w:t>
      </w:r>
      <w:r>
        <w:rPr>
          <w:rFonts w:ascii="Arial" w:cs="Arial" w:eastAsia="Arial" w:hAnsi="Arial"/>
          <w:sz w:val="18"/>
          <w:szCs w:val="18"/>
          <w:color w:val="auto"/>
        </w:rPr>
        <w:t>. For several years, the Environmental Protection Agency ("EPA") has been conducting an enforcement initiative against</w:t>
      </w:r>
      <w:r>
        <w:rPr>
          <w:rFonts w:ascii="Arial" w:cs="Arial" w:eastAsia="Arial" w:hAnsi="Arial"/>
          <w:sz w:val="18"/>
          <w:szCs w:val="18"/>
          <w:i w:val="1"/>
          <w:iCs w:val="1"/>
          <w:color w:val="auto"/>
        </w:rPr>
        <w:t xml:space="preserve"> </w:t>
      </w:r>
      <w:r>
        <w:rPr>
          <w:rFonts w:ascii="Arial" w:cs="Arial" w:eastAsia="Arial" w:hAnsi="Arial"/>
          <w:sz w:val="18"/>
          <w:szCs w:val="18"/>
          <w:color w:val="auto"/>
        </w:rPr>
        <w:t>petroleum refineries and petrochemical plants with respect to emissions from flares. On April 21, 2014, Westlake received a Clean Air Act Section 114 Information Request from the EPA, which sought information regarding flares at the Calvert City and Lake Charles facilities. The EPA has informed Westlake that the information provided leads the EPA to believe that some of the flares are out of compliance with applicable standards. The EPA has indicated that it is seeking a consent decree that would obligate Westlake to take corrective actions relating to the alleged noncompliance. The Partnership believes the resolution of these matters may require the payment of a monetary sanction in excess of $300,000. As discussed above, Westlake is expected to fully indemnify us for such costs.</w:t>
      </w:r>
    </w:p>
    <w:p>
      <w:pPr>
        <w:spacing w:after="0" w:line="141"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There are five lawsuits pending in connection with the flash fire at the quench tower during the Petro 2 turnaround described in Note 12 to the consolidated financial statements included in Item 1 of this Form 10-Q.</w:t>
      </w:r>
    </w:p>
    <w:p>
      <w:pPr>
        <w:spacing w:after="0" w:line="116"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In addition to the matters described above, the Partnership is also involved in other legal proceedings incidental to the conduct of its business. The Partnership does not believe that any of these legal proceedings will have a material adverse effect on its financial condition, results of operations or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ind w:right="340" w:firstLine="405"/>
        <w:spacing w:after="0" w:line="245" w:lineRule="auto"/>
        <w:rPr>
          <w:sz w:val="20"/>
          <w:szCs w:val="20"/>
          <w:color w:val="auto"/>
        </w:rPr>
      </w:pPr>
      <w:r>
        <w:rPr>
          <w:rFonts w:ascii="Arial" w:cs="Arial" w:eastAsia="Arial" w:hAnsi="Arial"/>
          <w:sz w:val="18"/>
          <w:szCs w:val="18"/>
          <w:color w:val="auto"/>
        </w:rPr>
        <w:t>For a discussion of risk factors, please read Item 1A, "Risk Factors" in the 2020 Form 10-K. There have been no material changes from those risk factors.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460" w:type="dxa"/>
            <w:vAlign w:val="bottom"/>
            <w:gridSpan w:val="6"/>
          </w:tcPr>
          <w:p>
            <w:pPr>
              <w:ind w:left="4700"/>
              <w:spacing w:after="0"/>
              <w:rPr>
                <w:sz w:val="20"/>
                <w:szCs w:val="20"/>
                <w:color w:val="auto"/>
              </w:rPr>
            </w:pPr>
            <w:r>
              <w:rPr>
                <w:rFonts w:ascii="Arial" w:cs="Arial" w:eastAsia="Arial" w:hAnsi="Arial"/>
                <w:sz w:val="14"/>
                <w:szCs w:val="14"/>
                <w:b w:val="1"/>
                <w:bCs w:val="1"/>
                <w:color w:val="auto"/>
              </w:rPr>
              <w:t>Exhibit</w:t>
            </w:r>
          </w:p>
        </w:tc>
      </w:tr>
      <w:tr>
        <w:trPr>
          <w:trHeight w:val="20"/>
        </w:trPr>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63"/>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620" w:type="dxa"/>
            <w:vAlign w:val="bottom"/>
          </w:tcPr>
          <w:p>
            <w:pPr>
              <w:spacing w:after="0"/>
              <w:rPr>
                <w:sz w:val="22"/>
                <w:szCs w:val="22"/>
                <w:color w:val="auto"/>
              </w:rPr>
            </w:pPr>
          </w:p>
        </w:tc>
        <w:tc>
          <w:tcPr>
            <w:tcW w:w="9460" w:type="dxa"/>
            <w:vAlign w:val="bottom"/>
            <w:gridSpan w:val="6"/>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Rule 13a – 14(a) / 15d – 14(a) Certification (Principal Executive Officer)</w:t>
              </w:r>
            </w:hyperlink>
          </w:p>
        </w:tc>
      </w:tr>
      <w:tr>
        <w:trPr>
          <w:trHeight w:val="263"/>
        </w:trPr>
        <w:tc>
          <w:tcPr>
            <w:tcW w:w="1320" w:type="dxa"/>
            <w:vAlign w:val="bottom"/>
            <w:gridSpan w:val="2"/>
          </w:tcPr>
          <w:p>
            <w:pPr>
              <w:spacing w:after="0"/>
              <w:rPr>
                <w:sz w:val="20"/>
                <w:szCs w:val="20"/>
                <w:color w:val="auto"/>
              </w:rPr>
            </w:pPr>
            <w:r>
              <w:rPr>
                <w:rFonts w:ascii="Arial" w:cs="Arial" w:eastAsia="Arial" w:hAnsi="Arial"/>
                <w:sz w:val="18"/>
                <w:szCs w:val="18"/>
                <w:color w:val="auto"/>
              </w:rPr>
              <w:t>31.2†</w:t>
            </w:r>
          </w:p>
        </w:tc>
        <w:tc>
          <w:tcPr>
            <w:tcW w:w="522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2"/>
              </w:rPr>
            </w:pPr>
            <w:hyperlink w:anchor="page33">
              <w:r>
                <w:rPr>
                  <w:rFonts w:ascii="Arial" w:cs="Arial" w:eastAsia="Arial" w:hAnsi="Arial"/>
                  <w:sz w:val="18"/>
                  <w:szCs w:val="18"/>
                  <w:color w:val="0000FF"/>
                  <w:w w:val="92"/>
                </w:rPr>
                <w:t>Rule 13a – 14(a) / 15d – 14(a) Certification (Principal Financial Officer)</w:t>
              </w:r>
            </w:hyperlink>
          </w:p>
        </w:tc>
        <w:tc>
          <w:tcPr>
            <w:tcW w:w="40" w:type="dxa"/>
            <w:vAlign w:val="bottom"/>
            <w:tcBorders>
              <w:top w:val="single" w:sz="8" w:color="0000FF"/>
            </w:tcBorders>
          </w:tcPr>
          <w:p>
            <w:pPr>
              <w:spacing w:after="0"/>
              <w:rPr>
                <w:sz w:val="22"/>
                <w:szCs w:val="22"/>
                <w:color w:val="auto"/>
              </w:rPr>
            </w:pPr>
          </w:p>
        </w:tc>
        <w:tc>
          <w:tcPr>
            <w:tcW w:w="4200" w:type="dxa"/>
            <w:vAlign w:val="bottom"/>
            <w:gridSpan w:val="2"/>
          </w:tcPr>
          <w:p>
            <w:pPr>
              <w:spacing w:after="0"/>
              <w:rPr>
                <w:sz w:val="22"/>
                <w:szCs w:val="22"/>
                <w:color w:val="auto"/>
              </w:rPr>
            </w:pPr>
          </w:p>
        </w:tc>
      </w:tr>
      <w:tr>
        <w:trPr>
          <w:trHeight w:val="264"/>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620" w:type="dxa"/>
            <w:vAlign w:val="bottom"/>
          </w:tcPr>
          <w:p>
            <w:pPr>
              <w:spacing w:after="0"/>
              <w:rPr>
                <w:sz w:val="22"/>
                <w:szCs w:val="22"/>
                <w:color w:val="auto"/>
              </w:rPr>
            </w:pPr>
          </w:p>
        </w:tc>
        <w:tc>
          <w:tcPr>
            <w:tcW w:w="9460" w:type="dxa"/>
            <w:vAlign w:val="bottom"/>
            <w:gridSpan w:val="6"/>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Section 1350 Certification (Principal Executive Officer and Principal Financial Officer)</w:t>
              </w:r>
            </w:hyperlink>
          </w:p>
        </w:tc>
      </w:tr>
      <w:tr>
        <w:trPr>
          <w:trHeight w:val="20"/>
        </w:trPr>
        <w:tc>
          <w:tcPr>
            <w:tcW w:w="1320" w:type="dxa"/>
            <w:vAlign w:val="bottom"/>
            <w:gridSpan w:val="2"/>
          </w:tcPr>
          <w:p>
            <w:pPr>
              <w:spacing w:after="0" w:line="20" w:lineRule="exact"/>
              <w:rPr>
                <w:sz w:val="1"/>
                <w:szCs w:val="1"/>
                <w:color w:val="auto"/>
              </w:rPr>
            </w:pPr>
          </w:p>
        </w:tc>
        <w:tc>
          <w:tcPr>
            <w:tcW w:w="6300" w:type="dxa"/>
            <w:vAlign w:val="bottom"/>
            <w:gridSpan w:val="5"/>
            <w:shd w:val="clear" w:color="auto" w:fill="0000FF"/>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50"/>
        </w:trPr>
        <w:tc>
          <w:tcPr>
            <w:tcW w:w="13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460" w:type="dxa"/>
            <w:vAlign w:val="bottom"/>
            <w:gridSpan w:val="6"/>
          </w:tcPr>
          <w:p>
            <w:pPr>
              <w:spacing w:after="0"/>
              <w:rPr>
                <w:sz w:val="20"/>
                <w:szCs w:val="20"/>
                <w:color w:val="auto"/>
              </w:rPr>
            </w:pPr>
            <w:r>
              <w:rPr>
                <w:rFonts w:ascii="Arial" w:cs="Arial" w:eastAsia="Arial" w:hAnsi="Arial"/>
                <w:sz w:val="18"/>
                <w:szCs w:val="18"/>
                <w:color w:val="auto"/>
                <w:w w:val="89"/>
              </w:rPr>
              <w:t>XBRL Instance Document–The instance document does not appear in the interactive data file because its XBRL tags are embedded</w:t>
            </w:r>
          </w:p>
        </w:tc>
      </w:tr>
      <w:tr>
        <w:trPr>
          <w:trHeight w:val="230"/>
        </w:trPr>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60" w:type="dxa"/>
            <w:vAlign w:val="bottom"/>
            <w:gridSpan w:val="6"/>
          </w:tcPr>
          <w:p>
            <w:pPr>
              <w:spacing w:after="0"/>
              <w:rPr>
                <w:sz w:val="20"/>
                <w:szCs w:val="20"/>
                <w:color w:val="auto"/>
              </w:rPr>
            </w:pPr>
            <w:r>
              <w:rPr>
                <w:rFonts w:ascii="Arial" w:cs="Arial" w:eastAsia="Arial" w:hAnsi="Arial"/>
                <w:sz w:val="18"/>
                <w:szCs w:val="18"/>
                <w:color w:val="auto"/>
              </w:rPr>
              <w:t>within the Inline XBRL document.</w:t>
            </w:r>
          </w:p>
        </w:tc>
      </w:tr>
      <w:tr>
        <w:trPr>
          <w:trHeight w:val="283"/>
        </w:trPr>
        <w:tc>
          <w:tcPr>
            <w:tcW w:w="13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46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283"/>
        </w:trPr>
        <w:tc>
          <w:tcPr>
            <w:tcW w:w="13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46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4"/>
        </w:trPr>
        <w:tc>
          <w:tcPr>
            <w:tcW w:w="13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46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3"/>
        </w:trPr>
        <w:tc>
          <w:tcPr>
            <w:tcW w:w="13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46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84"/>
        </w:trPr>
        <w:tc>
          <w:tcPr>
            <w:tcW w:w="13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46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53" w:lineRule="exact"/>
        <w:rPr>
          <w:sz w:val="20"/>
          <w:szCs w:val="20"/>
          <w:color w:val="auto"/>
        </w:rPr>
      </w:pPr>
    </w:p>
    <w:p>
      <w:pPr>
        <w:ind w:left="1340" w:right="360" w:hanging="1314"/>
        <w:spacing w:after="0" w:line="235" w:lineRule="auto"/>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6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6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WESTLAKE CHEMICAL PARTNERS LP</w:t>
      </w:r>
    </w:p>
    <w:p>
      <w:pPr>
        <w:spacing w:after="0" w:line="243" w:lineRule="exact"/>
        <w:rPr>
          <w:sz w:val="20"/>
          <w:szCs w:val="20"/>
          <w:color w:val="auto"/>
        </w:rPr>
      </w:pPr>
    </w:p>
    <w:p>
      <w:pPr>
        <w:ind w:left="20"/>
        <w:spacing w:after="0"/>
        <w:tabs>
          <w:tab w:leader="none" w:pos="600" w:val="left"/>
          <w:tab w:leader="none" w:pos="6160" w:val="left"/>
          <w:tab w:leader="none" w:pos="8240" w:val="left"/>
          <w:tab w:leader="none" w:pos="8580" w:val="left"/>
        </w:tabs>
        <w:rPr>
          <w:sz w:val="20"/>
          <w:szCs w:val="20"/>
          <w:color w:val="auto"/>
        </w:rPr>
      </w:pPr>
      <w:r>
        <w:rPr>
          <w:rFonts w:ascii="Arial" w:cs="Arial" w:eastAsia="Arial" w:hAnsi="Arial"/>
          <w:sz w:val="18"/>
          <w:szCs w:val="18"/>
          <w:color w:val="auto"/>
        </w:rPr>
        <w:t>Date:</w:t>
        <w:tab/>
        <w:t>November 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117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8"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Albert Chao</w:t>
      </w:r>
    </w:p>
    <w:p>
      <w:pPr>
        <w:spacing w:after="0" w:line="28" w:lineRule="exact"/>
        <w:rPr>
          <w:sz w:val="20"/>
          <w:szCs w:val="20"/>
          <w:color w:val="auto"/>
        </w:rPr>
      </w:pPr>
    </w:p>
    <w:p>
      <w:pPr>
        <w:ind w:left="7560"/>
        <w:spacing w:after="0"/>
        <w:rPr>
          <w:sz w:val="20"/>
          <w:szCs w:val="20"/>
          <w:color w:val="auto"/>
        </w:rPr>
      </w:pPr>
      <w:r>
        <w:rPr>
          <w:rFonts w:ascii="Arial" w:cs="Arial" w:eastAsia="Arial" w:hAnsi="Arial"/>
          <w:sz w:val="13"/>
          <w:szCs w:val="13"/>
          <w:b w:val="1"/>
          <w:bCs w:val="1"/>
          <w:color w:val="auto"/>
        </w:rPr>
        <w:t>President, Chief Executive Officer and Director of</w:t>
      </w:r>
    </w:p>
    <w:p>
      <w:pPr>
        <w:jc w:val="center"/>
        <w:ind w:left="6940"/>
        <w:spacing w:after="0" w:line="203" w:lineRule="auto"/>
        <w:rPr>
          <w:sz w:val="20"/>
          <w:szCs w:val="20"/>
          <w:color w:val="auto"/>
        </w:rPr>
      </w:pPr>
      <w:r>
        <w:rPr>
          <w:rFonts w:ascii="Arial" w:cs="Arial" w:eastAsia="Arial" w:hAnsi="Arial"/>
          <w:sz w:val="14"/>
          <w:szCs w:val="14"/>
          <w:b w:val="1"/>
          <w:bCs w:val="1"/>
          <w:color w:val="auto"/>
        </w:rPr>
        <w:t>Westlake Chemical Partners GP LLC</w:t>
      </w:r>
    </w:p>
    <w:p>
      <w:pPr>
        <w:jc w:val="center"/>
        <w:ind w:left="6940"/>
        <w:spacing w:after="0"/>
        <w:rPr>
          <w:sz w:val="20"/>
          <w:szCs w:val="20"/>
          <w:color w:val="auto"/>
        </w:rPr>
      </w:pPr>
      <w:r>
        <w:rPr>
          <w:rFonts w:ascii="Arial" w:cs="Arial" w:eastAsia="Arial" w:hAnsi="Arial"/>
          <w:sz w:val="14"/>
          <w:szCs w:val="14"/>
          <w:b w:val="1"/>
          <w:bCs w:val="1"/>
          <w:color w:val="auto"/>
        </w:rPr>
        <w:t>(Principal Executive Officer)</w:t>
      </w:r>
    </w:p>
    <w:p>
      <w:pPr>
        <w:spacing w:after="0" w:line="290" w:lineRule="exact"/>
        <w:rPr>
          <w:sz w:val="20"/>
          <w:szCs w:val="20"/>
          <w:color w:val="auto"/>
        </w:rPr>
      </w:pPr>
    </w:p>
    <w:p>
      <w:pPr>
        <w:ind w:left="20"/>
        <w:spacing w:after="0"/>
        <w:tabs>
          <w:tab w:leader="none" w:pos="600" w:val="left"/>
          <w:tab w:leader="none" w:pos="6160" w:val="left"/>
          <w:tab w:leader="none" w:pos="8020" w:val="left"/>
          <w:tab w:leader="none" w:pos="8380" w:val="left"/>
        </w:tabs>
        <w:rPr>
          <w:sz w:val="20"/>
          <w:szCs w:val="20"/>
          <w:color w:val="auto"/>
        </w:rPr>
      </w:pPr>
      <w:r>
        <w:rPr>
          <w:rFonts w:ascii="Arial" w:cs="Arial" w:eastAsia="Arial" w:hAnsi="Arial"/>
          <w:sz w:val="18"/>
          <w:szCs w:val="18"/>
          <w:color w:val="auto"/>
        </w:rPr>
        <w:t>Date:</w:t>
        <w:tab/>
        <w:t>November 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117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8"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M. Steven Bender</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Vice President, Chief Financial Officer and</w:t>
      </w:r>
    </w:p>
    <w:p>
      <w:pPr>
        <w:jc w:val="center"/>
        <w:ind w:left="6940"/>
        <w:spacing w:after="0" w:line="201" w:lineRule="auto"/>
        <w:rPr>
          <w:sz w:val="20"/>
          <w:szCs w:val="20"/>
          <w:color w:val="auto"/>
        </w:rPr>
      </w:pPr>
      <w:r>
        <w:rPr>
          <w:rFonts w:ascii="Arial" w:cs="Arial" w:eastAsia="Arial" w:hAnsi="Arial"/>
          <w:sz w:val="14"/>
          <w:szCs w:val="14"/>
          <w:b w:val="1"/>
          <w:bCs w:val="1"/>
          <w:color w:val="auto"/>
        </w:rPr>
        <w:t>Director of Westlake Chemical Partners GP LLC</w:t>
      </w:r>
    </w:p>
    <w:p>
      <w:pPr>
        <w:jc w:val="center"/>
        <w:ind w:left="6940"/>
        <w:spacing w:after="0"/>
        <w:rPr>
          <w:sz w:val="20"/>
          <w:szCs w:val="20"/>
          <w:color w:val="auto"/>
        </w:rPr>
      </w:pPr>
      <w:r>
        <w:rPr>
          <w:rFonts w:ascii="Arial" w:cs="Arial" w:eastAsia="Arial" w:hAnsi="Arial"/>
          <w:sz w:val="14"/>
          <w:szCs w:val="14"/>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720"/>
          </w:cols>
          <w:pgMar w:left="320" w:top="121" w:right="85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i w:val="1"/>
          <w:i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Albert Chao, certify that:</w:t>
      </w:r>
    </w:p>
    <w:p>
      <w:pPr>
        <w:spacing w:after="0" w:line="144" w:lineRule="exact"/>
        <w:rPr>
          <w:sz w:val="20"/>
          <w:szCs w:val="20"/>
          <w:color w:val="auto"/>
        </w:rPr>
      </w:pPr>
    </w:p>
    <w:p>
      <w:pPr>
        <w:ind w:left="680" w:hanging="654"/>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Chemical Partners LP;</w:t>
      </w:r>
    </w:p>
    <w:p>
      <w:pPr>
        <w:spacing w:after="0" w:line="130" w:lineRule="exact"/>
        <w:rPr>
          <w:rFonts w:ascii="Arial" w:cs="Arial" w:eastAsia="Arial" w:hAnsi="Arial"/>
          <w:sz w:val="18"/>
          <w:szCs w:val="18"/>
          <w:color w:val="auto"/>
        </w:rPr>
      </w:pPr>
    </w:p>
    <w:p>
      <w:pPr>
        <w:jc w:val="both"/>
        <w:ind w:left="680" w:right="100" w:hanging="654"/>
        <w:spacing w:after="0" w:line="224"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6" w:lineRule="exact"/>
        <w:rPr>
          <w:rFonts w:ascii="Arial" w:cs="Arial" w:eastAsia="Arial" w:hAnsi="Arial"/>
          <w:sz w:val="18"/>
          <w:szCs w:val="18"/>
          <w:color w:val="auto"/>
        </w:rPr>
      </w:pPr>
    </w:p>
    <w:p>
      <w:pPr>
        <w:ind w:left="680" w:right="60" w:hanging="654"/>
        <w:spacing w:after="0" w:line="258" w:lineRule="auto"/>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80" w:right="100" w:hanging="654"/>
        <w:spacing w:after="0" w:line="224"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6" w:lineRule="exact"/>
        <w:rPr>
          <w:rFonts w:ascii="Arial" w:cs="Arial" w:eastAsia="Arial" w:hAnsi="Arial"/>
          <w:sz w:val="18"/>
          <w:szCs w:val="18"/>
          <w:color w:val="auto"/>
        </w:rPr>
      </w:pPr>
    </w:p>
    <w:p>
      <w:pPr>
        <w:ind w:left="1340" w:right="100" w:hanging="666"/>
        <w:spacing w:after="0" w:line="224" w:lineRule="auto"/>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1340" w:right="140" w:hanging="666"/>
        <w:spacing w:after="0" w:line="224" w:lineRule="auto"/>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6" w:lineRule="exact"/>
        <w:rPr>
          <w:rFonts w:ascii="Arial" w:cs="Arial" w:eastAsia="Arial" w:hAnsi="Arial"/>
          <w:sz w:val="18"/>
          <w:szCs w:val="18"/>
          <w:color w:val="auto"/>
        </w:rPr>
      </w:pPr>
    </w:p>
    <w:p>
      <w:pPr>
        <w:ind w:left="1340" w:right="180" w:hanging="666"/>
        <w:spacing w:after="0" w:line="289" w:lineRule="auto"/>
        <w:tabs>
          <w:tab w:leader="none" w:pos="13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40" w:right="260" w:hanging="666"/>
        <w:spacing w:after="0" w:line="224" w:lineRule="auto"/>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left="680" w:right="260" w:hanging="654"/>
        <w:spacing w:after="0" w:line="289" w:lineRule="auto"/>
        <w:tabs>
          <w:tab w:leader="none" w:pos="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40" w:right="480" w:hanging="666"/>
        <w:spacing w:after="0" w:line="289" w:lineRule="auto"/>
        <w:tabs>
          <w:tab w:leader="none" w:pos="13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Arial" w:cs="Arial" w:eastAsia="Arial" w:hAnsi="Arial"/>
          <w:sz w:val="16"/>
          <w:szCs w:val="16"/>
          <w:color w:val="auto"/>
        </w:rPr>
      </w:pPr>
    </w:p>
    <w:p>
      <w:pPr>
        <w:ind w:left="1340" w:right="180" w:hanging="666"/>
        <w:spacing w:after="0" w:line="235" w:lineRule="auto"/>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6" w:lineRule="exact"/>
        <w:rPr>
          <w:sz w:val="20"/>
          <w:szCs w:val="20"/>
          <w:color w:val="auto"/>
        </w:rPr>
      </w:pPr>
    </w:p>
    <w:p>
      <w:pPr>
        <w:ind w:left="20"/>
        <w:spacing w:after="0"/>
        <w:tabs>
          <w:tab w:leader="none" w:pos="600" w:val="left"/>
          <w:tab w:leader="none" w:pos="8220" w:val="left"/>
          <w:tab w:leader="none" w:pos="8580" w:val="left"/>
        </w:tabs>
        <w:rPr>
          <w:sz w:val="20"/>
          <w:szCs w:val="20"/>
          <w:color w:val="auto"/>
        </w:rPr>
      </w:pPr>
      <w:r>
        <w:rPr>
          <w:rFonts w:ascii="Arial" w:cs="Arial" w:eastAsia="Arial" w:hAnsi="Arial"/>
          <w:sz w:val="18"/>
          <w:szCs w:val="18"/>
          <w:color w:val="auto"/>
        </w:rPr>
        <w:t>Date:</w:t>
        <w:tab/>
        <w:t>November 3, 2021</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200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8"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Albert Chao</w:t>
      </w:r>
    </w:p>
    <w:p>
      <w:pPr>
        <w:spacing w:after="0" w:line="18"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6920"/>
        <w:spacing w:after="0" w:line="201" w:lineRule="auto"/>
        <w:rPr>
          <w:sz w:val="20"/>
          <w:szCs w:val="20"/>
          <w:color w:val="auto"/>
        </w:rPr>
      </w:pPr>
      <w:r>
        <w:rPr>
          <w:rFonts w:ascii="Arial" w:cs="Arial" w:eastAsia="Arial" w:hAnsi="Arial"/>
          <w:sz w:val="14"/>
          <w:szCs w:val="14"/>
          <w:b w:val="1"/>
          <w:bCs w:val="1"/>
          <w:color w:val="auto"/>
        </w:rPr>
        <w:t>Westlake Chemical Partners GP LLC</w:t>
      </w:r>
    </w:p>
    <w:p>
      <w:pPr>
        <w:jc w:val="center"/>
        <w:ind w:left="69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89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i w:val="1"/>
          <w:i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 Steven Bender, certify that:</w:t>
      </w:r>
    </w:p>
    <w:p>
      <w:pPr>
        <w:spacing w:after="0" w:line="144" w:lineRule="exact"/>
        <w:rPr>
          <w:sz w:val="20"/>
          <w:szCs w:val="20"/>
          <w:color w:val="auto"/>
        </w:rPr>
      </w:pPr>
    </w:p>
    <w:p>
      <w:pPr>
        <w:ind w:left="680" w:hanging="654"/>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Chemical Partners LP;</w:t>
      </w:r>
    </w:p>
    <w:p>
      <w:pPr>
        <w:spacing w:after="0" w:line="130" w:lineRule="exact"/>
        <w:rPr>
          <w:rFonts w:ascii="Arial" w:cs="Arial" w:eastAsia="Arial" w:hAnsi="Arial"/>
          <w:sz w:val="18"/>
          <w:szCs w:val="18"/>
          <w:color w:val="auto"/>
        </w:rPr>
      </w:pPr>
    </w:p>
    <w:p>
      <w:pPr>
        <w:jc w:val="both"/>
        <w:ind w:left="680" w:right="100" w:hanging="654"/>
        <w:spacing w:after="0" w:line="224"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6" w:lineRule="exact"/>
        <w:rPr>
          <w:rFonts w:ascii="Arial" w:cs="Arial" w:eastAsia="Arial" w:hAnsi="Arial"/>
          <w:sz w:val="18"/>
          <w:szCs w:val="18"/>
          <w:color w:val="auto"/>
        </w:rPr>
      </w:pPr>
    </w:p>
    <w:p>
      <w:pPr>
        <w:ind w:left="680" w:right="60" w:hanging="654"/>
        <w:spacing w:after="0" w:line="258" w:lineRule="auto"/>
        <w:tabs>
          <w:tab w:leader="none" w:pos="6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80" w:right="100" w:hanging="654"/>
        <w:spacing w:after="0" w:line="224"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6" w:lineRule="exact"/>
        <w:rPr>
          <w:rFonts w:ascii="Arial" w:cs="Arial" w:eastAsia="Arial" w:hAnsi="Arial"/>
          <w:sz w:val="18"/>
          <w:szCs w:val="18"/>
          <w:color w:val="auto"/>
        </w:rPr>
      </w:pPr>
    </w:p>
    <w:p>
      <w:pPr>
        <w:ind w:left="1340" w:right="100" w:hanging="666"/>
        <w:spacing w:after="0" w:line="224" w:lineRule="auto"/>
        <w:tabs>
          <w:tab w:leader="none" w:pos="1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1340" w:right="140" w:hanging="666"/>
        <w:spacing w:after="0" w:line="224" w:lineRule="auto"/>
        <w:tabs>
          <w:tab w:leader="none" w:pos="1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6" w:lineRule="exact"/>
        <w:rPr>
          <w:rFonts w:ascii="Arial" w:cs="Arial" w:eastAsia="Arial" w:hAnsi="Arial"/>
          <w:sz w:val="18"/>
          <w:szCs w:val="18"/>
          <w:color w:val="auto"/>
        </w:rPr>
      </w:pPr>
    </w:p>
    <w:p>
      <w:pPr>
        <w:ind w:left="1340" w:right="180" w:hanging="666"/>
        <w:spacing w:after="0" w:line="289" w:lineRule="auto"/>
        <w:tabs>
          <w:tab w:leader="none" w:pos="13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40" w:right="260" w:hanging="666"/>
        <w:spacing w:after="0" w:line="224" w:lineRule="auto"/>
        <w:tabs>
          <w:tab w:leader="none" w:pos="1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left="680" w:right="260" w:hanging="654"/>
        <w:spacing w:after="0" w:line="289" w:lineRule="auto"/>
        <w:tabs>
          <w:tab w:leader="none" w:pos="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40" w:right="480" w:hanging="666"/>
        <w:spacing w:after="0" w:line="289" w:lineRule="auto"/>
        <w:tabs>
          <w:tab w:leader="none" w:pos="13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Arial" w:cs="Arial" w:eastAsia="Arial" w:hAnsi="Arial"/>
          <w:sz w:val="16"/>
          <w:szCs w:val="16"/>
          <w:color w:val="auto"/>
        </w:rPr>
      </w:pPr>
    </w:p>
    <w:p>
      <w:pPr>
        <w:ind w:left="1340" w:right="180" w:hanging="666"/>
        <w:spacing w:after="0" w:line="235" w:lineRule="auto"/>
        <w:tabs>
          <w:tab w:leader="none" w:pos="1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6" w:lineRule="exact"/>
        <w:rPr>
          <w:sz w:val="20"/>
          <w:szCs w:val="20"/>
          <w:color w:val="auto"/>
        </w:rPr>
      </w:pPr>
    </w:p>
    <w:p>
      <w:pPr>
        <w:ind w:left="20"/>
        <w:spacing w:after="0"/>
        <w:tabs>
          <w:tab w:leader="none" w:pos="600" w:val="left"/>
          <w:tab w:leader="none" w:pos="8220" w:val="left"/>
        </w:tabs>
        <w:rPr>
          <w:sz w:val="20"/>
          <w:szCs w:val="20"/>
          <w:color w:val="auto"/>
        </w:rPr>
      </w:pPr>
      <w:r>
        <w:rPr>
          <w:rFonts w:ascii="Arial" w:cs="Arial" w:eastAsia="Arial" w:hAnsi="Arial"/>
          <w:sz w:val="18"/>
          <w:szCs w:val="18"/>
          <w:color w:val="auto"/>
        </w:rPr>
        <w:t>Date:</w:t>
        <w:tab/>
        <w:t>November 3, 2021</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200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8"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M. Steven Bender</w:t>
      </w:r>
    </w:p>
    <w:p>
      <w:pPr>
        <w:spacing w:after="0" w:line="28" w:lineRule="exact"/>
        <w:rPr>
          <w:sz w:val="20"/>
          <w:szCs w:val="20"/>
          <w:color w:val="auto"/>
        </w:rPr>
      </w:pPr>
    </w:p>
    <w:p>
      <w:pPr>
        <w:ind w:left="7100"/>
        <w:spacing w:after="0"/>
        <w:rPr>
          <w:sz w:val="20"/>
          <w:szCs w:val="20"/>
          <w:color w:val="auto"/>
        </w:rPr>
      </w:pPr>
      <w:r>
        <w:rPr>
          <w:rFonts w:ascii="Arial" w:cs="Arial" w:eastAsia="Arial" w:hAnsi="Arial"/>
          <w:sz w:val="13"/>
          <w:szCs w:val="13"/>
          <w:b w:val="1"/>
          <w:bCs w:val="1"/>
          <w:color w:val="auto"/>
        </w:rPr>
        <w:t>Executive Vice President, Chief Financial Officer and Director of</w:t>
      </w:r>
    </w:p>
    <w:p>
      <w:pPr>
        <w:jc w:val="center"/>
        <w:ind w:left="6920"/>
        <w:spacing w:after="0" w:line="203" w:lineRule="auto"/>
        <w:rPr>
          <w:sz w:val="20"/>
          <w:szCs w:val="20"/>
          <w:color w:val="auto"/>
        </w:rPr>
      </w:pPr>
      <w:r>
        <w:rPr>
          <w:rFonts w:ascii="Arial" w:cs="Arial" w:eastAsia="Arial" w:hAnsi="Arial"/>
          <w:sz w:val="14"/>
          <w:szCs w:val="14"/>
          <w:b w:val="1"/>
          <w:bCs w:val="1"/>
          <w:color w:val="auto"/>
        </w:rPr>
        <w:t>Westlake Chemical Partners GP LLC</w:t>
      </w:r>
    </w:p>
    <w:p>
      <w:pPr>
        <w:jc w:val="center"/>
        <w:ind w:left="69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40"/>
          </w:cols>
          <w:pgMar w:left="320" w:top="895"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i w:val="1"/>
          <w:iCs w:val="1"/>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40" w:firstLine="445"/>
        <w:spacing w:after="0" w:line="301" w:lineRule="auto"/>
        <w:rPr>
          <w:sz w:val="20"/>
          <w:szCs w:val="20"/>
          <w:color w:val="auto"/>
        </w:rPr>
      </w:pPr>
      <w:r>
        <w:rPr>
          <w:rFonts w:ascii="Arial" w:cs="Arial" w:eastAsia="Arial" w:hAnsi="Arial"/>
          <w:sz w:val="16"/>
          <w:szCs w:val="16"/>
          <w:color w:val="auto"/>
        </w:rPr>
        <w:t>In connection with the Quarterly Report of Westlake Chemical Partners LP (the "Partnership") on Form 10-Q for the fiscal quarter ended September 30, 2021 as filed with the Securities and Exchange Commission on the date hereof (the "Report"), I, Albert Chao, President, Chief Executive Officer and Director of the Partnership, and I, M. Steven Bender, Senior Vice President, Chief Financial Officer and Director of the Partnership, certify, to the best of our knowledge, pursuant to 18 U.S.C. §1350, as adopted pursuant to §906 of the Sarbanes-Oxley Act of 2002, that:</w:t>
      </w:r>
    </w:p>
    <w:p>
      <w:pPr>
        <w:spacing w:after="0" w:line="49" w:lineRule="exact"/>
        <w:rPr>
          <w:sz w:val="20"/>
          <w:szCs w:val="20"/>
          <w:color w:val="auto"/>
        </w:rPr>
      </w:pPr>
    </w:p>
    <w:p>
      <w:pPr>
        <w:ind w:left="560" w:hanging="309"/>
        <w:spacing w:after="0"/>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60" w:hanging="309"/>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aspects, the financial condition and results of operations of the Partnership.</w:t>
      </w:r>
    </w:p>
    <w:p>
      <w:pPr>
        <w:spacing w:after="0" w:line="200" w:lineRule="exact"/>
        <w:rPr>
          <w:sz w:val="20"/>
          <w:szCs w:val="20"/>
          <w:color w:val="auto"/>
        </w:rPr>
      </w:pPr>
    </w:p>
    <w:p>
      <w:pPr>
        <w:spacing w:after="0" w:line="291" w:lineRule="exact"/>
        <w:rPr>
          <w:sz w:val="20"/>
          <w:szCs w:val="20"/>
          <w:color w:val="auto"/>
        </w:rPr>
      </w:pPr>
    </w:p>
    <w:p>
      <w:pPr>
        <w:ind w:left="20"/>
        <w:spacing w:after="0"/>
        <w:tabs>
          <w:tab w:leader="none" w:pos="600" w:val="left"/>
          <w:tab w:leader="none" w:pos="8220" w:val="left"/>
          <w:tab w:leader="none" w:pos="8580" w:val="left"/>
        </w:tabs>
        <w:rPr>
          <w:sz w:val="20"/>
          <w:szCs w:val="20"/>
          <w:color w:val="auto"/>
        </w:rPr>
      </w:pPr>
      <w:r>
        <w:rPr>
          <w:rFonts w:ascii="Arial" w:cs="Arial" w:eastAsia="Arial" w:hAnsi="Arial"/>
          <w:sz w:val="18"/>
          <w:szCs w:val="18"/>
          <w:color w:val="auto"/>
        </w:rPr>
        <w:t>Date:</w:t>
        <w:tab/>
        <w:t>November 3, 2021</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200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8"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Albert Chao</w:t>
      </w:r>
    </w:p>
    <w:p>
      <w:pPr>
        <w:spacing w:after="0" w:line="18"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6920"/>
        <w:spacing w:after="0" w:line="201" w:lineRule="auto"/>
        <w:rPr>
          <w:sz w:val="20"/>
          <w:szCs w:val="20"/>
          <w:color w:val="auto"/>
        </w:rPr>
      </w:pPr>
      <w:r>
        <w:rPr>
          <w:rFonts w:ascii="Arial" w:cs="Arial" w:eastAsia="Arial" w:hAnsi="Arial"/>
          <w:sz w:val="14"/>
          <w:szCs w:val="14"/>
          <w:b w:val="1"/>
          <w:bCs w:val="1"/>
          <w:color w:val="auto"/>
        </w:rPr>
        <w:t>Westlake Chemical Partners GP LLC</w:t>
      </w:r>
    </w:p>
    <w:p>
      <w:pPr>
        <w:jc w:val="center"/>
        <w:ind w:left="6920"/>
        <w:spacing w:after="0"/>
        <w:rPr>
          <w:sz w:val="20"/>
          <w:szCs w:val="20"/>
          <w:color w:val="auto"/>
        </w:rPr>
      </w:pPr>
      <w:r>
        <w:rPr>
          <w:rFonts w:ascii="Arial" w:cs="Arial" w:eastAsia="Arial" w:hAnsi="Arial"/>
          <w:sz w:val="14"/>
          <w:szCs w:val="14"/>
          <w:b w:val="1"/>
          <w:bCs w:val="1"/>
          <w:color w:val="auto"/>
        </w:rPr>
        <w:t>(Principal Executive Officer)</w:t>
      </w:r>
    </w:p>
    <w:p>
      <w:pPr>
        <w:spacing w:after="0" w:line="331" w:lineRule="exact"/>
        <w:rPr>
          <w:sz w:val="20"/>
          <w:szCs w:val="20"/>
          <w:color w:val="auto"/>
        </w:rPr>
      </w:pPr>
    </w:p>
    <w:p>
      <w:pPr>
        <w:ind w:left="20"/>
        <w:spacing w:after="0"/>
        <w:tabs>
          <w:tab w:leader="none" w:pos="600" w:val="left"/>
          <w:tab w:leader="none" w:pos="8020" w:val="left"/>
          <w:tab w:leader="none" w:pos="8360" w:val="left"/>
        </w:tabs>
        <w:rPr>
          <w:sz w:val="20"/>
          <w:szCs w:val="20"/>
          <w:color w:val="auto"/>
        </w:rPr>
      </w:pPr>
      <w:r>
        <w:rPr>
          <w:rFonts w:ascii="Arial" w:cs="Arial" w:eastAsia="Arial" w:hAnsi="Arial"/>
          <w:sz w:val="18"/>
          <w:szCs w:val="18"/>
          <w:color w:val="auto"/>
        </w:rPr>
        <w:t>Date:</w:t>
        <w:tab/>
        <w:t>November 3, 2021</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200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8"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M. Steven Bender</w:t>
      </w:r>
    </w:p>
    <w:p>
      <w:pPr>
        <w:spacing w:after="0" w:line="18"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Executive Vice President, Chief Financial Officer and</w:t>
      </w:r>
    </w:p>
    <w:p>
      <w:pPr>
        <w:jc w:val="center"/>
        <w:ind w:left="6920"/>
        <w:spacing w:after="0" w:line="201" w:lineRule="auto"/>
        <w:rPr>
          <w:sz w:val="20"/>
          <w:szCs w:val="20"/>
          <w:color w:val="auto"/>
        </w:rPr>
      </w:pPr>
      <w:r>
        <w:rPr>
          <w:rFonts w:ascii="Arial" w:cs="Arial" w:eastAsia="Arial" w:hAnsi="Arial"/>
          <w:sz w:val="14"/>
          <w:szCs w:val="14"/>
          <w:b w:val="1"/>
          <w:bCs w:val="1"/>
          <w:color w:val="auto"/>
        </w:rPr>
        <w:t>Director of Westlake Chemical Partners GP LLC</w:t>
      </w:r>
    </w:p>
    <w:p>
      <w:pPr>
        <w:jc w:val="center"/>
        <w:ind w:left="692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04"/>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2021-11-03T12:35:07Z</dcterms:created>
  <dcterms:modified xsi:type="dcterms:W3CDTF">2021-11-03T12:35:07Z</dcterms:modified>
</cp:coreProperties>
</file>