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141605</wp:posOffset>
            </wp:positionV>
            <wp:extent cx="32061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135255</wp:posOffset>
            </wp:positionV>
            <wp:extent cx="32061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22" w:lineRule="exact"/>
        <w:rPr>
          <w:sz w:val="24"/>
          <w:szCs w:val="24"/>
          <w:color w:val="auto"/>
        </w:rPr>
      </w:pPr>
    </w:p>
    <w:p>
      <w:pPr>
        <w:ind w:left="680" w:right="80" w:hanging="654"/>
        <w:spacing w:after="0" w:line="235" w:lineRule="auto"/>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 w:lineRule="exact"/>
        <w:rPr>
          <w:sz w:val="24"/>
          <w:szCs w:val="24"/>
          <w:color w:val="auto"/>
        </w:rPr>
      </w:pPr>
    </w:p>
    <w:p>
      <w:pPr>
        <w:ind w:left="680"/>
        <w:spacing w:after="0"/>
        <w:tabs>
          <w:tab w:leader="none" w:pos="3760" w:val="left"/>
        </w:tabs>
        <w:rPr>
          <w:sz w:val="20"/>
          <w:szCs w:val="20"/>
          <w:color w:val="auto"/>
        </w:rPr>
      </w:pPr>
      <w:r>
        <w:rPr>
          <w:rFonts w:ascii="Arial" w:cs="Arial" w:eastAsia="Arial" w:hAnsi="Arial"/>
          <w:sz w:val="18"/>
          <w:szCs w:val="18"/>
          <w:b w:val="1"/>
          <w:bCs w:val="1"/>
          <w:color w:val="auto"/>
        </w:rPr>
        <w:t>For the quarterly period ended</w:t>
      </w:r>
      <w:r>
        <w:rPr>
          <w:sz w:val="20"/>
          <w:szCs w:val="20"/>
          <w:color w:val="auto"/>
        </w:rPr>
        <w:tab/>
      </w:r>
      <w:r>
        <w:rPr>
          <w:rFonts w:ascii="Arial" w:cs="Arial" w:eastAsia="Arial" w:hAnsi="Arial"/>
          <w:sz w:val="16"/>
          <w:szCs w:val="16"/>
          <w:b w:val="1"/>
          <w:bCs w:val="1"/>
          <w:color w:val="auto"/>
        </w:rPr>
        <w:t>March 31, 2021</w:t>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680" w:right="40" w:hanging="641"/>
        <w:spacing w:after="0" w:line="235" w:lineRule="auto"/>
        <w:tabs>
          <w:tab w:leader="none" w:pos="6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680"/>
        <w:spacing w:after="0"/>
        <w:tabs>
          <w:tab w:leader="none" w:pos="39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5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154305</wp:posOffset>
            </wp:positionV>
            <wp:extent cx="3206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Westlake Chemical Partners LP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1959610</wp:posOffset>
            </wp:positionH>
            <wp:positionV relativeFrom="paragraph">
              <wp:posOffset>107315</wp:posOffset>
            </wp:positionV>
            <wp:extent cx="3206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60" w:type="dxa"/>
            <w:vAlign w:val="bottom"/>
          </w:tcPr>
          <w:p>
            <w:pPr>
              <w:spacing w:after="0"/>
              <w:rPr>
                <w:sz w:val="19"/>
                <w:szCs w:val="19"/>
                <w:color w:val="auto"/>
              </w:rPr>
            </w:pPr>
          </w:p>
        </w:tc>
        <w:tc>
          <w:tcPr>
            <w:tcW w:w="3720" w:type="dxa"/>
            <w:vAlign w:val="bottom"/>
            <w:gridSpan w:val="2"/>
          </w:tcPr>
          <w:p>
            <w:pPr>
              <w:jc w:val="center"/>
              <w:ind w:left="1636"/>
              <w:spacing w:after="0"/>
              <w:rPr>
                <w:sz w:val="20"/>
                <w:szCs w:val="20"/>
                <w:color w:val="auto"/>
              </w:rPr>
            </w:pPr>
            <w:r>
              <w:rPr>
                <w:rFonts w:ascii="Arial" w:cs="Arial" w:eastAsia="Arial" w:hAnsi="Arial"/>
                <w:sz w:val="18"/>
                <w:szCs w:val="18"/>
                <w:b w:val="1"/>
                <w:bCs w:val="1"/>
                <w:color w:val="auto"/>
                <w:w w:val="91"/>
              </w:rPr>
              <w:t>Delaware</w:t>
            </w:r>
          </w:p>
        </w:tc>
        <w:tc>
          <w:tcPr>
            <w:tcW w:w="2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00" w:type="dxa"/>
            <w:vAlign w:val="bottom"/>
          </w:tcPr>
          <w:p>
            <w:pPr>
              <w:jc w:val="center"/>
              <w:ind w:right="1297"/>
              <w:spacing w:after="0"/>
              <w:rPr>
                <w:sz w:val="20"/>
                <w:szCs w:val="20"/>
                <w:color w:val="auto"/>
              </w:rPr>
            </w:pPr>
            <w:r>
              <w:rPr>
                <w:rFonts w:ascii="Arial" w:cs="Arial" w:eastAsia="Arial" w:hAnsi="Arial"/>
                <w:sz w:val="18"/>
                <w:szCs w:val="18"/>
                <w:b w:val="1"/>
                <w:bCs w:val="1"/>
                <w:color w:val="auto"/>
                <w:w w:val="89"/>
              </w:rPr>
              <w:t>32-0436529</w:t>
            </w: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3720" w:type="dxa"/>
            <w:vAlign w:val="bottom"/>
            <w:gridSpan w:val="2"/>
          </w:tcPr>
          <w:p>
            <w:pPr>
              <w:jc w:val="center"/>
              <w:ind w:left="1636"/>
              <w:spacing w:after="0" w:line="144" w:lineRule="exact"/>
              <w:rPr>
                <w:sz w:val="20"/>
                <w:szCs w:val="20"/>
                <w:color w:val="auto"/>
              </w:rPr>
            </w:pPr>
            <w:r>
              <w:rPr>
                <w:rFonts w:ascii="Arial" w:cs="Arial" w:eastAsia="Arial" w:hAnsi="Arial"/>
                <w:sz w:val="14"/>
                <w:szCs w:val="14"/>
                <w:b w:val="1"/>
                <w:bCs w:val="1"/>
                <w:color w:val="auto"/>
                <w:w w:val="93"/>
              </w:rPr>
              <w:t>(State or other jurisdiction of</w:t>
            </w:r>
          </w:p>
        </w:tc>
        <w:tc>
          <w:tcPr>
            <w:tcW w:w="28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0" w:type="dxa"/>
            <w:vAlign w:val="bottom"/>
          </w:tcPr>
          <w:p>
            <w:pPr>
              <w:jc w:val="center"/>
              <w:ind w:right="1317"/>
              <w:spacing w:after="0" w:line="144"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720" w:type="dxa"/>
            <w:vAlign w:val="bottom"/>
            <w:gridSpan w:val="2"/>
          </w:tcPr>
          <w:p>
            <w:pPr>
              <w:jc w:val="center"/>
              <w:ind w:left="1636"/>
              <w:spacing w:after="0"/>
              <w:rPr>
                <w:sz w:val="20"/>
                <w:szCs w:val="20"/>
                <w:color w:val="auto"/>
              </w:rPr>
            </w:pPr>
            <w:r>
              <w:rPr>
                <w:rFonts w:ascii="Arial" w:cs="Arial" w:eastAsia="Arial" w:hAnsi="Arial"/>
                <w:sz w:val="14"/>
                <w:szCs w:val="14"/>
                <w:b w:val="1"/>
                <w:bCs w:val="1"/>
                <w:color w:val="auto"/>
                <w:w w:val="94"/>
              </w:rPr>
              <w:t>incorporation or organization)</w:t>
            </w:r>
          </w:p>
        </w:tc>
        <w:tc>
          <w:tcPr>
            <w:tcW w:w="28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0" w:type="dxa"/>
            <w:vAlign w:val="bottom"/>
          </w:tcPr>
          <w:p>
            <w:pPr>
              <w:jc w:val="center"/>
              <w:ind w:right="1297"/>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443"/>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60" w:type="dxa"/>
            <w:vAlign w:val="bottom"/>
            <w:gridSpan w:val="2"/>
          </w:tcPr>
          <w:p>
            <w:pPr>
              <w:jc w:val="center"/>
              <w:ind w:left="135"/>
              <w:spacing w:after="0"/>
              <w:rPr>
                <w:sz w:val="20"/>
                <w:szCs w:val="20"/>
                <w:color w:val="auto"/>
              </w:rPr>
            </w:pPr>
            <w:r>
              <w:rPr>
                <w:rFonts w:ascii="Arial" w:cs="Arial" w:eastAsia="Arial" w:hAnsi="Arial"/>
                <w:sz w:val="18"/>
                <w:szCs w:val="18"/>
                <w:b w:val="1"/>
                <w:bCs w:val="1"/>
                <w:color w:val="auto"/>
                <w:w w:val="90"/>
              </w:rPr>
              <w:t>2801 Post Oak Boulevard, Suite 600</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60" w:type="dxa"/>
            <w:vAlign w:val="bottom"/>
            <w:gridSpan w:val="2"/>
          </w:tcPr>
          <w:p>
            <w:pPr>
              <w:jc w:val="center"/>
              <w:ind w:left="155"/>
              <w:spacing w:after="0"/>
              <w:rPr>
                <w:sz w:val="20"/>
                <w:szCs w:val="20"/>
                <w:color w:val="auto"/>
              </w:rPr>
            </w:pPr>
            <w:r>
              <w:rPr>
                <w:rFonts w:ascii="Arial" w:cs="Arial" w:eastAsia="Arial" w:hAnsi="Arial"/>
                <w:sz w:val="18"/>
                <w:szCs w:val="18"/>
                <w:b w:val="1"/>
                <w:bCs w:val="1"/>
                <w:color w:val="auto"/>
                <w:w w:val="87"/>
              </w:rPr>
              <w:t>Houston, Texas 77056</w:t>
            </w:r>
          </w:p>
        </w:tc>
        <w:tc>
          <w:tcPr>
            <w:tcW w:w="4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460" w:type="dxa"/>
            <w:vAlign w:val="bottom"/>
            <w:gridSpan w:val="3"/>
          </w:tcPr>
          <w:p>
            <w:pPr>
              <w:jc w:val="center"/>
              <w:ind w:right="3697"/>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0" w:type="dxa"/>
            <w:vAlign w:val="bottom"/>
          </w:tcPr>
          <w:p>
            <w:pPr>
              <w:spacing w:after="0"/>
              <w:rPr>
                <w:sz w:val="1"/>
                <w:szCs w:val="1"/>
                <w:color w:val="auto"/>
              </w:rPr>
            </w:pPr>
          </w:p>
        </w:tc>
      </w:tr>
      <w:tr>
        <w:trPr>
          <w:trHeight w:val="354"/>
        </w:trPr>
        <w:tc>
          <w:tcPr>
            <w:tcW w:w="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jc w:val="center"/>
              <w:ind w:left="755"/>
              <w:spacing w:after="0"/>
              <w:rPr>
                <w:sz w:val="20"/>
                <w:szCs w:val="20"/>
                <w:color w:val="auto"/>
              </w:rPr>
            </w:pPr>
            <w:r>
              <w:rPr>
                <w:rFonts w:ascii="Arial" w:cs="Arial" w:eastAsia="Arial" w:hAnsi="Arial"/>
                <w:sz w:val="18"/>
                <w:szCs w:val="18"/>
                <w:b w:val="1"/>
                <w:bCs w:val="1"/>
                <w:color w:val="auto"/>
                <w:w w:val="90"/>
              </w:rPr>
              <w:t>(713) 585-2900</w:t>
            </w:r>
          </w:p>
        </w:tc>
        <w:tc>
          <w:tcPr>
            <w:tcW w:w="6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60" w:type="dxa"/>
            <w:vAlign w:val="bottom"/>
            <w:gridSpan w:val="2"/>
          </w:tcPr>
          <w:p>
            <w:pPr>
              <w:jc w:val="center"/>
              <w:ind w:left="135"/>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4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8"/>
        </w:trPr>
        <w:tc>
          <w:tcPr>
            <w:tcW w:w="7240" w:type="dxa"/>
            <w:vAlign w:val="bottom"/>
            <w:gridSpan w:val="5"/>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4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0" w:type="dxa"/>
            <w:vAlign w:val="bottom"/>
          </w:tcPr>
          <w:p>
            <w:pPr>
              <w:spacing w:after="0"/>
              <w:rPr>
                <w:sz w:val="10"/>
                <w:szCs w:val="10"/>
                <w:color w:val="auto"/>
              </w:rPr>
            </w:pPr>
          </w:p>
        </w:tc>
        <w:tc>
          <w:tcPr>
            <w:tcW w:w="32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284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4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500" w:type="dxa"/>
            <w:vAlign w:val="bottom"/>
            <w:tcBorders>
              <w:bottom w:val="single" w:sz="8" w:color="auto"/>
            </w:tcBorders>
          </w:tcPr>
          <w:p>
            <w:pPr>
              <w:spacing w:after="0"/>
              <w:rPr>
                <w:sz w:val="19"/>
                <w:szCs w:val="19"/>
                <w:color w:val="auto"/>
              </w:rPr>
            </w:pPr>
          </w:p>
        </w:tc>
        <w:tc>
          <w:tcPr>
            <w:tcW w:w="2840" w:type="dxa"/>
            <w:vAlign w:val="bottom"/>
            <w:tcBorders>
              <w:bottom w:val="single" w:sz="8" w:color="auto"/>
              <w:right w:val="single" w:sz="8" w:color="auto"/>
            </w:tcBorders>
          </w:tcPr>
          <w:p>
            <w:pPr>
              <w:jc w:val="center"/>
              <w:ind w:right="435"/>
              <w:spacing w:after="0"/>
              <w:rPr>
                <w:sz w:val="20"/>
                <w:szCs w:val="20"/>
                <w:color w:val="auto"/>
              </w:rPr>
            </w:pPr>
            <w:r>
              <w:rPr>
                <w:rFonts w:ascii="Arial" w:cs="Arial" w:eastAsia="Arial" w:hAnsi="Arial"/>
                <w:sz w:val="18"/>
                <w:szCs w:val="18"/>
                <w:b w:val="1"/>
                <w:bCs w:val="1"/>
                <w:color w:val="auto"/>
                <w:w w:val="91"/>
              </w:rPr>
              <w:t>Trading Symbol(s)</w:t>
            </w:r>
          </w:p>
        </w:tc>
        <w:tc>
          <w:tcPr>
            <w:tcW w:w="620" w:type="dxa"/>
            <w:vAlign w:val="bottom"/>
            <w:tcBorders>
              <w:bottom w:val="single" w:sz="8" w:color="auto"/>
            </w:tcBorders>
          </w:tcPr>
          <w:p>
            <w:pPr>
              <w:spacing w:after="0"/>
              <w:rPr>
                <w:sz w:val="19"/>
                <w:szCs w:val="19"/>
                <w:color w:val="auto"/>
              </w:rPr>
            </w:pPr>
          </w:p>
        </w:tc>
        <w:tc>
          <w:tcPr>
            <w:tcW w:w="4000" w:type="dxa"/>
            <w:vAlign w:val="bottom"/>
            <w:tcBorders>
              <w:bottom w:val="single" w:sz="8" w:color="auto"/>
              <w:right w:val="single" w:sz="8" w:color="auto"/>
            </w:tcBorders>
          </w:tcPr>
          <w:p>
            <w:pPr>
              <w:jc w:val="center"/>
              <w:ind w:right="577"/>
              <w:spacing w:after="0"/>
              <w:rPr>
                <w:sz w:val="20"/>
                <w:szCs w:val="20"/>
                <w:color w:val="auto"/>
              </w:rPr>
            </w:pPr>
            <w:r>
              <w:rPr>
                <w:rFonts w:ascii="Arial" w:cs="Arial" w:eastAsia="Arial" w:hAnsi="Arial"/>
                <w:sz w:val="18"/>
                <w:szCs w:val="18"/>
                <w:b w:val="1"/>
                <w:bCs w:val="1"/>
                <w:color w:val="auto"/>
                <w:w w:val="87"/>
              </w:rPr>
              <w:t>Name of each exchange on which registered</w:t>
            </w:r>
          </w:p>
        </w:tc>
        <w:tc>
          <w:tcPr>
            <w:tcW w:w="0" w:type="dxa"/>
            <w:vAlign w:val="bottom"/>
          </w:tcPr>
          <w:p>
            <w:pPr>
              <w:spacing w:after="0"/>
              <w:rPr>
                <w:sz w:val="1"/>
                <w:szCs w:val="1"/>
                <w:color w:val="auto"/>
              </w:rPr>
            </w:pPr>
          </w:p>
        </w:tc>
      </w:tr>
      <w:tr>
        <w:trPr>
          <w:trHeight w:val="169"/>
        </w:trPr>
        <w:tc>
          <w:tcPr>
            <w:tcW w:w="60" w:type="dxa"/>
            <w:vAlign w:val="bottom"/>
            <w:tcBorders>
              <w:right w:val="single" w:sz="8" w:color="auto"/>
            </w:tcBorders>
          </w:tcPr>
          <w:p>
            <w:pPr>
              <w:spacing w:after="0"/>
              <w:rPr>
                <w:sz w:val="14"/>
                <w:szCs w:val="14"/>
                <w:color w:val="auto"/>
              </w:rPr>
            </w:pPr>
          </w:p>
        </w:tc>
        <w:tc>
          <w:tcPr>
            <w:tcW w:w="3220" w:type="dxa"/>
            <w:vAlign w:val="bottom"/>
            <w:tcBorders>
              <w:right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Common units representing limited</w:t>
            </w:r>
          </w:p>
        </w:tc>
        <w:tc>
          <w:tcPr>
            <w:tcW w:w="500" w:type="dxa"/>
            <w:vAlign w:val="bottom"/>
          </w:tcPr>
          <w:p>
            <w:pPr>
              <w:spacing w:after="0"/>
              <w:rPr>
                <w:sz w:val="14"/>
                <w:szCs w:val="14"/>
                <w:color w:val="auto"/>
              </w:rPr>
            </w:pPr>
          </w:p>
        </w:tc>
        <w:tc>
          <w:tcPr>
            <w:tcW w:w="2840" w:type="dxa"/>
            <w:vAlign w:val="bottom"/>
            <w:tcBorders>
              <w:right w:val="single" w:sz="8" w:color="auto"/>
            </w:tcBorders>
            <w:vMerge w:val="restart"/>
          </w:tcPr>
          <w:p>
            <w:pPr>
              <w:jc w:val="center"/>
              <w:ind w:right="435"/>
              <w:spacing w:after="0"/>
              <w:rPr>
                <w:sz w:val="20"/>
                <w:szCs w:val="20"/>
                <w:color w:val="auto"/>
              </w:rPr>
            </w:pPr>
            <w:r>
              <w:rPr>
                <w:rFonts w:ascii="Arial" w:cs="Arial" w:eastAsia="Arial" w:hAnsi="Arial"/>
                <w:sz w:val="18"/>
                <w:szCs w:val="18"/>
                <w:color w:val="auto"/>
              </w:rPr>
              <w:t>WLKP</w:t>
            </w:r>
          </w:p>
        </w:tc>
        <w:tc>
          <w:tcPr>
            <w:tcW w:w="620" w:type="dxa"/>
            <w:vAlign w:val="bottom"/>
          </w:tcPr>
          <w:p>
            <w:pPr>
              <w:spacing w:after="0"/>
              <w:rPr>
                <w:sz w:val="14"/>
                <w:szCs w:val="14"/>
                <w:color w:val="auto"/>
              </w:rPr>
            </w:pPr>
          </w:p>
        </w:tc>
        <w:tc>
          <w:tcPr>
            <w:tcW w:w="4000" w:type="dxa"/>
            <w:vAlign w:val="bottom"/>
            <w:tcBorders>
              <w:right w:val="single" w:sz="8" w:color="auto"/>
            </w:tcBorders>
            <w:vMerge w:val="restart"/>
          </w:tcPr>
          <w:p>
            <w:pPr>
              <w:jc w:val="center"/>
              <w:ind w:right="557"/>
              <w:spacing w:after="0"/>
              <w:rPr>
                <w:sz w:val="20"/>
                <w:szCs w:val="20"/>
                <w:color w:val="auto"/>
              </w:rPr>
            </w:pPr>
            <w:r>
              <w:rPr>
                <w:rFonts w:ascii="Arial" w:cs="Arial" w:eastAsia="Arial" w:hAnsi="Arial"/>
                <w:sz w:val="18"/>
                <w:szCs w:val="18"/>
                <w:color w:val="auto"/>
                <w:w w:val="91"/>
              </w:rPr>
              <w:t>The New York Stock Exchange</w:t>
            </w:r>
          </w:p>
        </w:tc>
        <w:tc>
          <w:tcPr>
            <w:tcW w:w="0" w:type="dxa"/>
            <w:vAlign w:val="bottom"/>
          </w:tcPr>
          <w:p>
            <w:pPr>
              <w:spacing w:after="0"/>
              <w:rPr>
                <w:sz w:val="1"/>
                <w:szCs w:val="1"/>
                <w:color w:val="auto"/>
              </w:rPr>
            </w:pPr>
          </w:p>
        </w:tc>
      </w:tr>
      <w:tr>
        <w:trPr>
          <w:trHeight w:val="230"/>
        </w:trPr>
        <w:tc>
          <w:tcPr>
            <w:tcW w:w="60" w:type="dxa"/>
            <w:vAlign w:val="bottom"/>
            <w:tcBorders>
              <w:right w:val="single" w:sz="8" w:color="auto"/>
            </w:tcBorders>
          </w:tcPr>
          <w:p>
            <w:pPr>
              <w:spacing w:after="0"/>
              <w:rPr>
                <w:sz w:val="19"/>
                <w:szCs w:val="19"/>
                <w:color w:val="auto"/>
              </w:rPr>
            </w:pPr>
          </w:p>
        </w:tc>
        <w:tc>
          <w:tcPr>
            <w:tcW w:w="3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partnership interests</w:t>
            </w:r>
          </w:p>
        </w:tc>
        <w:tc>
          <w:tcPr>
            <w:tcW w:w="500" w:type="dxa"/>
            <w:vAlign w:val="bottom"/>
            <w:tcBorders>
              <w:bottom w:val="single" w:sz="8" w:color="auto"/>
            </w:tcBorders>
          </w:tcPr>
          <w:p>
            <w:pPr>
              <w:spacing w:after="0"/>
              <w:rPr>
                <w:sz w:val="19"/>
                <w:szCs w:val="19"/>
                <w:color w:val="auto"/>
              </w:rPr>
            </w:pPr>
          </w:p>
        </w:tc>
        <w:tc>
          <w:tcPr>
            <w:tcW w:w="2840" w:type="dxa"/>
            <w:vAlign w:val="bottom"/>
            <w:tcBorders>
              <w:bottom w:val="single" w:sz="8" w:color="auto"/>
              <w:right w:val="single" w:sz="8" w:color="auto"/>
            </w:tcBorders>
            <w:vMerge w:val="continue"/>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000" w:type="dxa"/>
            <w:vAlign w:val="bottom"/>
            <w:tcBorders>
              <w:bottom w:val="single" w:sz="8" w:color="auto"/>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9" w:lineRule="exact"/>
        <w:rPr>
          <w:sz w:val="24"/>
          <w:szCs w:val="24"/>
          <w:color w:val="auto"/>
        </w:rPr>
      </w:pPr>
    </w:p>
    <w:p>
      <w:pPr>
        <w:ind w:right="2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ind w:right="360"/>
        <w:spacing w:after="0" w:line="23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w:cs="Arial" w:eastAsia="Arial" w:hAnsi="Arial"/>
          <w:sz w:val="16"/>
          <w:szCs w:val="16"/>
          <w:b w:val="1"/>
          <w:bCs w:val="1"/>
          <w:color w:val="auto"/>
        </w:rPr>
        <w:t>Yes</w:t>
      </w:r>
      <w:r>
        <w:rPr>
          <w:rFonts w:ascii="Arial" w:cs="Arial" w:eastAsia="Arial" w:hAnsi="Arial"/>
          <w:sz w:val="16"/>
          <w:szCs w:val="16"/>
          <w:color w:val="auto"/>
        </w:rPr>
        <w:t xml:space="preserve"> x </w:t>
      </w:r>
      <w:r>
        <w:rPr>
          <w:rFonts w:ascii="Arial" w:cs="Arial" w:eastAsia="Arial" w:hAnsi="Arial"/>
          <w:sz w:val="16"/>
          <w:szCs w:val="16"/>
          <w:b w:val="1"/>
          <w:bCs w:val="1"/>
          <w:color w:val="auto"/>
        </w:rPr>
        <w:t>No</w:t>
      </w:r>
      <w:r>
        <w:rPr>
          <w:rFonts w:ascii="Arial" w:cs="Arial" w:eastAsia="Arial" w:hAnsi="Arial"/>
          <w:sz w:val="16"/>
          <w:szCs w:val="16"/>
          <w:color w:val="auto"/>
        </w:rPr>
        <w:t xml:space="preserve"> </w:t>
      </w:r>
      <w:r>
        <w:rPr>
          <w:rFonts w:ascii="MS PGothic" w:cs="MS PGothic" w:eastAsia="MS PGothic" w:hAnsi="MS PGothic"/>
          <w:sz w:val="16"/>
          <w:szCs w:val="16"/>
          <w:color w:val="auto"/>
        </w:rPr>
        <w:t>☐</w:t>
      </w:r>
    </w:p>
    <w:p>
      <w:pPr>
        <w:spacing w:after="0" w:line="128"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1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380" w:type="dxa"/>
            <w:vAlign w:val="bottom"/>
          </w:tcPr>
          <w:p>
            <w:pPr>
              <w:spacing w:after="0"/>
              <w:rPr>
                <w:sz w:val="20"/>
                <w:szCs w:val="20"/>
                <w:color w:val="auto"/>
              </w:rPr>
            </w:pPr>
            <w:r>
              <w:rPr>
                <w:rFonts w:ascii="Arial" w:cs="Arial" w:eastAsia="Arial" w:hAnsi="Arial"/>
                <w:sz w:val="18"/>
                <w:szCs w:val="18"/>
                <w:b w:val="1"/>
                <w:bCs w:val="1"/>
                <w:color w:val="auto"/>
              </w:rPr>
              <w:t>Large 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Arial" w:cs="Arial" w:eastAsia="Arial" w:hAnsi="Arial"/>
                <w:sz w:val="18"/>
                <w:szCs w:val="18"/>
                <w:b w:val="1"/>
                <w:bCs w:val="1"/>
                <w:color w:val="auto"/>
              </w:rPr>
              <w:t>Accelerated filer</w:t>
            </w:r>
          </w:p>
        </w:tc>
        <w:tc>
          <w:tcPr>
            <w:tcW w:w="680" w:type="dxa"/>
            <w:vAlign w:val="bottom"/>
          </w:tcPr>
          <w:p>
            <w:pPr>
              <w:ind w:left="520"/>
              <w:spacing w:after="0"/>
              <w:rPr>
                <w:sz w:val="20"/>
                <w:szCs w:val="20"/>
                <w:color w:val="auto"/>
              </w:rPr>
            </w:pPr>
            <w:r>
              <w:rPr>
                <w:rFonts w:ascii="Arial" w:cs="Arial" w:eastAsia="Arial" w:hAnsi="Arial"/>
                <w:sz w:val="18"/>
                <w:szCs w:val="18"/>
                <w:color w:val="auto"/>
              </w:rPr>
              <w:t>x</w:t>
            </w:r>
          </w:p>
        </w:tc>
      </w:tr>
      <w:tr>
        <w:trPr>
          <w:trHeight w:val="338"/>
        </w:trPr>
        <w:tc>
          <w:tcPr>
            <w:tcW w:w="2380" w:type="dxa"/>
            <w:vAlign w:val="bottom"/>
          </w:tcPr>
          <w:p>
            <w:pPr>
              <w:spacing w:after="0"/>
              <w:rPr>
                <w:sz w:val="20"/>
                <w:szCs w:val="20"/>
                <w:color w:val="auto"/>
              </w:rPr>
            </w:pPr>
            <w:r>
              <w:rPr>
                <w:rFonts w:ascii="Arial" w:cs="Arial" w:eastAsia="Arial" w:hAnsi="Arial"/>
                <w:sz w:val="18"/>
                <w:szCs w:val="18"/>
                <w:b w:val="1"/>
                <w:bCs w:val="1"/>
                <w:color w:val="auto"/>
              </w:rPr>
              <w:t>Non-accelerated filer</w:t>
            </w:r>
          </w:p>
        </w:tc>
        <w:tc>
          <w:tcPr>
            <w:tcW w:w="3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860" w:type="dxa"/>
            <w:vAlign w:val="bottom"/>
          </w:tcPr>
          <w:p>
            <w:pPr>
              <w:ind w:left="2220"/>
              <w:spacing w:after="0"/>
              <w:rPr>
                <w:sz w:val="20"/>
                <w:szCs w:val="20"/>
                <w:color w:val="auto"/>
              </w:rPr>
            </w:pPr>
            <w:r>
              <w:rPr>
                <w:rFonts w:ascii="Arial" w:cs="Arial" w:eastAsia="Arial" w:hAnsi="Arial"/>
                <w:sz w:val="18"/>
                <w:szCs w:val="18"/>
                <w:b w:val="1"/>
                <w:bCs w:val="1"/>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3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860" w:type="dxa"/>
            <w:vAlign w:val="bottom"/>
          </w:tcPr>
          <w:p>
            <w:pPr>
              <w:ind w:left="2220"/>
              <w:spacing w:after="0"/>
              <w:rPr>
                <w:sz w:val="20"/>
                <w:szCs w:val="20"/>
                <w:color w:val="auto"/>
              </w:rPr>
            </w:pPr>
            <w:r>
              <w:rPr>
                <w:rFonts w:ascii="Arial" w:cs="Arial" w:eastAsia="Arial" w:hAnsi="Arial"/>
                <w:sz w:val="18"/>
                <w:szCs w:val="18"/>
                <w:b w:val="1"/>
                <w:bCs w:val="1"/>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22"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spacing w:after="0" w:line="207" w:lineRule="exact"/>
        <w:tabs>
          <w:tab w:leader="none" w:pos="8340" w:val="left"/>
          <w:tab w:leader="none" w:pos="91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b w:val="1"/>
          <w:bCs w:val="1"/>
          <w:color w:val="auto"/>
        </w:rPr>
        <w:t xml:space="preserve">Yes  </w:t>
      </w:r>
      <w:r>
        <w:rPr>
          <w:rFonts w:ascii="MS PGothic" w:cs="MS PGothic" w:eastAsia="MS PGothic" w:hAnsi="MS PGothic"/>
          <w:sz w:val="18"/>
          <w:szCs w:val="18"/>
          <w:color w:val="auto"/>
        </w:rPr>
        <w:t>☐</w:t>
      </w:r>
      <w:r>
        <w:rPr>
          <w:rFonts w:ascii="Arial" w:cs="Arial" w:eastAsia="Arial" w:hAnsi="Arial"/>
          <w:sz w:val="18"/>
          <w:szCs w:val="18"/>
          <w:b w:val="1"/>
          <w:bCs w:val="1"/>
          <w:color w:val="auto"/>
        </w:rPr>
        <w:tab/>
        <w:t xml:space="preserve">No  </w:t>
      </w:r>
      <w:r>
        <w:rPr>
          <w:rFonts w:ascii="Arial" w:cs="Arial" w:eastAsia="Arial" w:hAnsi="Arial"/>
          <w:sz w:val="18"/>
          <w:szCs w:val="18"/>
          <w:color w:val="auto"/>
        </w:rPr>
        <w:t>x</w:t>
      </w:r>
    </w:p>
    <w:p>
      <w:pPr>
        <w:spacing w:after="0" w:line="379" w:lineRule="exact"/>
        <w:rPr>
          <w:sz w:val="24"/>
          <w:szCs w:val="24"/>
          <w:color w:val="auto"/>
        </w:rPr>
      </w:pPr>
    </w:p>
    <w:p>
      <w:pPr>
        <w:spacing w:after="0"/>
        <w:rPr>
          <w:sz w:val="20"/>
          <w:szCs w:val="20"/>
          <w:color w:val="auto"/>
        </w:rPr>
      </w:pPr>
      <w:r>
        <w:rPr>
          <w:rFonts w:ascii="Arial" w:cs="Arial" w:eastAsia="Arial" w:hAnsi="Arial"/>
          <w:sz w:val="18"/>
          <w:szCs w:val="18"/>
          <w:color w:val="auto"/>
        </w:rPr>
        <w:t>The registrant had 35,198,903 common units outstanding as of April 28, 2021.</w:t>
      </w:r>
    </w:p>
    <w:p>
      <w:pPr>
        <w:sectPr>
          <w:pgSz w:w="11900" w:h="16838" w:orient="portrait"/>
          <w:cols w:equalWidth="0" w:num="1">
            <w:col w:w="11240"/>
          </w:cols>
          <w:pgMar w:left="320" w:top="1043" w:right="339" w:bottom="308"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170815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Item</w:t>
            </w:r>
          </w:p>
        </w:tc>
        <w:tc>
          <w:tcPr>
            <w:tcW w:w="200" w:type="dxa"/>
            <w:vAlign w:val="bottom"/>
          </w:tcPr>
          <w:p>
            <w:pPr>
              <w:spacing w:after="0"/>
              <w:rPr>
                <w:sz w:val="14"/>
                <w:szCs w:val="14"/>
                <w:color w:val="auto"/>
              </w:rPr>
            </w:pPr>
          </w:p>
        </w:tc>
        <w:tc>
          <w:tcPr>
            <w:tcW w:w="9920" w:type="dxa"/>
            <w:vAlign w:val="bottom"/>
          </w:tcPr>
          <w:p>
            <w:pPr>
              <w:spacing w:after="0"/>
              <w:rPr>
                <w:sz w:val="14"/>
                <w:szCs w:val="14"/>
                <w:color w:val="auto"/>
              </w:rPr>
            </w:pPr>
          </w:p>
        </w:tc>
        <w:tc>
          <w:tcPr>
            <w:tcW w:w="800" w:type="dxa"/>
            <w:vAlign w:val="bottom"/>
            <w:gridSpan w:val="2"/>
          </w:tcPr>
          <w:p>
            <w:pPr>
              <w:ind w:left="2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420" w:type="dxa"/>
            <w:vAlign w:val="bottom"/>
            <w:gridSpan w:val="3"/>
            <w:vMerge w:val="restart"/>
          </w:tcPr>
          <w:p>
            <w:pPr>
              <w:spacing w:after="0"/>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 FINANCIAL INFORMATION</w:t>
              </w:r>
            </w:hyperlink>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10420" w:type="dxa"/>
            <w:vAlign w:val="bottom"/>
            <w:gridSpan w:val="3"/>
            <w:vMerge w:val="continue"/>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 w:type="dxa"/>
            <w:vAlign w:val="bottom"/>
            <w:gridSpan w:val="3"/>
          </w:tcPr>
          <w:p>
            <w:pPr>
              <w:ind w:left="360"/>
              <w:spacing w:after="0"/>
              <w:rPr>
                <w:rFonts w:ascii="Arial" w:cs="Arial" w:eastAsia="Arial" w:hAnsi="Arial"/>
                <w:sz w:val="18"/>
                <w:szCs w:val="18"/>
                <w:color w:val="auto"/>
                <w:w w:val="87"/>
              </w:rPr>
            </w:pPr>
            <w:hyperlink w:anchor="page4">
              <w:r>
                <w:rPr>
                  <w:rFonts w:ascii="Arial" w:cs="Arial" w:eastAsia="Arial" w:hAnsi="Arial"/>
                  <w:sz w:val="18"/>
                  <w:szCs w:val="18"/>
                  <w:color w:val="auto"/>
                  <w:w w:val="87"/>
                </w:rPr>
                <w:t>1)</w:t>
              </w:r>
            </w:hyperlink>
          </w:p>
        </w:tc>
        <w:tc>
          <w:tcPr>
            <w:tcW w:w="9920" w:type="dxa"/>
            <w:vAlign w:val="bottom"/>
          </w:tcPr>
          <w:p>
            <w:pPr>
              <w:ind w:left="20"/>
              <w:spacing w:after="0"/>
              <w:rPr>
                <w:rFonts w:ascii="Arial" w:cs="Arial" w:eastAsia="Arial" w:hAnsi="Arial"/>
                <w:sz w:val="18"/>
                <w:szCs w:val="18"/>
                <w:color w:val="auto"/>
              </w:rPr>
            </w:pPr>
            <w:hyperlink w:anchor="page4">
              <w:r>
                <w:rPr>
                  <w:rFonts w:ascii="Arial" w:cs="Arial" w:eastAsia="Arial" w:hAnsi="Arial"/>
                  <w:sz w:val="18"/>
                  <w:szCs w:val="18"/>
                  <w:color w:val="auto"/>
                </w:rPr>
                <w:t>Financial Statements</w:t>
              </w:r>
            </w:hyperlink>
          </w:p>
        </w:tc>
        <w:tc>
          <w:tcPr>
            <w:tcW w:w="78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1</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 w:type="dxa"/>
            <w:vAlign w:val="bottom"/>
            <w:gridSpan w:val="3"/>
          </w:tcPr>
          <w:p>
            <w:pPr>
              <w:ind w:left="360"/>
              <w:spacing w:after="0"/>
              <w:rPr>
                <w:rFonts w:ascii="Arial" w:cs="Arial" w:eastAsia="Arial" w:hAnsi="Arial"/>
                <w:sz w:val="18"/>
                <w:szCs w:val="18"/>
                <w:color w:val="auto"/>
                <w:w w:val="87"/>
              </w:rPr>
            </w:pPr>
            <w:hyperlink w:anchor="page15">
              <w:r>
                <w:rPr>
                  <w:rFonts w:ascii="Arial" w:cs="Arial" w:eastAsia="Arial" w:hAnsi="Arial"/>
                  <w:sz w:val="18"/>
                  <w:szCs w:val="18"/>
                  <w:color w:val="auto"/>
                  <w:w w:val="87"/>
                </w:rPr>
                <w:t>2)</w:t>
              </w:r>
            </w:hyperlink>
          </w:p>
        </w:tc>
        <w:tc>
          <w:tcPr>
            <w:tcW w:w="9920" w:type="dxa"/>
            <w:vAlign w:val="bottom"/>
          </w:tcPr>
          <w:p>
            <w:pPr>
              <w:ind w:left="20"/>
              <w:spacing w:after="0"/>
              <w:rPr>
                <w:rFonts w:ascii="Arial" w:cs="Arial" w:eastAsia="Arial" w:hAnsi="Arial"/>
                <w:sz w:val="18"/>
                <w:szCs w:val="18"/>
                <w:color w:val="auto"/>
              </w:rPr>
            </w:pPr>
            <w:hyperlink w:anchor="page15">
              <w:r>
                <w:rPr>
                  <w:rFonts w:ascii="Arial" w:cs="Arial" w:eastAsia="Arial" w:hAnsi="Arial"/>
                  <w:sz w:val="18"/>
                  <w:szCs w:val="18"/>
                  <w:color w:val="auto"/>
                </w:rPr>
                <w:t>Management's Discussion and Analysis of Financial Condition and Results of Operations</w:t>
              </w:r>
            </w:hyperlink>
          </w:p>
        </w:tc>
        <w:tc>
          <w:tcPr>
            <w:tcW w:w="780" w:type="dxa"/>
            <w:vAlign w:val="bottom"/>
          </w:tcPr>
          <w:p>
            <w:pPr>
              <w:jc w:val="right"/>
              <w:spacing w:after="0"/>
              <w:rPr>
                <w:rFonts w:ascii="Arial" w:cs="Arial" w:eastAsia="Arial" w:hAnsi="Arial"/>
                <w:sz w:val="18"/>
                <w:szCs w:val="18"/>
                <w:color w:val="auto"/>
              </w:rPr>
            </w:pPr>
            <w:hyperlink w:anchor="page15">
              <w:r>
                <w:rPr>
                  <w:rFonts w:ascii="Arial" w:cs="Arial" w:eastAsia="Arial" w:hAnsi="Arial"/>
                  <w:sz w:val="18"/>
                  <w:szCs w:val="18"/>
                  <w:color w:val="auto"/>
                </w:rPr>
                <w:t>13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rFonts w:ascii="Arial" w:cs="Arial" w:eastAsia="Arial" w:hAnsi="Arial"/>
                <w:sz w:val="18"/>
                <w:szCs w:val="18"/>
                <w:color w:val="auto"/>
                <w:w w:val="87"/>
              </w:rPr>
            </w:pPr>
            <w:hyperlink w:anchor="page25">
              <w:r>
                <w:rPr>
                  <w:rFonts w:ascii="Arial" w:cs="Arial" w:eastAsia="Arial" w:hAnsi="Arial"/>
                  <w:sz w:val="18"/>
                  <w:szCs w:val="18"/>
                  <w:color w:val="auto"/>
                  <w:w w:val="87"/>
                </w:rPr>
                <w:t>3)</w:t>
              </w:r>
            </w:hyperlink>
          </w:p>
        </w:tc>
        <w:tc>
          <w:tcPr>
            <w:tcW w:w="9920" w:type="dxa"/>
            <w:vAlign w:val="bottom"/>
          </w:tcPr>
          <w:p>
            <w:pPr>
              <w:ind w:left="20"/>
              <w:spacing w:after="0"/>
              <w:rPr>
                <w:rFonts w:ascii="Arial" w:cs="Arial" w:eastAsia="Arial" w:hAnsi="Arial"/>
                <w:sz w:val="18"/>
                <w:szCs w:val="18"/>
                <w:color w:val="auto"/>
              </w:rPr>
            </w:pPr>
            <w:hyperlink w:anchor="page25">
              <w:r>
                <w:rPr>
                  <w:rFonts w:ascii="Arial" w:cs="Arial" w:eastAsia="Arial" w:hAnsi="Arial"/>
                  <w:sz w:val="18"/>
                  <w:szCs w:val="18"/>
                  <w:color w:val="auto"/>
                </w:rPr>
                <w:t>Quantitative and Qualitative Disclosures about Market Risk</w:t>
              </w:r>
            </w:hyperlink>
          </w:p>
        </w:tc>
        <w:tc>
          <w:tcPr>
            <w:tcW w:w="78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rFonts w:ascii="Arial" w:cs="Arial" w:eastAsia="Arial" w:hAnsi="Arial"/>
                <w:sz w:val="18"/>
                <w:szCs w:val="18"/>
                <w:color w:val="auto"/>
                <w:w w:val="87"/>
              </w:rPr>
            </w:pPr>
            <w:hyperlink w:anchor="page26">
              <w:r>
                <w:rPr>
                  <w:rFonts w:ascii="Arial" w:cs="Arial" w:eastAsia="Arial" w:hAnsi="Arial"/>
                  <w:sz w:val="18"/>
                  <w:szCs w:val="18"/>
                  <w:color w:val="auto"/>
                  <w:w w:val="87"/>
                </w:rPr>
                <w:t>4)</w:t>
              </w:r>
            </w:hyperlink>
          </w:p>
        </w:tc>
        <w:tc>
          <w:tcPr>
            <w:tcW w:w="9920" w:type="dxa"/>
            <w:vAlign w:val="bottom"/>
          </w:tcPr>
          <w:p>
            <w:pPr>
              <w:ind w:left="20"/>
              <w:spacing w:after="0"/>
              <w:rPr>
                <w:rFonts w:ascii="Arial" w:cs="Arial" w:eastAsia="Arial" w:hAnsi="Arial"/>
                <w:sz w:val="18"/>
                <w:szCs w:val="18"/>
                <w:color w:val="auto"/>
              </w:rPr>
            </w:pPr>
            <w:hyperlink w:anchor="page26">
              <w:r>
                <w:rPr>
                  <w:rFonts w:ascii="Arial" w:cs="Arial" w:eastAsia="Arial" w:hAnsi="Arial"/>
                  <w:sz w:val="18"/>
                  <w:szCs w:val="18"/>
                  <w:color w:val="auto"/>
                </w:rPr>
                <w:t>Controls and Procedures</w:t>
              </w:r>
            </w:hyperlink>
          </w:p>
        </w:tc>
        <w:tc>
          <w:tcPr>
            <w:tcW w:w="78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23</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0" w:type="dxa"/>
            <w:vAlign w:val="bottom"/>
          </w:tcPr>
          <w:p>
            <w:pPr>
              <w:spacing w:after="0"/>
              <w:rPr>
                <w:sz w:val="24"/>
                <w:szCs w:val="24"/>
                <w:color w:val="auto"/>
              </w:rPr>
            </w:pPr>
          </w:p>
        </w:tc>
        <w:tc>
          <w:tcPr>
            <w:tcW w:w="10420" w:type="dxa"/>
            <w:vAlign w:val="bottom"/>
            <w:gridSpan w:val="3"/>
          </w:tcPr>
          <w:p>
            <w:pPr>
              <w:spacing w:after="0"/>
              <w:rPr>
                <w:rFonts w:ascii="Arial" w:cs="Arial" w:eastAsia="Arial" w:hAnsi="Arial"/>
                <w:sz w:val="18"/>
                <w:szCs w:val="18"/>
                <w:b w:val="1"/>
                <w:bCs w:val="1"/>
                <w:color w:val="auto"/>
              </w:rPr>
            </w:pPr>
            <w:hyperlink w:anchor="page26">
              <w:r>
                <w:rPr>
                  <w:rFonts w:ascii="Arial" w:cs="Arial" w:eastAsia="Arial" w:hAnsi="Arial"/>
                  <w:sz w:val="18"/>
                  <w:szCs w:val="18"/>
                  <w:b w:val="1"/>
                  <w:bCs w:val="1"/>
                  <w:color w:val="auto"/>
                </w:rPr>
                <w:t>PART II. OTHER INFORMATION</w:t>
              </w:r>
            </w:hyperlink>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rFonts w:ascii="Arial" w:cs="Arial" w:eastAsia="Arial" w:hAnsi="Arial"/>
                <w:sz w:val="18"/>
                <w:szCs w:val="18"/>
                <w:color w:val="auto"/>
                <w:w w:val="87"/>
              </w:rPr>
            </w:pPr>
            <w:hyperlink w:anchor="page26">
              <w:r>
                <w:rPr>
                  <w:rFonts w:ascii="Arial" w:cs="Arial" w:eastAsia="Arial" w:hAnsi="Arial"/>
                  <w:sz w:val="18"/>
                  <w:szCs w:val="18"/>
                  <w:color w:val="auto"/>
                  <w:w w:val="87"/>
                </w:rPr>
                <w:t>1)</w:t>
              </w:r>
            </w:hyperlink>
          </w:p>
        </w:tc>
        <w:tc>
          <w:tcPr>
            <w:tcW w:w="9920" w:type="dxa"/>
            <w:vAlign w:val="bottom"/>
          </w:tcPr>
          <w:p>
            <w:pPr>
              <w:ind w:left="20"/>
              <w:spacing w:after="0"/>
              <w:rPr>
                <w:rFonts w:ascii="Arial" w:cs="Arial" w:eastAsia="Arial" w:hAnsi="Arial"/>
                <w:sz w:val="18"/>
                <w:szCs w:val="18"/>
                <w:color w:val="auto"/>
              </w:rPr>
            </w:pPr>
            <w:hyperlink w:anchor="page26">
              <w:r>
                <w:rPr>
                  <w:rFonts w:ascii="Arial" w:cs="Arial" w:eastAsia="Arial" w:hAnsi="Arial"/>
                  <w:sz w:val="18"/>
                  <w:szCs w:val="18"/>
                  <w:color w:val="auto"/>
                </w:rPr>
                <w:t>Legal Proceedings</w:t>
              </w:r>
            </w:hyperlink>
          </w:p>
        </w:tc>
        <w:tc>
          <w:tcPr>
            <w:tcW w:w="78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23</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120" w:type="dxa"/>
            <w:vAlign w:val="bottom"/>
            <w:gridSpan w:val="2"/>
          </w:tcPr>
          <w:p>
            <w:pPr>
              <w:ind w:left="40"/>
              <w:spacing w:after="0"/>
              <w:rPr>
                <w:rFonts w:ascii="Arial" w:cs="Arial" w:eastAsia="Arial" w:hAnsi="Arial"/>
                <w:sz w:val="18"/>
                <w:szCs w:val="18"/>
                <w:color w:val="auto"/>
              </w:rPr>
            </w:pPr>
            <w:hyperlink w:anchor="page27">
              <w:r>
                <w:rPr>
                  <w:rFonts w:ascii="Arial" w:cs="Arial" w:eastAsia="Arial" w:hAnsi="Arial"/>
                  <w:sz w:val="18"/>
                  <w:szCs w:val="18"/>
                  <w:color w:val="auto"/>
                </w:rPr>
                <w:t>1A) Risk Factors</w:t>
              </w:r>
            </w:hyperlink>
          </w:p>
        </w:tc>
        <w:tc>
          <w:tcPr>
            <w:tcW w:w="7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24</w:t>
              </w:r>
            </w:hyperlink>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 w:type="dxa"/>
            <w:vAlign w:val="bottom"/>
            <w:gridSpan w:val="3"/>
          </w:tcPr>
          <w:p>
            <w:pPr>
              <w:ind w:left="360"/>
              <w:spacing w:after="0"/>
              <w:rPr>
                <w:rFonts w:ascii="Arial" w:cs="Arial" w:eastAsia="Arial" w:hAnsi="Arial"/>
                <w:sz w:val="18"/>
                <w:szCs w:val="18"/>
                <w:color w:val="auto"/>
                <w:w w:val="87"/>
              </w:rPr>
            </w:pPr>
            <w:hyperlink w:anchor="page27">
              <w:r>
                <w:rPr>
                  <w:rFonts w:ascii="Arial" w:cs="Arial" w:eastAsia="Arial" w:hAnsi="Arial"/>
                  <w:sz w:val="18"/>
                  <w:szCs w:val="18"/>
                  <w:color w:val="auto"/>
                  <w:w w:val="87"/>
                </w:rPr>
                <w:t>6)</w:t>
              </w:r>
            </w:hyperlink>
          </w:p>
        </w:tc>
        <w:tc>
          <w:tcPr>
            <w:tcW w:w="9920" w:type="dxa"/>
            <w:vAlign w:val="bottom"/>
          </w:tcPr>
          <w:p>
            <w:pPr>
              <w:ind w:left="20"/>
              <w:spacing w:after="0"/>
              <w:rPr>
                <w:rFonts w:ascii="Arial" w:cs="Arial" w:eastAsia="Arial" w:hAnsi="Arial"/>
                <w:sz w:val="18"/>
                <w:szCs w:val="18"/>
                <w:color w:val="auto"/>
              </w:rPr>
            </w:pPr>
            <w:hyperlink w:anchor="page27">
              <w:r>
                <w:rPr>
                  <w:rFonts w:ascii="Arial" w:cs="Arial" w:eastAsia="Arial" w:hAnsi="Arial"/>
                  <w:sz w:val="18"/>
                  <w:szCs w:val="18"/>
                  <w:color w:val="auto"/>
                </w:rPr>
                <w:t>Exhibits</w:t>
              </w:r>
            </w:hyperlink>
          </w:p>
        </w:tc>
        <w:tc>
          <w:tcPr>
            <w:tcW w:w="7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24</w:t>
              </w:r>
            </w:hyperlink>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08"/>
        </w:trPr>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9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8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8"/>
        </w:trPr>
        <w:tc>
          <w:tcPr>
            <w:tcW w:w="8240" w:type="dxa"/>
            <w:vAlign w:val="bottom"/>
          </w:tcPr>
          <w:p>
            <w:pPr>
              <w:spacing w:after="0"/>
              <w:rPr>
                <w:sz w:val="18"/>
                <w:szCs w:val="18"/>
                <w:color w:val="auto"/>
              </w:rPr>
            </w:pPr>
          </w:p>
        </w:tc>
        <w:tc>
          <w:tcPr>
            <w:tcW w:w="2980" w:type="dxa"/>
            <w:vAlign w:val="bottom"/>
            <w:gridSpan w:val="5"/>
          </w:tcPr>
          <w:p>
            <w:pPr>
              <w:jc w:val="right"/>
              <w:ind w:right="11"/>
              <w:spacing w:after="0"/>
              <w:rPr>
                <w:sz w:val="20"/>
                <w:szCs w:val="20"/>
                <w:color w:val="auto"/>
              </w:rPr>
            </w:pPr>
            <w:r>
              <w:rPr>
                <w:rFonts w:ascii="Arial" w:cs="Arial" w:eastAsia="Arial" w:hAnsi="Arial"/>
                <w:sz w:val="14"/>
                <w:szCs w:val="14"/>
                <w:b w:val="1"/>
                <w:bCs w:val="1"/>
                <w:color w:val="auto"/>
                <w:w w:val="93"/>
              </w:rPr>
              <w:t>(in thousands of dollars, except unit amounts)</w:t>
            </w:r>
          </w:p>
        </w:tc>
        <w:tc>
          <w:tcPr>
            <w:tcW w:w="0" w:type="dxa"/>
            <w:vAlign w:val="bottom"/>
          </w:tcPr>
          <w:p>
            <w:pPr>
              <w:spacing w:after="0"/>
              <w:rPr>
                <w:sz w:val="1"/>
                <w:szCs w:val="1"/>
                <w:color w:val="auto"/>
              </w:rPr>
            </w:pPr>
          </w:p>
        </w:tc>
      </w:tr>
      <w:tr>
        <w:trPr>
          <w:trHeight w:val="235"/>
        </w:trPr>
        <w:tc>
          <w:tcPr>
            <w:tcW w:w="824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1"/>
              </w:rPr>
              <w:t>ASSETS</w:t>
            </w:r>
          </w:p>
        </w:tc>
        <w:tc>
          <w:tcPr>
            <w:tcW w:w="2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17,154</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w w:val="93"/>
              </w:rPr>
              <w:t>Receivable under the Investment Management Agreement—Westlake Chemical Corporation ("Westlake")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187,239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123,228</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net—Westlake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108,028</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Accounts receivable, net—third parties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263,305</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1,039,261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1,050,677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charges and other assets, net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36,692</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1,357,134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1,356,488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jc w:val="center"/>
              <w:ind w:right="10"/>
              <w:spacing w:after="0"/>
              <w:rPr>
                <w:sz w:val="20"/>
                <w:szCs w:val="20"/>
                <w:color w:val="auto"/>
              </w:rPr>
            </w:pPr>
            <w:r>
              <w:rPr>
                <w:rFonts w:ascii="Arial" w:cs="Arial" w:eastAsia="Arial" w:hAnsi="Arial"/>
                <w:sz w:val="18"/>
                <w:szCs w:val="18"/>
                <w:b w:val="1"/>
                <w:bCs w:val="1"/>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Accounts payable—Westlake</w:t>
            </w: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11,921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7,855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payable—third parties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13,131</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Accrued and other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18,049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39,754</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Long-term debt payable to Westlake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399,674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399,674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444,026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441,351</w:t>
            </w:r>
          </w:p>
        </w:tc>
        <w:tc>
          <w:tcPr>
            <w:tcW w:w="0" w:type="dxa"/>
            <w:vAlign w:val="bottom"/>
          </w:tcPr>
          <w:p>
            <w:pPr>
              <w:spacing w:after="0"/>
              <w:rPr>
                <w:sz w:val="1"/>
                <w:szCs w:val="1"/>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rPr>
              <w:t>EQUITY</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20"/>
              <w:spacing w:after="0" w:line="176" w:lineRule="exact"/>
              <w:rPr>
                <w:sz w:val="20"/>
                <w:szCs w:val="20"/>
                <w:color w:val="auto"/>
              </w:rPr>
            </w:pPr>
            <w:r>
              <w:rPr>
                <w:rFonts w:ascii="Arial" w:cs="Arial" w:eastAsia="Arial" w:hAnsi="Arial"/>
                <w:sz w:val="18"/>
                <w:szCs w:val="18"/>
                <w:color w:val="auto"/>
              </w:rPr>
              <w:t>Common unitholders—publicly and privately held (21,076,673 and 21,076,673 units</w:t>
            </w:r>
          </w:p>
        </w:tc>
        <w:tc>
          <w:tcPr>
            <w:tcW w:w="2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470,834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471,701</w:t>
            </w:r>
          </w:p>
        </w:tc>
        <w:tc>
          <w:tcPr>
            <w:tcW w:w="0" w:type="dxa"/>
            <w:vAlign w:val="bottom"/>
          </w:tcPr>
          <w:p>
            <w:pPr>
              <w:spacing w:after="0"/>
              <w:rPr>
                <w:sz w:val="1"/>
                <w:szCs w:val="1"/>
                <w:color w:val="auto"/>
              </w:rPr>
            </w:pPr>
          </w:p>
        </w:tc>
      </w:tr>
      <w:tr>
        <w:trPr>
          <w:trHeight w:val="230"/>
        </w:trPr>
        <w:tc>
          <w:tcPr>
            <w:tcW w:w="8240" w:type="dxa"/>
            <w:vAlign w:val="bottom"/>
          </w:tcPr>
          <w:p>
            <w:pPr>
              <w:ind w:left="160"/>
              <w:spacing w:after="0"/>
              <w:rPr>
                <w:sz w:val="20"/>
                <w:szCs w:val="20"/>
                <w:color w:val="auto"/>
              </w:rPr>
            </w:pPr>
            <w:r>
              <w:rPr>
                <w:rFonts w:ascii="Arial" w:cs="Arial" w:eastAsia="Arial" w:hAnsi="Arial"/>
                <w:sz w:val="18"/>
                <w:szCs w:val="18"/>
                <w:color w:val="auto"/>
              </w:rPr>
              <w:t>issued and outstanding at March 31, 2021 and December 31, 2020, respectively)</w:t>
            </w:r>
          </w:p>
        </w:tc>
        <w:tc>
          <w:tcPr>
            <w:tcW w:w="260" w:type="dxa"/>
            <w:vAlign w:val="bottom"/>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Common unitholder—Westlake (14,122,230 and 14,122,230 units issued and outstanding</w:t>
            </w:r>
          </w:p>
        </w:tc>
        <w:tc>
          <w:tcPr>
            <w:tcW w:w="26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47,690</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48,270</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 March 31, 2021 and December 31, 2020, respectively)</w:t>
            </w:r>
          </w:p>
        </w:tc>
        <w:tc>
          <w:tcPr>
            <w:tcW w:w="26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partner—Westlake</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(242,572)</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Westlake Chemical Partners LP partners' capital</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277,399</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 in Westlake Chemical OpCo LP ("OpCo")</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637,156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637,738</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913,108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915,137</w:t>
            </w:r>
          </w:p>
        </w:tc>
        <w:tc>
          <w:tcPr>
            <w:tcW w:w="0" w:type="dxa"/>
            <w:vAlign w:val="bottom"/>
          </w:tcPr>
          <w:p>
            <w:pPr>
              <w:spacing w:after="0"/>
              <w:rPr>
                <w:sz w:val="1"/>
                <w:szCs w:val="1"/>
                <w:color w:val="auto"/>
              </w:rPr>
            </w:pPr>
          </w:p>
        </w:tc>
      </w:tr>
      <w:tr>
        <w:trPr>
          <w:trHeight w:val="223"/>
        </w:trPr>
        <w:tc>
          <w:tcPr>
            <w:tcW w:w="8240" w:type="dxa"/>
            <w:vAlign w:val="bottom"/>
          </w:tcPr>
          <w:p>
            <w:pPr>
              <w:ind w:left="680"/>
              <w:spacing w:after="0"/>
              <w:rPr>
                <w:sz w:val="20"/>
                <w:szCs w:val="20"/>
                <w:color w:val="auto"/>
              </w:rPr>
            </w:pPr>
            <w:r>
              <w:rPr>
                <w:rFonts w:ascii="Arial" w:cs="Arial" w:eastAsia="Arial" w:hAnsi="Arial"/>
                <w:sz w:val="18"/>
                <w:szCs w:val="18"/>
                <w:b w:val="1"/>
                <w:bCs w:val="1"/>
                <w:color w:val="auto"/>
              </w:rPr>
              <w:t>Total liabilities and equity</w:t>
            </w:r>
          </w:p>
        </w:tc>
        <w:tc>
          <w:tcPr>
            <w:tcW w:w="26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1,357,134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1,356,488</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center"/>
              <w:ind w:right="31"/>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87"/>
        </w:trPr>
        <w:tc>
          <w:tcPr>
            <w:tcW w:w="8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96"/>
              </w:rPr>
              <w:t>2020</w:t>
            </w:r>
          </w:p>
        </w:tc>
      </w:tr>
      <w:tr>
        <w:trPr>
          <w:trHeight w:val="170"/>
        </w:trPr>
        <w:tc>
          <w:tcPr>
            <w:tcW w:w="8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4"/>
          </w:tcPr>
          <w:p>
            <w:pPr>
              <w:jc w:val="center"/>
              <w:ind w:right="11"/>
              <w:spacing w:after="0"/>
              <w:rPr>
                <w:sz w:val="20"/>
                <w:szCs w:val="20"/>
                <w:color w:val="auto"/>
              </w:rPr>
            </w:pPr>
            <w:r>
              <w:rPr>
                <w:rFonts w:ascii="Arial" w:cs="Arial" w:eastAsia="Arial" w:hAnsi="Arial"/>
                <w:sz w:val="14"/>
                <w:szCs w:val="14"/>
                <w:b w:val="1"/>
                <w:bCs w:val="1"/>
                <w:color w:val="auto"/>
                <w:w w:val="91"/>
              </w:rPr>
              <w:t>(in thousands of dollars, except unit amounts</w:t>
            </w:r>
          </w:p>
        </w:tc>
      </w:tr>
      <w:tr>
        <w:trPr>
          <w:trHeight w:val="188"/>
        </w:trPr>
        <w:tc>
          <w:tcPr>
            <w:tcW w:w="8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3"/>
          </w:tcPr>
          <w:p>
            <w:pPr>
              <w:jc w:val="center"/>
              <w:ind w:left="713"/>
              <w:spacing w:after="0"/>
              <w:rPr>
                <w:sz w:val="20"/>
                <w:szCs w:val="20"/>
                <w:color w:val="auto"/>
              </w:rPr>
            </w:pPr>
            <w:r>
              <w:rPr>
                <w:rFonts w:ascii="Arial" w:cs="Arial" w:eastAsia="Arial" w:hAnsi="Arial"/>
                <w:sz w:val="14"/>
                <w:szCs w:val="14"/>
                <w:b w:val="1"/>
                <w:bCs w:val="1"/>
                <w:color w:val="auto"/>
                <w:w w:val="95"/>
              </w:rPr>
              <w:t>and per unit data)</w:t>
            </w:r>
          </w:p>
        </w:tc>
        <w:tc>
          <w:tcPr>
            <w:tcW w:w="900" w:type="dxa"/>
            <w:vAlign w:val="bottom"/>
          </w:tcPr>
          <w:p>
            <w:pPr>
              <w:spacing w:after="0"/>
              <w:rPr>
                <w:sz w:val="16"/>
                <w:szCs w:val="16"/>
                <w:color w:val="auto"/>
              </w:rPr>
            </w:pPr>
          </w:p>
        </w:tc>
      </w:tr>
      <w:tr>
        <w:trPr>
          <w:trHeight w:val="231"/>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Net sales—Westlake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219,803</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214,828</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co-product, ethylene and other sales—third parties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48,404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35,721</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268,207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250,549</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180,508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147,001</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87,699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103,548</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6,196</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79,026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97,352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Interest expense—Westlake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(3,950)</w:t>
            </w: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76,797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93,987</w:t>
            </w: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76,622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93,770</w:t>
            </w: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income attributable to noncontrolling interest in OpCo</w:t>
            </w: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61,476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76,023</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w w:val="94"/>
              </w:rPr>
              <w:t>Net income attributable to Westlake Chemical Partners LP and limited partners' interest in net income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15,146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17,747</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43"/>
        </w:trPr>
        <w:tc>
          <w:tcPr>
            <w:tcW w:w="82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Net income per limited partner unit attributable to Westlake Chemical Partners LP per limited partner</w:t>
            </w:r>
          </w:p>
        </w:tc>
        <w:tc>
          <w:tcPr>
            <w:tcW w:w="1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r>
      <w:tr>
        <w:trPr>
          <w:trHeight w:val="229"/>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unit (basic and diluted)</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Common units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0.50</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limited partner units outstanding (basic and diluted)</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Common units—publicly and privately held</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21,076,673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8"/>
              </w:rPr>
              <w:t>21,072,315</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units—Westlake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14,122,230</w:t>
            </w: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88"/>
        </w:trPr>
        <w:tc>
          <w:tcPr>
            <w:tcW w:w="6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i w:val="1"/>
                <w:iCs w:val="1"/>
                <w:color w:val="auto"/>
              </w:rPr>
              <w:t>Partnership</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General</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0" w:type="dxa"/>
            <w:vAlign w:val="bottom"/>
          </w:tcPr>
          <w:p>
            <w:pPr>
              <w:spacing w:after="0"/>
              <w:rPr>
                <w:sz w:val="11"/>
                <w:szCs w:val="11"/>
                <w:color w:val="auto"/>
              </w:rPr>
            </w:pPr>
          </w:p>
        </w:tc>
        <w:tc>
          <w:tcPr>
            <w:tcW w:w="10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Unitholders</w:t>
            </w:r>
            <w:r>
              <w:rPr>
                <w:rFonts w:ascii="Arial" w:cs="Arial" w:eastAsia="Arial" w:hAnsi="Arial"/>
                <w:sz w:val="14"/>
                <w:szCs w:val="14"/>
                <w:color w:val="auto"/>
                <w:w w:val="95"/>
              </w:rPr>
              <w:t>—</w:t>
            </w: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Public and</w:t>
            </w:r>
          </w:p>
        </w:tc>
        <w:tc>
          <w:tcPr>
            <w:tcW w:w="10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Unitholder</w:t>
            </w:r>
            <w:r>
              <w:rPr>
                <w:rFonts w:ascii="Arial" w:cs="Arial" w:eastAsia="Arial" w:hAnsi="Arial"/>
                <w:sz w:val="14"/>
                <w:szCs w:val="14"/>
                <w:color w:val="auto"/>
                <w:w w:val="97"/>
              </w:rPr>
              <w:t>—</w:t>
            </w: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8"/>
              </w:rPr>
              <w:t>Partner</w:t>
            </w:r>
            <w:r>
              <w:rPr>
                <w:rFonts w:ascii="Arial" w:cs="Arial" w:eastAsia="Arial" w:hAnsi="Arial"/>
                <w:sz w:val="14"/>
                <w:szCs w:val="14"/>
                <w:color w:val="auto"/>
                <w:w w:val="98"/>
              </w:rPr>
              <w:t>—</w:t>
            </w:r>
          </w:p>
        </w:tc>
        <w:tc>
          <w:tcPr>
            <w:tcW w:w="18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Interests</w:t>
            </w:r>
          </w:p>
        </w:tc>
        <w:tc>
          <w:tcPr>
            <w:tcW w:w="200" w:type="dxa"/>
            <w:vAlign w:val="bottom"/>
          </w:tcPr>
          <w:p>
            <w:pPr>
              <w:spacing w:after="0"/>
              <w:rPr>
                <w:sz w:val="11"/>
                <w:szCs w:val="11"/>
                <w:color w:val="auto"/>
              </w:rPr>
            </w:pPr>
          </w:p>
        </w:tc>
        <w:tc>
          <w:tcPr>
            <w:tcW w:w="7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000" w:type="dxa"/>
            <w:vAlign w:val="bottom"/>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Privately Held</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Westlake</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Westlake</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OpCo</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ind w:left="600"/>
              <w:spacing w:after="0"/>
              <w:rPr>
                <w:sz w:val="20"/>
                <w:szCs w:val="20"/>
                <w:color w:val="auto"/>
              </w:rPr>
            </w:pPr>
            <w:r>
              <w:rPr>
                <w:rFonts w:ascii="Arial" w:cs="Arial" w:eastAsia="Arial" w:hAnsi="Arial"/>
                <w:sz w:val="14"/>
                <w:szCs w:val="14"/>
                <w:b w:val="1"/>
                <w:bCs w:val="1"/>
                <w:color w:val="auto"/>
                <w:w w:val="93"/>
              </w:rPr>
              <w:t>(in thousands of dollars)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471,701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48,270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93"/>
              </w:rPr>
              <w:t>(242,572)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637,738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915,137</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9,069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61,476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76,622</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Quarterly distribution to unitholders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(16,593)</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w w:val="97"/>
              </w:rPr>
              <w:t>Quarterly distribution to noncontrolling interest retained in OpCo by Westlake</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(62,058)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w w:val="92"/>
              </w:rPr>
              <w:t>(62,058)</w:t>
            </w:r>
          </w:p>
        </w:tc>
        <w:tc>
          <w:tcPr>
            <w:tcW w:w="0" w:type="dxa"/>
            <w:vAlign w:val="bottom"/>
          </w:tcPr>
          <w:p>
            <w:pPr>
              <w:spacing w:after="0"/>
              <w:rPr>
                <w:sz w:val="1"/>
                <w:szCs w:val="1"/>
                <w:color w:val="auto"/>
              </w:rPr>
            </w:pPr>
          </w:p>
        </w:tc>
      </w:tr>
      <w:tr>
        <w:trPr>
          <w:trHeight w:val="248"/>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2021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470,834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47,690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93"/>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637,156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913,108</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6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i w:val="1"/>
                <w:iCs w:val="1"/>
                <w:color w:val="auto"/>
              </w:rPr>
              <w:t>Partnership</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6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1"/>
                <w:szCs w:val="11"/>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General</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0" w:type="dxa"/>
            <w:vAlign w:val="bottom"/>
          </w:tcPr>
          <w:p>
            <w:pPr>
              <w:spacing w:after="0"/>
              <w:rPr>
                <w:sz w:val="11"/>
                <w:szCs w:val="11"/>
                <w:color w:val="auto"/>
              </w:rPr>
            </w:pPr>
          </w:p>
        </w:tc>
        <w:tc>
          <w:tcPr>
            <w:tcW w:w="106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5"/>
              </w:rPr>
              <w:t>Unitholders—</w:t>
            </w: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Public and</w:t>
            </w:r>
          </w:p>
        </w:tc>
        <w:tc>
          <w:tcPr>
            <w:tcW w:w="10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7"/>
              </w:rPr>
              <w:t>Unitholder—</w:t>
            </w:r>
          </w:p>
        </w:tc>
        <w:tc>
          <w:tcPr>
            <w:tcW w:w="14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8"/>
              </w:rPr>
              <w:t>Partner—</w:t>
            </w:r>
          </w:p>
        </w:tc>
        <w:tc>
          <w:tcPr>
            <w:tcW w:w="18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Interests</w:t>
            </w:r>
          </w:p>
        </w:tc>
        <w:tc>
          <w:tcPr>
            <w:tcW w:w="200" w:type="dxa"/>
            <w:vAlign w:val="bottom"/>
          </w:tcPr>
          <w:p>
            <w:pPr>
              <w:spacing w:after="0"/>
              <w:rPr>
                <w:sz w:val="11"/>
                <w:szCs w:val="11"/>
                <w:color w:val="auto"/>
              </w:rPr>
            </w:pPr>
          </w:p>
        </w:tc>
        <w:tc>
          <w:tcPr>
            <w:tcW w:w="76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000" w:type="dxa"/>
            <w:vAlign w:val="bottom"/>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Privately Held</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92"/>
              </w:rPr>
              <w:t>Westlake</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2"/>
              </w:rPr>
              <w:t>Westlake</w:t>
            </w: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OpCo</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gridSpan w:val="6"/>
          </w:tcPr>
          <w:p>
            <w:pPr>
              <w:ind w:left="600"/>
              <w:spacing w:after="0"/>
              <w:rPr>
                <w:sz w:val="20"/>
                <w:szCs w:val="20"/>
                <w:color w:val="auto"/>
              </w:rPr>
            </w:pPr>
            <w:r>
              <w:rPr>
                <w:rFonts w:ascii="Arial" w:cs="Arial" w:eastAsia="Arial" w:hAnsi="Arial"/>
                <w:sz w:val="14"/>
                <w:szCs w:val="14"/>
                <w:b w:val="1"/>
                <w:bCs w:val="1"/>
                <w:color w:val="auto"/>
                <w:w w:val="93"/>
              </w:rPr>
              <w:t>(in thousands of dollars)</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471,736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48,350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w w:val="93"/>
              </w:rPr>
              <w:t>(242,572)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674,621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952,135</w:t>
            </w:r>
          </w:p>
        </w:tc>
        <w:tc>
          <w:tcPr>
            <w:tcW w:w="0" w:type="dxa"/>
            <w:vAlign w:val="bottom"/>
          </w:tcPr>
          <w:p>
            <w:pPr>
              <w:spacing w:after="0"/>
              <w:rPr>
                <w:sz w:val="1"/>
                <w:szCs w:val="1"/>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10,626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76,023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93,770</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Quarterly distribution to unitholders</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(16,591)</w:t>
            </w:r>
          </w:p>
        </w:tc>
        <w:tc>
          <w:tcPr>
            <w:tcW w:w="0" w:type="dxa"/>
            <w:vAlign w:val="bottom"/>
          </w:tcPr>
          <w:p>
            <w:pPr>
              <w:spacing w:after="0"/>
              <w:rPr>
                <w:sz w:val="1"/>
                <w:szCs w:val="1"/>
                <w:color w:val="auto"/>
              </w:rPr>
            </w:pPr>
          </w:p>
        </w:tc>
      </w:tr>
      <w:tr>
        <w:trPr>
          <w:trHeight w:val="230"/>
        </w:trPr>
        <w:tc>
          <w:tcPr>
            <w:tcW w:w="6000" w:type="dxa"/>
            <w:vAlign w:val="bottom"/>
          </w:tcPr>
          <w:p>
            <w:pPr>
              <w:spacing w:after="0"/>
              <w:rPr>
                <w:sz w:val="20"/>
                <w:szCs w:val="20"/>
                <w:color w:val="auto"/>
              </w:rPr>
            </w:pPr>
            <w:r>
              <w:rPr>
                <w:rFonts w:ascii="Arial" w:cs="Arial" w:eastAsia="Arial" w:hAnsi="Arial"/>
                <w:sz w:val="18"/>
                <w:szCs w:val="18"/>
                <w:color w:val="auto"/>
                <w:w w:val="97"/>
              </w:rPr>
              <w:t>Quarterly distribution to noncontrolling interest retained in OpCo by Westlake</w:t>
            </w:r>
          </w:p>
        </w:tc>
        <w:tc>
          <w:tcPr>
            <w:tcW w:w="1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(79,223)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ind w:left="120"/>
              <w:spacing w:after="0"/>
              <w:rPr>
                <w:sz w:val="20"/>
                <w:szCs w:val="20"/>
                <w:color w:val="auto"/>
              </w:rPr>
            </w:pPr>
            <w:r>
              <w:rPr>
                <w:rFonts w:ascii="Arial" w:cs="Arial" w:eastAsia="Arial" w:hAnsi="Arial"/>
                <w:sz w:val="18"/>
                <w:szCs w:val="18"/>
                <w:color w:val="auto"/>
                <w:w w:val="92"/>
              </w:rPr>
              <w:t>(79,223)</w:t>
            </w:r>
          </w:p>
        </w:tc>
        <w:tc>
          <w:tcPr>
            <w:tcW w:w="0" w:type="dxa"/>
            <w:vAlign w:val="bottom"/>
          </w:tcPr>
          <w:p>
            <w:pPr>
              <w:spacing w:after="0"/>
              <w:rPr>
                <w:sz w:val="1"/>
                <w:szCs w:val="1"/>
                <w:color w:val="auto"/>
              </w:rPr>
            </w:pPr>
          </w:p>
        </w:tc>
      </w:tr>
      <w:tr>
        <w:trPr>
          <w:trHeight w:val="248"/>
        </w:trPr>
        <w:tc>
          <w:tcPr>
            <w:tcW w:w="6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2020</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472,428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b w:val="1"/>
                <w:bCs w:val="1"/>
                <w:color w:val="auto"/>
                <w:w w:val="93"/>
              </w:rPr>
              <w:t>(242,572)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671,421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950,091</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18"/>
        </w:trPr>
        <w:tc>
          <w:tcPr>
            <w:tcW w:w="8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80" w:type="dxa"/>
            <w:vAlign w:val="bottom"/>
            <w:gridSpan w:val="4"/>
          </w:tcPr>
          <w:p>
            <w:pPr>
              <w:jc w:val="right"/>
              <w:ind w:right="651"/>
              <w:spacing w:after="0"/>
              <w:rPr>
                <w:sz w:val="20"/>
                <w:szCs w:val="20"/>
                <w:color w:val="auto"/>
              </w:rPr>
            </w:pPr>
            <w:r>
              <w:rPr>
                <w:rFonts w:ascii="Arial" w:cs="Arial" w:eastAsia="Arial" w:hAnsi="Arial"/>
                <w:sz w:val="14"/>
                <w:szCs w:val="14"/>
                <w:b w:val="1"/>
                <w:bCs w:val="1"/>
                <w:color w:val="auto"/>
              </w:rPr>
              <w:t>(in thousands of dollars)</w:t>
            </w:r>
          </w:p>
        </w:tc>
      </w:tr>
      <w:tr>
        <w:trPr>
          <w:trHeight w:val="236"/>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76,622</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93,770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26,031</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disposition of property, plant and equipment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Other gains, net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8240" w:type="dxa"/>
            <w:vAlign w:val="bottom"/>
          </w:tcPr>
          <w:p>
            <w:pPr>
              <w:ind w:left="360"/>
              <w:spacing w:after="0"/>
              <w:rPr>
                <w:sz w:val="20"/>
                <w:szCs w:val="20"/>
                <w:color w:val="auto"/>
              </w:rPr>
            </w:pPr>
            <w:r>
              <w:rPr>
                <w:rFonts w:ascii="Arial" w:cs="Arial" w:eastAsia="Arial" w:hAnsi="Arial"/>
                <w:sz w:val="18"/>
                <w:szCs w:val="18"/>
                <w:color w:val="auto"/>
              </w:rPr>
              <w:t>Accounts receivable—third parties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(3,740)</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accounts receivable—Westlake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(8,573)</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30"/>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r>
      <w:tr>
        <w:trPr>
          <w:trHeight w:val="229"/>
        </w:trPr>
        <w:tc>
          <w:tcPr>
            <w:tcW w:w="82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1,463</w:t>
            </w:r>
          </w:p>
        </w:tc>
      </w:tr>
      <w:tr>
        <w:trPr>
          <w:trHeight w:val="229"/>
        </w:trPr>
        <w:tc>
          <w:tcPr>
            <w:tcW w:w="8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and other liabilities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w:t>
            </w:r>
          </w:p>
        </w:tc>
      </w:tr>
      <w:tr>
        <w:trPr>
          <w:trHeight w:val="230"/>
        </w:trPr>
        <w:tc>
          <w:tcPr>
            <w:tcW w:w="8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110,961</w:t>
            </w:r>
          </w:p>
        </w:tc>
      </w:tr>
      <w:tr>
        <w:trPr>
          <w:trHeight w:val="210"/>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(11,989)</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Maturities of investments with Westlake under the Investment Management Agreement</w:t>
            </w: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79,000</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with Westlake under the Investment Management Agreement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(78,000)</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(10,989)</w:t>
            </w:r>
          </w:p>
        </w:tc>
      </w:tr>
      <w:tr>
        <w:trPr>
          <w:trHeight w:val="209"/>
        </w:trPr>
        <w:tc>
          <w:tcPr>
            <w:tcW w:w="82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Quarterly distributions to noncontrolling interest retained in OpCo by Westlake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(79,223)</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Quarterly distributions to unitholders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(16,591)</w:t>
            </w:r>
          </w:p>
        </w:tc>
      </w:tr>
      <w:tr>
        <w:trPr>
          <w:trHeight w:val="223"/>
        </w:trPr>
        <w:tc>
          <w:tcPr>
            <w:tcW w:w="82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Net cash used for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(78,651)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(95,814)</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Net increase in cash and cash equivalents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4,158</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19,923</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17,289</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24,081</w:t>
            </w: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7280" w:firstLine="8"/>
        <w:spacing w:after="0" w:line="37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Basis of Presentation </w:t>
      </w:r>
      <w:r>
        <w:rPr>
          <w:rFonts w:ascii="Arial" w:cs="Arial" w:eastAsia="Arial" w:hAnsi="Arial"/>
          <w:sz w:val="18"/>
          <w:szCs w:val="18"/>
          <w:b w:val="1"/>
          <w:bCs w:val="1"/>
          <w:i w:val="1"/>
          <w:iCs w:val="1"/>
          <w:color w:val="auto"/>
        </w:rPr>
        <w:t>Description of Business</w:t>
      </w:r>
    </w:p>
    <w:p>
      <w:pPr>
        <w:spacing w:after="0" w:line="30"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Westlake Chemical Partners LP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w:t>
      </w:r>
    </w:p>
    <w:p>
      <w:pPr>
        <w:spacing w:after="0" w:line="130" w:lineRule="exact"/>
        <w:rPr>
          <w:sz w:val="20"/>
          <w:szCs w:val="20"/>
          <w:color w:val="auto"/>
        </w:rPr>
      </w:pPr>
    </w:p>
    <w:p>
      <w:pPr>
        <w:ind w:right="160" w:firstLine="405"/>
        <w:spacing w:after="0" w:line="291" w:lineRule="auto"/>
        <w:rPr>
          <w:sz w:val="20"/>
          <w:szCs w:val="20"/>
          <w:color w:val="auto"/>
        </w:rPr>
      </w:pPr>
      <w:r>
        <w:rPr>
          <w:rFonts w:ascii="Arial" w:cs="Arial" w:eastAsia="Arial" w:hAnsi="Arial"/>
          <w:sz w:val="16"/>
          <w:szCs w:val="16"/>
          <w:color w:val="auto"/>
        </w:rPr>
        <w:t>In connection with the IPO, the Partnership acquired a 10.6% limited partner interest in Westlake Chemical OpCo LP ("OpCo") and a 100% interest in Westlake Chemical OpCo GP LLC ("OpCo GP"), which is the general partner of OpCo. OpCo owns three ethylene production facilities and one</w:t>
      </w:r>
    </w:p>
    <w:p>
      <w:pPr>
        <w:ind w:right="20"/>
        <w:spacing w:after="0" w:line="255" w:lineRule="auto"/>
        <w:rPr>
          <w:sz w:val="20"/>
          <w:szCs w:val="20"/>
          <w:color w:val="auto"/>
        </w:rPr>
      </w:pPr>
      <w:r>
        <w:rPr>
          <w:rFonts w:ascii="Arial" w:cs="Arial" w:eastAsia="Arial" w:hAnsi="Arial"/>
          <w:sz w:val="18"/>
          <w:szCs w:val="18"/>
          <w:color w:val="auto"/>
        </w:rPr>
        <w:t>common carrier ethylene pipeline (collectively, the "Contributed Assets"</w:t>
      </w:r>
      <w:r>
        <w:rPr>
          <w:rFonts w:ascii="Arial" w:cs="Arial" w:eastAsia="Arial" w:hAnsi="Arial"/>
          <w:sz w:val="21"/>
          <w:szCs w:val="21"/>
          <w:color w:val="auto"/>
        </w:rPr>
        <w:t>)</w:t>
      </w:r>
      <w:r>
        <w:rPr>
          <w:rFonts w:ascii="Arial" w:cs="Arial" w:eastAsia="Arial" w:hAnsi="Arial"/>
          <w:sz w:val="18"/>
          <w:szCs w:val="18"/>
          <w:color w:val="auto"/>
        </w:rPr>
        <w:t>. Since the IPO, the Partnership has periodically purchased additional limited partner interest in OpCo. Most recently, on March 29, 2019, the Partnership purchased an additional 4.5% newly-issued limited partner interest in OpCo for approximately $201,445, resulting in an aggregate 22.8% limited partner interest in OpCo, effective January 1, 2019. The remaining 77.2% limited partner interest in OpCo is owned by Westlake Chemical Corporation.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auto"/>
        </w:rPr>
        <w:t>The accompanying unaudited consolidated interim financial statements were prepared in accordance with the rules and regulations of the Securities and Exchange Commission (the "SEC") for interim periods. Accordingly, certain information and footnotes required for complete financial statements under generally accepted accounting principles in the United States ("U.S. GAAP") have not been included. These interim consolidated financial statements should be read in conjunction with the consolidated financial statements and notes thereto of the Partnership included in the annual report on Form 10-K for the fiscal year ended December 31, 2020 (the "2020 Form 10-K"), filed with the SEC on March 2, 2021. These financial statements have been prepared in conformity with the accounting principles and practices as disclosed in the notes to the consolidated financial statements of the Partnership for the fiscal year ended December 31, 2020.</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References to "Westlake" refer collectively to Westlake Chemical Corporation and its subsidiaries, other than the Partnership, OpCo and OpCo GP.</w:t>
      </w:r>
    </w:p>
    <w:p>
      <w:pPr>
        <w:spacing w:after="0" w:line="194"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The Partnership holds a 22.8% limited partner interest and the entire non-economic general partner interest in OpCo. The remaining 77.2%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77.2% is recorded as noncontrolling interest in the Partnership's consolidated financial statements.</w:t>
      </w:r>
    </w:p>
    <w:p>
      <w:pPr>
        <w:spacing w:after="0" w:line="124"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In the opinion of the Partnership's management, the accompanying unaudited consolidated interim financial statements reflect all adjustments (consisting only of normal recurring adjustments) that are necessary for a fair statement of the Partnership's financial position as of March 31, 2021, its results of operations for the three months ended March 31, 2021 and 2020 and the changes in its cash position for the three months ended March 31, 2021 and 2020.</w:t>
      </w:r>
    </w:p>
    <w:p>
      <w:pPr>
        <w:spacing w:after="0" w:line="13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Results of operations and changes in cash position for the interim periods presented are not necessarily indicative of the results that will be realized for the fiscal year ending December 31, 2021 or any other interim period. The preparation of financial statements in conformity with U.S. GAAP requires management to make estimates and assumptions that affect the reported amounts of assets, liabilities, revenues and expenses and the disclosure of contingent assets and liabilities. Actual results could differ materially from those estimates.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212529"/>
        </w:rPr>
        <w:t xml:space="preserve">The COVID pandemic resulted in widespread adverse impacts on the global economy in 2020. </w:t>
      </w:r>
      <w:r>
        <w:rPr>
          <w:rFonts w:ascii="Arial" w:cs="Arial" w:eastAsia="Arial" w:hAnsi="Arial"/>
          <w:sz w:val="16"/>
          <w:szCs w:val="16"/>
          <w:color w:val="000000"/>
        </w:rPr>
        <w:t>The Partnership has not experienced significant</w:t>
      </w:r>
      <w:r>
        <w:rPr>
          <w:rFonts w:ascii="Arial" w:cs="Arial" w:eastAsia="Arial" w:hAnsi="Arial"/>
          <w:sz w:val="16"/>
          <w:szCs w:val="16"/>
          <w:color w:val="212529"/>
        </w:rPr>
        <w:t xml:space="preserve"> </w:t>
      </w:r>
      <w:r>
        <w:rPr>
          <w:rFonts w:ascii="Arial" w:cs="Arial" w:eastAsia="Arial" w:hAnsi="Arial"/>
          <w:sz w:val="16"/>
          <w:szCs w:val="16"/>
          <w:color w:val="000000"/>
        </w:rPr>
        <w:t>disruptions to its business operations in 2020 or during the three months ended March 31, 2021 and does not expect significant disruptions to its business operations resulting from COVID-19. However, the impact that COVID-19 will have on the Partnership's financial condition, results of operations and cash flows cannot be estimated with certainty at this time as it will depend on future developments, including, among others, the timing and logistics with respect to the distribution of vaccines (in the United States, Europe and globally) and the efficacy of the available vaccines (including with respect to the more recent variants of COVID-19) and other treatments, the ultimate duration of the pandemic, geographic spread and severity of the virus, the consequences of governmental and other measures designed to prevent the spread of the virus, the impact on the operation of OpCo's facilities, Westlake, customers, suppliers and other third parties and the timing and extent to which normal economic and operating conditions resume.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 (ASU No. 2020-04)</w:t>
      </w:r>
    </w:p>
    <w:p>
      <w:pPr>
        <w:spacing w:after="0" w:line="104" w:lineRule="exact"/>
        <w:rPr>
          <w:sz w:val="20"/>
          <w:szCs w:val="20"/>
          <w:color w:val="auto"/>
        </w:rPr>
      </w:pPr>
    </w:p>
    <w:p>
      <w:pPr>
        <w:ind w:right="260" w:firstLine="405"/>
        <w:spacing w:after="0" w:line="301" w:lineRule="auto"/>
        <w:rPr>
          <w:sz w:val="20"/>
          <w:szCs w:val="20"/>
          <w:color w:val="auto"/>
        </w:rPr>
      </w:pPr>
      <w:r>
        <w:rPr>
          <w:rFonts w:ascii="Arial" w:cs="Arial" w:eastAsia="Arial" w:hAnsi="Arial"/>
          <w:sz w:val="16"/>
          <w:szCs w:val="16"/>
          <w:color w:val="auto"/>
        </w:rPr>
        <w:t>In March 2020, the FASB issued an accounting standards update to provide optional expedients and exceptions for applying generally accepted accounting principles to contracts, hedging relationships and other transactions affected by reference rate reform if certain criteria are met. The amendments in this update are effective for all entities as of March 12, 2020 through December 31, 2022. The Partnership is in the process of evaluating the impact that the new accounting guidance will have on the Partnership's consolidated financial position, results of operations and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Receivable—Third Parties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receivable—third parties consist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customers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credit losses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receivables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net—third parties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11,029</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3. Inventories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2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260" w:type="dxa"/>
            <w:vAlign w:val="bottom"/>
          </w:tcPr>
          <w:p>
            <w:pPr>
              <w:ind w:left="460"/>
              <w:spacing w:after="0"/>
              <w:rPr>
                <w:sz w:val="20"/>
                <w:szCs w:val="20"/>
                <w:color w:val="auto"/>
              </w:rPr>
            </w:pPr>
            <w:r>
              <w:rPr>
                <w:rFonts w:ascii="Arial" w:cs="Arial" w:eastAsia="Arial" w:hAnsi="Arial"/>
                <w:sz w:val="18"/>
                <w:szCs w:val="18"/>
                <w:color w:val="auto"/>
              </w:rPr>
              <w:t>Inventories consist of the following:</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8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22"/>
                <w:szCs w:val="22"/>
                <w:color w:val="auto"/>
              </w:rPr>
            </w:pPr>
          </w:p>
        </w:tc>
        <w:tc>
          <w:tcPr>
            <w:tcW w:w="122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Feedstock, additives and chemicals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Plant and Equipment</w:t>
      </w:r>
    </w:p>
    <w:p>
      <w:pPr>
        <w:spacing w:after="0" w:line="108"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Depreciation expense on property, plant and equipment of $22,802 and $22,753 is included in cost of sales in the consolidated statements of operations for the three months ended March 31, 2021 and 2020,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Deferred Charges and Other Assets</w:t>
      </w:r>
    </w:p>
    <w:p>
      <w:pPr>
        <w:spacing w:after="0" w:line="108"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Amortization expense on other assets of $4,740 and $3,278 is included in costs of sales in the consolidated statements of operations for the three months ended March 31, 2021 and 2020,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Distributions and Net Income Per Limited Partner Unit</w:t>
      </w:r>
    </w:p>
    <w:p>
      <w:pPr>
        <w:spacing w:after="0" w:line="94"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On May 3, 2021, the board of directors of Westlake Chemical Partners GP LLC ("Westlake GP"), the Partnership's general partner, declared a quarterly cash distribution for the three months ended March 31, 2021 of $0.4714 per unit. This distribution is payable on May 27, 2021 to unitholders of record as of May 13, 2021.</w:t>
      </w:r>
    </w:p>
    <w:p>
      <w:pPr>
        <w:spacing w:after="0" w:line="130"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Distributions are declared subsequent to quarter end; therefore, the table below represents total cash distributions declared from earnings of the related periods pertaining to such distributions.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980" w:type="dxa"/>
            <w:vAlign w:val="bottom"/>
            <w:tcBorders>
              <w:bottom w:val="single" w:sz="8" w:color="auto"/>
            </w:tcBorders>
            <w:gridSpan w:val="5"/>
          </w:tcPr>
          <w:p>
            <w:pPr>
              <w:jc w:val="right"/>
              <w:ind w:right="415"/>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w w:val="98"/>
              </w:rPr>
              <w:t>15,146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17,747</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Less:</w:t>
            </w: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Limited partners' distribution declared on common units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16,593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16,591</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income in excess of distribution (distribution in excess of net income)</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(1,447)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r>
      <w:tr>
        <w:trPr>
          <w:trHeight w:val="21"/>
        </w:trPr>
        <w:tc>
          <w:tcPr>
            <w:tcW w:w="8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Net income per unit applicable to common limited partner units is computed by dividing the respective limited partners' interest in net income by the weighted-average number of common units outstanding for the period. Because the Partnership has more than one class of participating securities, it uses the two-class method when calculating the net income per unit applicable to limited partners. The classes of participating securities include common units and incentive distribution rights. Net income attributable to the Partnership is allocated to the unitholders in accordance with their respective ownership percentages in preparation of the consolidated statements of changes in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jc w:val="center"/>
              <w:ind w:left="797"/>
              <w:spacing w:after="0"/>
              <w:rPr>
                <w:sz w:val="20"/>
                <w:szCs w:val="20"/>
                <w:color w:val="auto"/>
              </w:rPr>
            </w:pPr>
            <w:r>
              <w:rPr>
                <w:rFonts w:ascii="Arial" w:cs="Arial" w:eastAsia="Arial" w:hAnsi="Arial"/>
                <w:sz w:val="14"/>
                <w:szCs w:val="14"/>
                <w:b w:val="1"/>
                <w:bCs w:val="1"/>
                <w:color w:val="auto"/>
                <w:w w:val="95"/>
              </w:rPr>
              <w:t>Three Months Ended March 31, 2021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3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Incentive Distribution</w:t>
            </w:r>
          </w:p>
        </w:tc>
        <w:tc>
          <w:tcPr>
            <w:tcW w:w="440" w:type="dxa"/>
            <w:vAlign w:val="bottom"/>
          </w:tcPr>
          <w:p>
            <w:pPr>
              <w:spacing w:after="0"/>
              <w:rPr>
                <w:sz w:val="11"/>
                <w:szCs w:val="11"/>
                <w:color w:val="auto"/>
              </w:rPr>
            </w:pPr>
          </w:p>
        </w:tc>
        <w:tc>
          <w:tcPr>
            <w:tcW w:w="10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Rights</w:t>
            </w:r>
          </w:p>
        </w:tc>
        <w:tc>
          <w:tcPr>
            <w:tcW w:w="4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16,593</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16,593</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in excess of net income</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Arial" w:cs="Arial" w:eastAsia="Arial" w:hAnsi="Arial"/>
                <w:sz w:val="18"/>
                <w:szCs w:val="18"/>
                <w:color w:val="auto"/>
              </w:rPr>
              <w:t>Net income</w:t>
            </w:r>
          </w:p>
        </w:tc>
        <w:tc>
          <w:tcPr>
            <w:tcW w:w="2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15,146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15,146</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units outstanding:</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35,198,903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35,198,903</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limited partner unit:</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8"/>
        </w:trPr>
        <w:tc>
          <w:tcPr>
            <w:tcW w:w="43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jc w:val="center"/>
              <w:ind w:left="797"/>
              <w:spacing w:after="0"/>
              <w:rPr>
                <w:sz w:val="20"/>
                <w:szCs w:val="20"/>
                <w:color w:val="auto"/>
              </w:rPr>
            </w:pPr>
            <w:r>
              <w:rPr>
                <w:rFonts w:ascii="Arial" w:cs="Arial" w:eastAsia="Arial" w:hAnsi="Arial"/>
                <w:sz w:val="14"/>
                <w:szCs w:val="14"/>
                <w:b w:val="1"/>
                <w:bCs w:val="1"/>
                <w:color w:val="auto"/>
                <w:w w:val="95"/>
              </w:rPr>
              <w:t>Three Months Ended March 31, 2020</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3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6"/>
              </w:rPr>
              <w:t>Limited Partners'</w:t>
            </w:r>
          </w:p>
        </w:tc>
        <w:tc>
          <w:tcPr>
            <w:tcW w:w="100" w:type="dxa"/>
            <w:vAlign w:val="bottom"/>
          </w:tcPr>
          <w:p>
            <w:pPr>
              <w:spacing w:after="0"/>
              <w:rPr>
                <w:sz w:val="11"/>
                <w:szCs w:val="11"/>
                <w:color w:val="auto"/>
              </w:rPr>
            </w:pPr>
          </w:p>
        </w:tc>
        <w:tc>
          <w:tcPr>
            <w:tcW w:w="154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Incentive Distribution</w:t>
            </w:r>
          </w:p>
        </w:tc>
        <w:tc>
          <w:tcPr>
            <w:tcW w:w="440" w:type="dxa"/>
            <w:vAlign w:val="bottom"/>
          </w:tcPr>
          <w:p>
            <w:pPr>
              <w:spacing w:after="0"/>
              <w:rPr>
                <w:sz w:val="11"/>
                <w:szCs w:val="11"/>
                <w:color w:val="auto"/>
              </w:rPr>
            </w:pPr>
          </w:p>
        </w:tc>
        <w:tc>
          <w:tcPr>
            <w:tcW w:w="1000" w:type="dxa"/>
            <w:vAlign w:val="bottom"/>
            <w:vMerge w:val="restart"/>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3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7"/>
              <w:spacing w:after="0"/>
              <w:rPr>
                <w:sz w:val="20"/>
                <w:szCs w:val="20"/>
                <w:color w:val="auto"/>
              </w:rPr>
            </w:pPr>
            <w:r>
              <w:rPr>
                <w:rFonts w:ascii="Arial" w:cs="Arial" w:eastAsia="Arial" w:hAnsi="Arial"/>
                <w:sz w:val="14"/>
                <w:szCs w:val="14"/>
                <w:b w:val="1"/>
                <w:bCs w:val="1"/>
                <w:color w:val="auto"/>
                <w:w w:val="94"/>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Rights</w:t>
            </w:r>
          </w:p>
        </w:tc>
        <w:tc>
          <w:tcPr>
            <w:tcW w:w="4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2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Arial" w:cs="Arial" w:eastAsia="Arial" w:hAnsi="Arial"/>
                <w:sz w:val="18"/>
                <w:szCs w:val="18"/>
                <w:color w:val="auto"/>
              </w:rPr>
              <w:t>Distribution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16,591</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16,591</w:t>
            </w:r>
          </w:p>
        </w:tc>
        <w:tc>
          <w:tcPr>
            <w:tcW w:w="0" w:type="dxa"/>
            <w:vAlign w:val="bottom"/>
          </w:tcPr>
          <w:p>
            <w:pPr>
              <w:spacing w:after="0"/>
              <w:rPr>
                <w:sz w:val="1"/>
                <w:szCs w:val="1"/>
                <w:color w:val="auto"/>
              </w:rPr>
            </w:pPr>
          </w:p>
        </w:tc>
      </w:tr>
      <w:tr>
        <w:trPr>
          <w:trHeight w:val="229"/>
        </w:trPr>
        <w:tc>
          <w:tcPr>
            <w:tcW w:w="4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 in excess of distribution</w:t>
            </w:r>
          </w:p>
        </w:tc>
        <w:tc>
          <w:tcPr>
            <w:tcW w:w="2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23"/>
        </w:trPr>
        <w:tc>
          <w:tcPr>
            <w:tcW w:w="4340" w:type="dxa"/>
            <w:vAlign w:val="bottom"/>
          </w:tcPr>
          <w:p>
            <w:pPr>
              <w:ind w:left="680"/>
              <w:spacing w:after="0"/>
              <w:rPr>
                <w:sz w:val="20"/>
                <w:szCs w:val="20"/>
                <w:color w:val="auto"/>
              </w:rPr>
            </w:pPr>
            <w:r>
              <w:rPr>
                <w:rFonts w:ascii="Arial" w:cs="Arial" w:eastAsia="Arial" w:hAnsi="Arial"/>
                <w:sz w:val="18"/>
                <w:szCs w:val="18"/>
                <w:color w:val="auto"/>
              </w:rPr>
              <w:t>Net income</w:t>
            </w:r>
          </w:p>
        </w:tc>
        <w:tc>
          <w:tcPr>
            <w:tcW w:w="2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17,747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17,747</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units outstanding:</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35,194,545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35,194,545</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 per limited partner unit:</w:t>
            </w:r>
          </w:p>
        </w:tc>
        <w:tc>
          <w:tcPr>
            <w:tcW w:w="2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340" w:type="dxa"/>
            <w:vAlign w:val="bottom"/>
          </w:tcPr>
          <w:p>
            <w:pPr>
              <w:spacing w:after="0" w:line="20" w:lineRule="exact"/>
              <w:rPr>
                <w:sz w:val="1"/>
                <w:szCs w:val="1"/>
                <w:color w:val="auto"/>
              </w:rPr>
            </w:pPr>
          </w:p>
        </w:tc>
        <w:tc>
          <w:tcPr>
            <w:tcW w:w="2400" w:type="dxa"/>
            <w:vAlign w:val="bottom"/>
            <w:vMerge w:val="restart"/>
          </w:tcPr>
          <w:p>
            <w:pPr>
              <w:jc w:val="right"/>
              <w:ind w:right="990"/>
              <w:spacing w:after="0"/>
              <w:rPr>
                <w:sz w:val="20"/>
                <w:szCs w:val="20"/>
                <w:color w:val="auto"/>
              </w:rPr>
            </w:pPr>
            <w:r>
              <w:rPr>
                <w:rFonts w:ascii="Arial" w:cs="Arial" w:eastAsia="Arial" w:hAnsi="Arial"/>
                <w:sz w:val="18"/>
                <w:szCs w:val="18"/>
                <w:color w:val="auto"/>
              </w:rPr>
              <w:t>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3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 amended Partnership Agreement provides that the Partnership will distribute cash each quarter to all the unitholders, pro rata, until each unit has received a distribution of $1.2938.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4"/>
                <w:szCs w:val="14"/>
                <w:b w:val="1"/>
                <w:bCs w:val="1"/>
                <w:color w:val="auto"/>
                <w:w w:val="99"/>
              </w:rPr>
              <w:t>Marginal Percentage Interest in Distributions</w:t>
            </w: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Quarterly Distribution Per Unit</w:t>
            </w:r>
          </w:p>
        </w:tc>
        <w:tc>
          <w:tcPr>
            <w:tcW w:w="1660" w:type="dxa"/>
            <w:vAlign w:val="bottom"/>
            <w:gridSpan w:val="2"/>
          </w:tcPr>
          <w:p>
            <w:pPr>
              <w:ind w:left="420"/>
              <w:spacing w:after="0"/>
              <w:rPr>
                <w:sz w:val="20"/>
                <w:szCs w:val="20"/>
                <w:color w:val="auto"/>
              </w:rPr>
            </w:pPr>
            <w:r>
              <w:rPr>
                <w:rFonts w:ascii="Arial" w:cs="Arial" w:eastAsia="Arial" w:hAnsi="Arial"/>
                <w:sz w:val="14"/>
                <w:szCs w:val="14"/>
                <w:b w:val="1"/>
                <w:bCs w:val="1"/>
                <w:color w:val="auto"/>
              </w:rPr>
              <w:t>Unitholders</w:t>
            </w:r>
          </w:p>
        </w:tc>
        <w:tc>
          <w:tcPr>
            <w:tcW w:w="1560" w:type="dxa"/>
            <w:vAlign w:val="bottom"/>
          </w:tcPr>
          <w:p>
            <w:pPr>
              <w:jc w:val="right"/>
              <w:ind w:right="295"/>
              <w:spacing w:after="0"/>
              <w:rPr>
                <w:sz w:val="20"/>
                <w:szCs w:val="20"/>
                <w:color w:val="auto"/>
              </w:rPr>
            </w:pPr>
            <w:r>
              <w:rPr>
                <w:rFonts w:ascii="Arial" w:cs="Arial" w:eastAsia="Arial" w:hAnsi="Arial"/>
                <w:sz w:val="14"/>
                <w:szCs w:val="14"/>
                <w:b w:val="1"/>
                <w:bCs w:val="1"/>
                <w:color w:val="auto"/>
              </w:rPr>
              <w:t>IDR Holders</w:t>
            </w:r>
          </w:p>
        </w:tc>
      </w:tr>
      <w:tr>
        <w:trPr>
          <w:trHeight w:val="224"/>
        </w:trPr>
        <w:tc>
          <w:tcPr>
            <w:tcW w:w="79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Above $1.2938 up to $1.4063</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15.0 %</w:t>
            </w:r>
          </w:p>
        </w:tc>
      </w:tr>
      <w:tr>
        <w:trPr>
          <w:trHeight w:val="230"/>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Above $1.4063 up to $1.6875</w:t>
            </w:r>
          </w:p>
        </w:tc>
        <w:tc>
          <w:tcPr>
            <w:tcW w:w="1560" w:type="dxa"/>
            <w:vAlign w:val="bottom"/>
          </w:tcPr>
          <w:p>
            <w:pPr>
              <w:jc w:val="right"/>
              <w:spacing w:after="0"/>
              <w:rPr>
                <w:sz w:val="20"/>
                <w:szCs w:val="20"/>
                <w:color w:val="auto"/>
              </w:rPr>
            </w:pPr>
            <w:r>
              <w:rPr>
                <w:rFonts w:ascii="Arial" w:cs="Arial" w:eastAsia="Arial" w:hAnsi="Arial"/>
                <w:sz w:val="18"/>
                <w:szCs w:val="18"/>
                <w:color w:val="auto"/>
              </w:rPr>
              <w:t>75.0 %</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25.0 %</w:t>
            </w: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Above $1.6875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r>
    </w:tbl>
    <w:p>
      <w:pPr>
        <w:spacing w:after="0" w:line="229" w:lineRule="exact"/>
        <w:rPr>
          <w:sz w:val="20"/>
          <w:szCs w:val="20"/>
          <w:color w:val="auto"/>
        </w:rPr>
      </w:pPr>
    </w:p>
    <w:p>
      <w:pPr>
        <w:ind w:right="380" w:firstLine="405"/>
        <w:spacing w:after="0" w:line="263" w:lineRule="auto"/>
        <w:rPr>
          <w:sz w:val="20"/>
          <w:szCs w:val="20"/>
          <w:color w:val="auto"/>
        </w:rPr>
      </w:pPr>
      <w:r>
        <w:rPr>
          <w:rFonts w:ascii="Arial" w:cs="Arial" w:eastAsia="Arial" w:hAnsi="Arial"/>
          <w:sz w:val="18"/>
          <w:szCs w:val="18"/>
          <w:color w:val="auto"/>
        </w:rPr>
        <w:t>The Partnership's distribution for the three months ended March 31, 2021 did not exceed the $1.2938 per unit threshold, and, as a result, no distribution was made with respect to the Partnership's incentive distribution rights to Westlake, as the holder of the Partnership's incentive distribution rights.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Per Common Unit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Distributions per common unit for the three months ended March 31, 2021 and 2020 were as follows:</w:t>
      </w:r>
    </w:p>
    <w:p>
      <w:pPr>
        <w:spacing w:after="0" w:line="136"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23495</wp:posOffset>
            </wp:positionV>
            <wp:extent cx="18859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2"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8260" w:val="left"/>
          <w:tab w:leader="none" w:pos="9120" w:val="left"/>
          <w:tab w:leader="none" w:pos="9800" w:val="left"/>
          <w:tab w:leader="none" w:pos="10660" w:val="left"/>
        </w:tabs>
        <w:rPr>
          <w:sz w:val="20"/>
          <w:szCs w:val="20"/>
          <w:color w:val="auto"/>
        </w:rPr>
      </w:pPr>
      <w:r>
        <w:rPr>
          <w:rFonts w:ascii="Arial" w:cs="Arial" w:eastAsia="Arial" w:hAnsi="Arial"/>
          <w:sz w:val="18"/>
          <w:szCs w:val="18"/>
          <w:color w:val="auto"/>
        </w:rPr>
        <w:t>Distributions per common unit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0.4714</w:t>
        <w:tab/>
        <w:t>$</w:t>
      </w:r>
      <w:r>
        <w:rPr>
          <w:sz w:val="20"/>
          <w:szCs w:val="20"/>
          <w:color w:val="auto"/>
        </w:rPr>
        <w:tab/>
      </w:r>
      <w:r>
        <w:rPr>
          <w:rFonts w:ascii="Arial" w:cs="Arial" w:eastAsia="Arial" w:hAnsi="Arial"/>
          <w:sz w:val="15"/>
          <w:szCs w:val="15"/>
          <w:color w:val="auto"/>
        </w:rPr>
        <w:t>0.4714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40640</wp:posOffset>
            </wp:positionV>
            <wp:extent cx="18859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Partners' Equity</w:t>
      </w:r>
    </w:p>
    <w:p>
      <w:pPr>
        <w:spacing w:after="0" w:line="108"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On October 4, 2018, the Partnership and Westlake Chemical Partners GP LLC,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The Equity Distribution Agreement was amended on February 28, 2020 to reference a new shelf registration for utilization under this agreement. No common units were issued under this program as of March 31, 2021.</w:t>
      </w:r>
    </w:p>
    <w:p>
      <w:pPr>
        <w:spacing w:after="0" w:line="122"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On March 29, 2019, the Partnership completed the issuance and sale of 2,940,818 common units at a price of $21.40 per unit through a private placement. TTWF LP, Westlake's principal stockholder and a related party, acquired 1,401,869 common units out of 2,940,818 common units issued in the private placement.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108"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The Partnership and OpCo regularly enter into related party transactions with Westlake. See below for a description of transactions with related parties.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Related Parties</w:t>
      </w:r>
    </w:p>
    <w:p>
      <w:pPr>
        <w:spacing w:after="0" w:line="90"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OpCo sells ethylene to Westlake under the Ethylene Sales Agreement. Additionally, the Partnership and OpCo from time to time provide other services or products for which it charges Westlake a fee.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Sales to related parties were as follows:</w:t>
      </w:r>
    </w:p>
    <w:p>
      <w:pPr>
        <w:spacing w:after="0" w:line="136"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23495</wp:posOffset>
            </wp:positionV>
            <wp:extent cx="18859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2"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8260" w:val="left"/>
          <w:tab w:leader="none" w:pos="9020" w:val="left"/>
          <w:tab w:leader="none" w:pos="9800" w:val="left"/>
          <w:tab w:leader="none" w:pos="10560" w:val="left"/>
        </w:tabs>
        <w:rPr>
          <w:sz w:val="20"/>
          <w:szCs w:val="20"/>
          <w:color w:val="auto"/>
        </w:rPr>
      </w:pPr>
      <w:r>
        <w:rPr>
          <w:rFonts w:ascii="Arial" w:cs="Arial" w:eastAsia="Arial" w:hAnsi="Arial"/>
          <w:sz w:val="18"/>
          <w:szCs w:val="18"/>
          <w:color w:val="auto"/>
        </w:rPr>
        <w:t>Net sales—Westlake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219,803</w:t>
        <w:tab/>
        <w:t>$</w:t>
      </w:r>
      <w:r>
        <w:rPr>
          <w:sz w:val="20"/>
          <w:szCs w:val="20"/>
          <w:color w:val="auto"/>
        </w:rPr>
        <w:tab/>
      </w:r>
      <w:r>
        <w:rPr>
          <w:rFonts w:ascii="Arial" w:cs="Arial" w:eastAsia="Arial" w:hAnsi="Arial"/>
          <w:sz w:val="16"/>
          <w:szCs w:val="16"/>
          <w:color w:val="auto"/>
        </w:rPr>
        <w:t>214,828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40640</wp:posOffset>
            </wp:positionV>
            <wp:extent cx="18859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80" w:firstLine="405"/>
        <w:spacing w:after="0" w:line="290" w:lineRule="auto"/>
        <w:rPr>
          <w:sz w:val="20"/>
          <w:szCs w:val="20"/>
          <w:color w:val="auto"/>
        </w:rPr>
      </w:pPr>
      <w:r>
        <w:rPr>
          <w:rFonts w:ascii="Arial" w:cs="Arial" w:eastAsia="Arial" w:hAnsi="Arial"/>
          <w:sz w:val="16"/>
          <w:szCs w:val="16"/>
          <w:color w:val="auto"/>
        </w:rPr>
        <w:t>During February and March 2021, due to the severe winter storm, OpCo's ethylene production facilities in the region experienced disruptions to their operations, resulting in lost production and additional maintenance and other costs. OpCo declared force majeure under the Ethylene Supply Agreement. As a result of the force majeure, the Partnership recognized a buyer deficiency fee of $5,500 in the three months ended March 31, 2021, as a component of net sales, representing fixed margin and unavoided operating and maintenance capital expenditures and maintenance expenses during the force majeure events. The buyer deficiency is an estimate based on OpCo's anticipated 2021 ethylene production. Additionally, under the Ethylene Sales Agreement, if production costs billed to Westlake on an annual basis are less than 95% of the actual production costs incurred by OpCo during the period, OpCo is entitled to recover the shortfall in the subsequent year. During the three months ended March 31, 2021, based on the additional costs incurred during the force majeure events, the Partnership recognized a shortfall of $4,178 as a component of net sales.</w:t>
      </w:r>
    </w:p>
    <w:p>
      <w:pPr>
        <w:spacing w:after="0" w:line="111"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During 2020, the Lake Charles Petro 1 and Petro 2 facilities were impacted by Hurricanes Laura and Delta, which resulted in force majeure events under the Ethylene Sales Agreement. As a result of the force majeure events, the Partnership recognized a buyer deficiency fee of $69,555 as a component of net sales in 2020. Payment for the buyer deficiency fee was received by the Partnership in January 2021.</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from Related Parties</w:t>
      </w:r>
    </w:p>
    <w:p>
      <w:pPr>
        <w:spacing w:after="0" w:line="104" w:lineRule="exact"/>
        <w:rPr>
          <w:sz w:val="20"/>
          <w:szCs w:val="20"/>
          <w:color w:val="auto"/>
        </w:rPr>
      </w:pPr>
    </w:p>
    <w:p>
      <w:pPr>
        <w:ind w:right="420" w:firstLine="405"/>
        <w:spacing w:after="0" w:line="308" w:lineRule="auto"/>
        <w:rPr>
          <w:sz w:val="20"/>
          <w:szCs w:val="20"/>
          <w:color w:val="auto"/>
        </w:rPr>
      </w:pPr>
      <w:r>
        <w:rPr>
          <w:rFonts w:ascii="Arial" w:cs="Arial" w:eastAsia="Arial" w:hAnsi="Arial"/>
          <w:sz w:val="17"/>
          <w:szCs w:val="17"/>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 cost of sales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5"/>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2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Feedstock purchased from Westlake and included in cost of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59,638</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charges from Westlake and included in cost of sales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24,100</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83,738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from Related Parties Included in Selling, General and Administrative Expenses</w:t>
      </w:r>
    </w:p>
    <w:p>
      <w:pPr>
        <w:spacing w:after="0" w:line="104"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included within selling, general and administrative expenses were as follows:</w:t>
      </w:r>
    </w:p>
    <w:p>
      <w:pPr>
        <w:spacing w:after="0" w:line="122"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23495</wp:posOffset>
            </wp:positionV>
            <wp:extent cx="18859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2"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8260" w:val="left"/>
          <w:tab w:leader="none" w:pos="9200" w:val="left"/>
          <w:tab w:leader="none" w:pos="9800" w:val="left"/>
          <w:tab w:leader="none" w:pos="10760" w:val="left"/>
        </w:tabs>
        <w:rPr>
          <w:sz w:val="20"/>
          <w:szCs w:val="20"/>
          <w:color w:val="auto"/>
        </w:rPr>
      </w:pPr>
      <w:r>
        <w:rPr>
          <w:rFonts w:ascii="Arial" w:cs="Arial" w:eastAsia="Arial" w:hAnsi="Arial"/>
          <w:sz w:val="18"/>
          <w:szCs w:val="18"/>
          <w:color w:val="auto"/>
        </w:rPr>
        <w:t>Services received from Westlake and included in selling, general and administrative expenses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7,912</w:t>
        <w:tab/>
        <w:t>$</w:t>
      </w:r>
      <w:r>
        <w:rPr>
          <w:sz w:val="20"/>
          <w:szCs w:val="20"/>
          <w:color w:val="auto"/>
        </w:rPr>
        <w:tab/>
      </w:r>
      <w:r>
        <w:rPr>
          <w:rFonts w:ascii="Arial" w:cs="Arial" w:eastAsia="Arial" w:hAnsi="Arial"/>
          <w:sz w:val="15"/>
          <w:szCs w:val="15"/>
          <w:color w:val="auto"/>
        </w:rPr>
        <w:t>5,115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40640</wp:posOffset>
            </wp:positionV>
            <wp:extent cx="18859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Goods and Services from Related Parties Capitalized as Assets</w:t>
      </w:r>
    </w:p>
    <w:p>
      <w:pPr>
        <w:spacing w:after="0" w:line="90"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Charges from related parties for goods and services capitalized as assets were as follows:</w:t>
      </w:r>
    </w:p>
    <w:p>
      <w:pPr>
        <w:spacing w:after="0" w:line="136"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23495</wp:posOffset>
            </wp:positionV>
            <wp:extent cx="188595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2"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0" w:lineRule="exact"/>
        <w:rPr>
          <w:sz w:val="20"/>
          <w:szCs w:val="20"/>
          <w:color w:val="auto"/>
        </w:rPr>
      </w:pPr>
    </w:p>
    <w:p>
      <w:pPr>
        <w:ind w:left="20"/>
        <w:spacing w:after="0"/>
        <w:tabs>
          <w:tab w:leader="none" w:pos="8260" w:val="left"/>
          <w:tab w:leader="none" w:pos="9340" w:val="left"/>
          <w:tab w:leader="none" w:pos="9800" w:val="left"/>
          <w:tab w:leader="none" w:pos="10880" w:val="left"/>
        </w:tabs>
        <w:rPr>
          <w:sz w:val="20"/>
          <w:szCs w:val="20"/>
          <w:color w:val="auto"/>
        </w:rPr>
      </w:pPr>
      <w:r>
        <w:rPr>
          <w:rFonts w:ascii="Arial" w:cs="Arial" w:eastAsia="Arial" w:hAnsi="Arial"/>
          <w:sz w:val="18"/>
          <w:szCs w:val="18"/>
          <w:color w:val="auto"/>
        </w:rPr>
        <w:t>Goods and services purchased from Westlake and capitalized as assets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403</w:t>
        <w:tab/>
        <w:t>$</w:t>
      </w:r>
      <w:r>
        <w:rPr>
          <w:sz w:val="20"/>
          <w:szCs w:val="20"/>
          <w:color w:val="auto"/>
        </w:rPr>
        <w:tab/>
      </w:r>
      <w:r>
        <w:rPr>
          <w:rFonts w:ascii="Arial" w:cs="Arial" w:eastAsia="Arial" w:hAnsi="Arial"/>
          <w:sz w:val="15"/>
          <w:szCs w:val="15"/>
          <w:color w:val="auto"/>
        </w:rPr>
        <w:t>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40640</wp:posOffset>
            </wp:positionV>
            <wp:extent cx="18859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 under the Investment Management Agreement</w:t>
      </w:r>
    </w:p>
    <w:p>
      <w:pPr>
        <w:spacing w:after="0" w:line="90"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On August 1, 2017, the Partnership, OpCo and Westlake executed an investment management agreement (the "Investment Management Agreement") that authorized Westlake to invest the Partnership's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$67 and $56 was included in the receivable under the Investment Management Agreement balance at March 31, 2021 and December 31, 2020, respectively. Total interest earned related to the Investment Management Agreement was $67 and $587 for the three months ended March 31, 2021 and 2020, respectively.</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Partnership's receivable under the Investment Management Agreement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122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Receivable under the Investment Management Agreement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187,239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123,228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from Related Parties</w:t>
      </w:r>
    </w:p>
    <w:p>
      <w:pPr>
        <w:spacing w:after="0" w:line="104" w:lineRule="exact"/>
        <w:rPr>
          <w:sz w:val="20"/>
          <w:szCs w:val="20"/>
          <w:color w:val="auto"/>
        </w:rPr>
      </w:pPr>
    </w:p>
    <w:p>
      <w:pPr>
        <w:ind w:right="40" w:firstLine="405"/>
        <w:spacing w:after="0" w:line="286" w:lineRule="auto"/>
        <w:rPr>
          <w:sz w:val="20"/>
          <w:szCs w:val="20"/>
          <w:color w:val="auto"/>
        </w:rPr>
      </w:pPr>
      <w:r>
        <w:rPr>
          <w:rFonts w:ascii="Arial" w:cs="Arial" w:eastAsia="Arial" w:hAnsi="Arial"/>
          <w:sz w:val="17"/>
          <w:szCs w:val="17"/>
          <w:color w:val="auto"/>
        </w:rPr>
        <w:t>The Partnership's accounts receivable from Westlake result primarily from ethylene sales to Westlake, the buyer deficiency fee and the shortfall recognized under the Ethylene Sales Agreement, as discussed above under "Sales to Related Parties." The buyer deficiency fee and the shortfall recognized in the three months ended March 31, 2021 are scheduled to be received by the Partnership after the end of 2021.</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Partnership's accounts receivable from Westlake were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3"/>
                <w:szCs w:val="13"/>
                <w:color w:val="auto"/>
              </w:rPr>
            </w:pPr>
          </w:p>
        </w:tc>
        <w:tc>
          <w:tcPr>
            <w:tcW w:w="122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receivable—Westlake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50,969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108,028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 to Related Parties</w:t>
      </w:r>
    </w:p>
    <w:p>
      <w:pPr>
        <w:spacing w:after="0" w:line="104" w:lineRule="exact"/>
        <w:rPr>
          <w:sz w:val="20"/>
          <w:szCs w:val="20"/>
          <w:color w:val="auto"/>
        </w:rPr>
      </w:pPr>
    </w:p>
    <w:p>
      <w:pPr>
        <w:ind w:right="560" w:firstLine="405"/>
        <w:spacing w:after="0" w:line="277" w:lineRule="auto"/>
        <w:rPr>
          <w:sz w:val="20"/>
          <w:szCs w:val="20"/>
          <w:color w:val="auto"/>
        </w:rPr>
      </w:pPr>
      <w:r>
        <w:rPr>
          <w:rFonts w:ascii="Arial" w:cs="Arial" w:eastAsia="Arial" w:hAnsi="Arial"/>
          <w:sz w:val="18"/>
          <w:szCs w:val="18"/>
          <w:color w:val="auto"/>
        </w:rPr>
        <w:t>The Partnership's accounts payable to Westlake result primarily from feedstock purchases under the Feedstock Supply Agreement and services provided under the Services and Secondment Agreement and the Omnibus Agreement.</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related party accounts payable balances were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122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payable—Westlake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11,921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7,855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90" w:lineRule="exact"/>
        <w:rPr>
          <w:sz w:val="20"/>
          <w:szCs w:val="20"/>
          <w:color w:val="auto"/>
        </w:rPr>
      </w:pPr>
    </w:p>
    <w:p>
      <w:pPr>
        <w:ind w:right="260" w:firstLine="405"/>
        <w:spacing w:after="0" w:line="263" w:lineRule="auto"/>
        <w:rPr>
          <w:sz w:val="20"/>
          <w:szCs w:val="20"/>
          <w:color w:val="auto"/>
        </w:rPr>
      </w:pPr>
      <w:r>
        <w:rPr>
          <w:rFonts w:ascii="Arial" w:cs="Arial" w:eastAsia="Arial" w:hAnsi="Arial"/>
          <w:sz w:val="18"/>
          <w:szCs w:val="18"/>
          <w:color w:val="auto"/>
        </w:rPr>
        <w:t>OpCo is obligated to Westlake under various long-term and short-term noncancelable operating leases, primarily related to rail car leases and land. Operating lease rentals paid to Westlake for such leases were $686 and $670 for the three months ended March 31, 2021 and 2020, respectively, and reflected in other charges from Westlake that are included in cost of sales.</w:t>
      </w:r>
    </w:p>
    <w:p>
      <w:pPr>
        <w:spacing w:after="0" w:line="62"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OpCo has two site lease agreements with Westlake, each of which has a term of 50 years. Pursuant to the site lease agreements, OpCo pays Westlake one dollar per site per year.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Payable to Related Parties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9 for a description of related party debt payable balances.</w:t>
      </w:r>
    </w:p>
    <w:p>
      <w:pPr>
        <w:spacing w:after="0" w:line="104"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Interest on related party debt payable balances for the three months ended March 31, 2021 and 2020 was $2,236 and $3,950, respectively. Interest on related party debt payable is presented as interest expense—Westlake in the consolidated statements of operations. At March 31, 2021 and December 31, 2020, accrued interest on related party debt was $2,236 and $2,336, respectively, and is reflected as a component of accrued liabilities in the consolidated balance sheets.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payable to related parties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31,</w:t>
            </w:r>
          </w:p>
        </w:tc>
        <w:tc>
          <w:tcPr>
            <w:tcW w:w="220" w:type="dxa"/>
            <w:vAlign w:val="bottom"/>
          </w:tcPr>
          <w:p>
            <w:pPr>
              <w:spacing w:after="0"/>
              <w:rPr>
                <w:sz w:val="14"/>
                <w:szCs w:val="14"/>
                <w:color w:val="auto"/>
              </w:rPr>
            </w:pPr>
          </w:p>
        </w:tc>
        <w:tc>
          <w:tcPr>
            <w:tcW w:w="122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December 31,</w:t>
            </w:r>
          </w:p>
        </w:tc>
      </w:tr>
      <w:tr>
        <w:trPr>
          <w:trHeight w:val="188"/>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2020</w:t>
            </w: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payable to Westlake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399,674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Customer and Concentration of Credit Risk</w:t>
      </w:r>
    </w:p>
    <w:p>
      <w:pPr>
        <w:spacing w:after="0" w:line="104"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During the three months ended March 31, 2021 and 2020, Westlake accounted for approximately 82.0% and 85.7%, respectively, of the Partnership's net sales.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7 above for an additional related party transaction.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Debt Payable to Westlake</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payable to Westlake consists of the following:</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20" w:type="dxa"/>
            <w:vAlign w:val="bottom"/>
          </w:tcPr>
          <w:p>
            <w:pPr>
              <w:jc w:val="right"/>
              <w:ind w:right="217"/>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8"/>
        </w:trPr>
        <w:tc>
          <w:tcPr>
            <w:tcW w:w="82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7"/>
        </w:trPr>
        <w:tc>
          <w:tcPr>
            <w:tcW w:w="826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w w:val="99"/>
              </w:rPr>
              <w:t>OpCo Revolver (variable interest rate of London Interbank Offered Rate ("LIBOR") plus 2.0%, scheduled</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22,619</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22,619</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maturity of September 25, 2023)</w:t>
            </w:r>
          </w:p>
        </w:tc>
        <w:tc>
          <w:tcPr>
            <w:tcW w:w="260" w:type="dxa"/>
            <w:vAlign w:val="bottom"/>
            <w:vMerge w:val="continue"/>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MLP Revolver (variable interest rate of LIBOR plus 2.0%, scheduled maturity of March 19, 2023)</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377,055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377,055</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399,674</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weighted average interest rate on all long-term debt was 2.2% at March 31, 2021 and December 31, 2020.</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March 31, 2021, the Partnership was in compliance with all of the covenants under the OpCo Revolver and the MLP Revolver.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108" w:lineRule="exact"/>
        <w:rPr>
          <w:sz w:val="20"/>
          <w:szCs w:val="20"/>
          <w:color w:val="auto"/>
        </w:rPr>
      </w:pPr>
    </w:p>
    <w:p>
      <w:pPr>
        <w:ind w:right="140" w:firstLine="445"/>
        <w:spacing w:after="0" w:line="263" w:lineRule="auto"/>
        <w:rPr>
          <w:sz w:val="20"/>
          <w:szCs w:val="20"/>
          <w:color w:val="auto"/>
        </w:rPr>
      </w:pPr>
      <w:r>
        <w:rPr>
          <w:rFonts w:ascii="Arial" w:cs="Arial" w:eastAsia="Arial" w:hAnsi="Arial"/>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r>
        <w:rPr>
          <w:rFonts w:ascii="Arial" w:cs="Arial" w:eastAsia="Arial" w:hAnsi="Arial"/>
          <w:sz w:val="18"/>
          <w:szCs w:val="18"/>
          <w:color w:val="auto"/>
        </w:rPr>
        <w:t>—</w:t>
      </w: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00" w:firstLine="405"/>
        <w:spacing w:after="0" w:line="270" w:lineRule="auto"/>
        <w:rPr>
          <w:sz w:val="20"/>
          <w:szCs w:val="20"/>
          <w:color w:val="auto"/>
        </w:rPr>
      </w:pPr>
      <w:r>
        <w:rPr>
          <w:rFonts w:ascii="Arial" w:cs="Arial" w:eastAsia="Arial" w:hAnsi="Arial"/>
          <w:sz w:val="17"/>
          <w:szCs w:val="17"/>
          <w:color w:val="auto"/>
        </w:rPr>
        <w:t>The Partnership has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March 31, 2021 and December 31, 2020 are summarized in the table below. The Partnership's long-term debt includes the OpCo Revolver and the MLP Revolver at March 31, 2021. The fair value of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 2021</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900" w:type="dxa"/>
            <w:vAlign w:val="bottom"/>
            <w:tcBorders>
              <w:bottom w:val="single" w:sz="8" w:color="auto"/>
            </w:tcBorders>
          </w:tcPr>
          <w:p>
            <w:pPr>
              <w:spacing w:after="0"/>
              <w:rPr>
                <w:sz w:val="16"/>
                <w:szCs w:val="16"/>
                <w:color w:val="auto"/>
              </w:rPr>
            </w:pPr>
          </w:p>
        </w:tc>
      </w:tr>
      <w:tr>
        <w:trPr>
          <w:trHeight w:val="134"/>
        </w:trPr>
        <w:tc>
          <w:tcPr>
            <w:tcW w:w="5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rPr>
              <w:t>Carrying</w:t>
            </w:r>
          </w:p>
        </w:tc>
        <w:tc>
          <w:tcPr>
            <w:tcW w:w="480" w:type="dxa"/>
            <w:vAlign w:val="bottom"/>
          </w:tcPr>
          <w:p>
            <w:pPr>
              <w:spacing w:after="0"/>
              <w:rPr>
                <w:sz w:val="11"/>
                <w:szCs w:val="11"/>
                <w:color w:val="auto"/>
              </w:rPr>
            </w:pPr>
          </w:p>
        </w:tc>
        <w:tc>
          <w:tcPr>
            <w:tcW w:w="940" w:type="dxa"/>
            <w:vAlign w:val="bottom"/>
          </w:tcPr>
          <w:p>
            <w:pPr>
              <w:jc w:val="center"/>
              <w:ind w:right="399"/>
              <w:spacing w:after="0" w:line="135"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5" w:lineRule="exact"/>
              <w:rPr>
                <w:sz w:val="20"/>
                <w:szCs w:val="20"/>
                <w:color w:val="auto"/>
              </w:rPr>
            </w:pPr>
            <w:r>
              <w:rPr>
                <w:rFonts w:ascii="Arial" w:cs="Arial" w:eastAsia="Arial" w:hAnsi="Arial"/>
                <w:sz w:val="14"/>
                <w:szCs w:val="14"/>
                <w:b w:val="1"/>
                <w:bCs w:val="1"/>
                <w:color w:val="auto"/>
                <w:w w:val="97"/>
              </w:rPr>
              <w:t>Carrying</w:t>
            </w:r>
          </w:p>
        </w:tc>
        <w:tc>
          <w:tcPr>
            <w:tcW w:w="540" w:type="dxa"/>
            <w:vAlign w:val="bottom"/>
          </w:tcPr>
          <w:p>
            <w:pPr>
              <w:spacing w:after="0"/>
              <w:rPr>
                <w:sz w:val="11"/>
                <w:szCs w:val="11"/>
                <w:color w:val="auto"/>
              </w:rPr>
            </w:pPr>
          </w:p>
        </w:tc>
        <w:tc>
          <w:tcPr>
            <w:tcW w:w="900" w:type="dxa"/>
            <w:vAlign w:val="bottom"/>
          </w:tcPr>
          <w:p>
            <w:pPr>
              <w:jc w:val="right"/>
              <w:ind w:right="499"/>
              <w:spacing w:after="0" w:line="135" w:lineRule="exact"/>
              <w:rPr>
                <w:sz w:val="20"/>
                <w:szCs w:val="20"/>
                <w:color w:val="auto"/>
              </w:rPr>
            </w:pPr>
            <w:r>
              <w:rPr>
                <w:rFonts w:ascii="Arial" w:cs="Arial" w:eastAsia="Arial" w:hAnsi="Arial"/>
                <w:sz w:val="14"/>
                <w:szCs w:val="14"/>
                <w:b w:val="1"/>
                <w:bCs w:val="1"/>
                <w:color w:val="auto"/>
              </w:rPr>
              <w:t>Fair</w:t>
            </w:r>
          </w:p>
        </w:tc>
      </w:tr>
      <w:tr>
        <w:trPr>
          <w:trHeight w:val="188"/>
        </w:trPr>
        <w:tc>
          <w:tcPr>
            <w:tcW w:w="5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480" w:type="dxa"/>
            <w:vAlign w:val="bottom"/>
          </w:tcPr>
          <w:p>
            <w:pPr>
              <w:spacing w:after="0"/>
              <w:rPr>
                <w:sz w:val="16"/>
                <w:szCs w:val="16"/>
                <w:color w:val="auto"/>
              </w:rPr>
            </w:pPr>
          </w:p>
        </w:tc>
        <w:tc>
          <w:tcPr>
            <w:tcW w:w="10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0"/>
              </w:rPr>
              <w:t>Value</w:t>
            </w:r>
          </w:p>
        </w:tc>
        <w:tc>
          <w:tcPr>
            <w:tcW w:w="28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540" w:type="dxa"/>
            <w:vAlign w:val="bottom"/>
          </w:tcPr>
          <w:p>
            <w:pPr>
              <w:spacing w:after="0"/>
              <w:rPr>
                <w:sz w:val="16"/>
                <w:szCs w:val="16"/>
                <w:color w:val="auto"/>
              </w:rPr>
            </w:pPr>
          </w:p>
        </w:tc>
        <w:tc>
          <w:tcPr>
            <w:tcW w:w="900" w:type="dxa"/>
            <w:vAlign w:val="bottom"/>
          </w:tcPr>
          <w:p>
            <w:pPr>
              <w:jc w:val="right"/>
              <w:ind w:right="459"/>
              <w:spacing w:after="0"/>
              <w:rPr>
                <w:sz w:val="20"/>
                <w:szCs w:val="20"/>
                <w:color w:val="auto"/>
              </w:rPr>
            </w:pPr>
            <w:r>
              <w:rPr>
                <w:rFonts w:ascii="Arial" w:cs="Arial" w:eastAsia="Arial" w:hAnsi="Arial"/>
                <w:sz w:val="14"/>
                <w:szCs w:val="14"/>
                <w:b w:val="1"/>
                <w:bCs w:val="1"/>
                <w:color w:val="auto"/>
                <w:w w:val="90"/>
              </w:rPr>
              <w:t>Value</w:t>
            </w:r>
          </w:p>
        </w:tc>
      </w:tr>
      <w:tr>
        <w:trPr>
          <w:trHeight w:val="224"/>
        </w:trPr>
        <w:tc>
          <w:tcPr>
            <w:tcW w:w="5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OpCo Revolver</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22,619</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22,817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22,619</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23,301</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MLP Revolver</w:t>
            </w:r>
          </w:p>
        </w:tc>
        <w:tc>
          <w:tcPr>
            <w:tcW w:w="26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8"/>
                <w:szCs w:val="18"/>
                <w:color w:val="auto"/>
              </w:rPr>
              <w:t>377,055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377,520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1"/>
              <w:spacing w:after="0"/>
              <w:rPr>
                <w:sz w:val="20"/>
                <w:szCs w:val="20"/>
                <w:color w:val="auto"/>
              </w:rPr>
            </w:pPr>
            <w:r>
              <w:rPr>
                <w:rFonts w:ascii="Arial" w:cs="Arial" w:eastAsia="Arial" w:hAnsi="Arial"/>
                <w:sz w:val="18"/>
                <w:szCs w:val="18"/>
                <w:color w:val="auto"/>
              </w:rPr>
              <w:t>377,055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383,284</w:t>
            </w:r>
          </w:p>
        </w:tc>
      </w:tr>
    </w:tbl>
    <w:p>
      <w:pPr>
        <w:spacing w:after="0" w:line="318" w:lineRule="exact"/>
        <w:rPr>
          <w:sz w:val="20"/>
          <w:szCs w:val="20"/>
          <w:color w:val="auto"/>
        </w:rPr>
      </w:pPr>
    </w:p>
    <w:p>
      <w:pPr>
        <w:ind w:right="8920" w:firstLine="8"/>
        <w:spacing w:after="0" w:line="398" w:lineRule="auto"/>
        <w:tabs>
          <w:tab w:leader="none" w:pos="2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and Other Liabilities</w:t>
      </w:r>
    </w:p>
    <w:p>
      <w:pPr>
        <w:spacing w:after="0" w:line="1" w:lineRule="exact"/>
        <w:rPr>
          <w:sz w:val="20"/>
          <w:szCs w:val="20"/>
          <w:color w:val="auto"/>
        </w:rPr>
      </w:pPr>
    </w:p>
    <w:p>
      <w:pPr>
        <w:ind w:right="40" w:firstLine="405"/>
        <w:spacing w:after="0" w:line="311" w:lineRule="auto"/>
        <w:rPr>
          <w:sz w:val="20"/>
          <w:szCs w:val="20"/>
          <w:color w:val="auto"/>
        </w:rPr>
      </w:pPr>
      <w:r>
        <w:rPr>
          <w:rFonts w:ascii="Arial" w:cs="Arial" w:eastAsia="Arial" w:hAnsi="Arial"/>
          <w:sz w:val="16"/>
          <w:szCs w:val="16"/>
          <w:color w:val="auto"/>
        </w:rPr>
        <w:t>Accrued and other liabilities were $18,049 and $18,768 at March 31, 2021 and December 31, 2020, respectively. Accrued taxes, accrued maintenance expense and accrued interest, which are components of accrued liabilities, were $3,120, $6,215 and $2,236, respectively, at March 31, 2021 and $6,207, $3,905 and $2,336, respectively, at December 31, 2020. No other component of accrued liabilities was more than five percent of total current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104"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non-cash investing activities related to accruals for capital expenditures were $582 and $20 for the three months ended March 31, 2021 and 2020,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94" w:lineRule="exact"/>
        <w:rPr>
          <w:sz w:val="20"/>
          <w:szCs w:val="20"/>
          <w:color w:val="auto"/>
        </w:rPr>
      </w:pPr>
    </w:p>
    <w:p>
      <w:pPr>
        <w:ind w:right="120" w:firstLine="405"/>
        <w:spacing w:after="0" w:line="290" w:lineRule="auto"/>
        <w:rPr>
          <w:sz w:val="20"/>
          <w:szCs w:val="20"/>
          <w:color w:val="auto"/>
        </w:rPr>
      </w:pPr>
      <w:r>
        <w:rPr>
          <w:rFonts w:ascii="Arial" w:cs="Arial" w:eastAsia="Arial" w:hAnsi="Arial"/>
          <w:sz w:val="16"/>
          <w:szCs w:val="16"/>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11"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This Management's Discussion and Analysis of Financial Condition and Results of Operations section should be read in conjunction with the accompanying consolidated financial statements and the notes thereto and the consolidated financial statements and notes thereto included in Westlake Chemical Partners LP's annual report on Form 10-K for the fiscal year ended December 31, 2020 (the "2020 Form 10-K"), as filed with the SEC on March 2, 2021. Unless otherwise indicated, references in this report to "we," "our," "us" or like terms, refer to Westlake Chemical Partners LP (the "Partnership"), Westlake Chemical OpCo LP ("OpCo") and Westlake Chemical OpCo GP LLC ("OpCo GP"). References to "Westlake" refer to Westlake Chemical Corporation and its consolidated subsidiaries other than the Partnership, OpCo GP and OpCo. The following discussion contains forward-looking statements. Please read "Forward-Looking Statements" for a discussion of limitations inherent in such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Partnership Overview</w:t>
      </w:r>
    </w:p>
    <w:p>
      <w:pPr>
        <w:spacing w:after="0" w:line="108"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The 12,686,115 subordinated units of the Partnership, all of which were previously owned by Westlake, were converted into common units of the Partnership on August 30, 2017. On September 29, 2017, we completed a secondary public offering of 5,175,000 common units and purchased an additional 5.0% newly-issued limited partner interest in OpCo, resulting in an aggregate 18.3% limited partner interest in OpCo, effective July 1, 2017.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27"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108"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on an annual basis, is not reduced for the first 45 days of a force majeure event, but is reduced for the portion of a force majeure event extending beyond the 45th day. In the event of a force majeure event, we recognize buyer deficiency fees representing fixed margin and unavoided operating and maintenance capital expenditures and maintenance expenses associated with ethylene that OpCo would have produced and is not expected to be produced based on anticipated production. Payment for the buyer deficiency fee is scheduled to be received by the Partnership after the conclusion of the year.</w:t>
      </w:r>
    </w:p>
    <w:p>
      <w:pPr>
        <w:spacing w:after="0" w:line="118" w:lineRule="exact"/>
        <w:rPr>
          <w:sz w:val="20"/>
          <w:szCs w:val="20"/>
          <w:color w:val="auto"/>
        </w:rPr>
      </w:pPr>
    </w:p>
    <w:p>
      <w:pPr>
        <w:ind w:right="80" w:firstLine="405"/>
        <w:spacing w:after="0" w:line="293" w:lineRule="auto"/>
        <w:rPr>
          <w:sz w:val="20"/>
          <w:szCs w:val="20"/>
          <w:color w:val="auto"/>
        </w:rPr>
      </w:pPr>
      <w:r>
        <w:rPr>
          <w:rFonts w:ascii="Arial" w:cs="Arial" w:eastAsia="Arial" w:hAnsi="Arial"/>
          <w:sz w:val="16"/>
          <w:szCs w:val="16"/>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Maintenance Capital Expenditures and Turnaround Costs</w:t>
      </w:r>
    </w:p>
    <w:p>
      <w:pPr>
        <w:spacing w:after="0" w:line="94" w:lineRule="exact"/>
        <w:rPr>
          <w:sz w:val="20"/>
          <w:szCs w:val="20"/>
          <w:color w:val="auto"/>
        </w:rPr>
      </w:pPr>
    </w:p>
    <w:p>
      <w:pPr>
        <w:ind w:right="60" w:firstLine="405"/>
        <w:spacing w:after="0" w:line="271" w:lineRule="auto"/>
        <w:rPr>
          <w:sz w:val="20"/>
          <w:szCs w:val="20"/>
          <w:color w:val="auto"/>
        </w:rPr>
      </w:pPr>
      <w:r>
        <w:rPr>
          <w:rFonts w:ascii="Arial" w:cs="Arial" w:eastAsia="Arial" w:hAnsi="Arial"/>
          <w:sz w:val="17"/>
          <w:szCs w:val="17"/>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24" w:lineRule="exact"/>
        <w:rPr>
          <w:sz w:val="20"/>
          <w:szCs w:val="20"/>
          <w:color w:val="auto"/>
        </w:rPr>
      </w:pPr>
    </w:p>
    <w:p>
      <w:pPr>
        <w:ind w:right="180" w:firstLine="405"/>
        <w:spacing w:after="0" w:line="289" w:lineRule="auto"/>
        <w:rPr>
          <w:sz w:val="20"/>
          <w:szCs w:val="20"/>
          <w:color w:val="auto"/>
        </w:rPr>
      </w:pPr>
      <w:r>
        <w:rPr>
          <w:rFonts w:ascii="Arial" w:cs="Arial" w:eastAsia="Arial" w:hAnsi="Arial"/>
          <w:sz w:val="16"/>
          <w:szCs w:val="16"/>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 may directly affect our profitability and cash flows. The impact on profitability is partially mitigated by the fact that we generally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MLP Distributable Cash Flow and EBITDA</w:t>
      </w:r>
    </w:p>
    <w:p>
      <w:pPr>
        <w:spacing w:after="0" w:line="108" w:lineRule="exact"/>
        <w:rPr>
          <w:sz w:val="20"/>
          <w:szCs w:val="20"/>
          <w:color w:val="auto"/>
        </w:rPr>
      </w:pPr>
    </w:p>
    <w:p>
      <w:pPr>
        <w:ind w:right="80" w:firstLine="405"/>
        <w:spacing w:after="0" w:line="285" w:lineRule="auto"/>
        <w:rPr>
          <w:sz w:val="20"/>
          <w:szCs w:val="20"/>
          <w:color w:val="auto"/>
        </w:rPr>
      </w:pPr>
      <w:r>
        <w:rPr>
          <w:rFonts w:ascii="Arial" w:cs="Arial" w:eastAsia="Arial" w:hAnsi="Arial"/>
          <w:sz w:val="16"/>
          <w:szCs w:val="16"/>
          <w:color w:val="auto"/>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the non-GAAP measures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We use each of MLP distributable cash flow and EBITDA to analyze our performance. Fees for a buyer deficiency and Shortfall are included in net income in the periods in which they are recognized. MLP distributable cash flow and EBITDA are non-GAAP supplemental financial measures that management and external users of our consolidated financial statements, such as industry analysts, investors, lenders and rating agencies, may use to assess our operating performance as compared to other publicly-traded partnerships; our ability to incur and service debt and fund capital expenditures; and the viability of acquisitions and other capital expenditure projects and the returns on investment of various investment opportunities.</w:t>
      </w:r>
    </w:p>
    <w:p>
      <w:pPr>
        <w:spacing w:after="0" w:line="122"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MLP distributable cash flow is not a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EBITDA is not a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the "Results of Operations" section below.</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Developments Affecting Industry Conditions and Our Business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Industry Conditions and Our Business</w:t>
      </w:r>
    </w:p>
    <w:p>
      <w:pPr>
        <w:spacing w:after="0" w:line="104" w:lineRule="exact"/>
        <w:rPr>
          <w:sz w:val="20"/>
          <w:szCs w:val="20"/>
          <w:color w:val="auto"/>
        </w:rPr>
      </w:pPr>
    </w:p>
    <w:p>
      <w:pPr>
        <w:ind w:right="60" w:firstLine="405"/>
        <w:spacing w:after="0" w:line="301" w:lineRule="auto"/>
        <w:rPr>
          <w:sz w:val="20"/>
          <w:szCs w:val="20"/>
          <w:color w:val="auto"/>
        </w:rPr>
      </w:pPr>
      <w:r>
        <w:rPr>
          <w:rFonts w:ascii="Arial" w:cs="Arial" w:eastAsia="Arial" w:hAnsi="Arial"/>
          <w:sz w:val="16"/>
          <w:szCs w:val="16"/>
          <w:color w:val="auto"/>
        </w:rPr>
        <w:t xml:space="preserve">On March 11, 2020, the World Health Organization declared the ongoing coronavirus (COVID-19) outbreak a pandemic and recommended containment and mitigation measures worldwide. </w:t>
      </w:r>
      <w:r>
        <w:rPr>
          <w:rFonts w:ascii="Arial" w:cs="Arial" w:eastAsia="Arial" w:hAnsi="Arial"/>
          <w:sz w:val="16"/>
          <w:szCs w:val="16"/>
          <w:color w:val="212529"/>
        </w:rPr>
        <w:t>The pandemic</w:t>
      </w:r>
      <w:r>
        <w:rPr>
          <w:rFonts w:ascii="Arial" w:cs="Arial" w:eastAsia="Arial" w:hAnsi="Arial"/>
          <w:sz w:val="16"/>
          <w:szCs w:val="16"/>
          <w:color w:val="auto"/>
        </w:rPr>
        <w:t xml:space="preserve"> has resulted in widespread adverse impacts on the global economy and on our employees, customers and suppliers. We have not experienced significant disruptions to our business operations and do not expect to experience </w:t>
      </w:r>
      <w:r>
        <w:rPr>
          <w:rFonts w:ascii="Arial" w:cs="Arial" w:eastAsia="Arial" w:hAnsi="Arial"/>
          <w:sz w:val="16"/>
          <w:szCs w:val="16"/>
          <w:color w:val="212529"/>
        </w:rPr>
        <w:t>significant disruptions</w:t>
      </w:r>
      <w:r>
        <w:rPr>
          <w:rFonts w:ascii="Arial" w:cs="Arial" w:eastAsia="Arial" w:hAnsi="Arial"/>
          <w:sz w:val="16"/>
          <w:szCs w:val="16"/>
          <w:color w:val="auto"/>
        </w:rPr>
        <w:t xml:space="preserve"> </w:t>
      </w:r>
      <w:r>
        <w:rPr>
          <w:rFonts w:ascii="Arial" w:cs="Arial" w:eastAsia="Arial" w:hAnsi="Arial"/>
          <w:sz w:val="16"/>
          <w:szCs w:val="16"/>
          <w:color w:val="212529"/>
        </w:rPr>
        <w:t>to our business operations resulting from COVID-19, primarily due to the fact that 95% of our production is sold to Westlake on a take-or-pay contract.</w:t>
      </w:r>
    </w:p>
    <w:p>
      <w:pPr>
        <w:spacing w:after="0" w:line="103"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Our first priority in our response to this crisis has been the health and safety of our operators, who are seconded to us by Westlake, and those of our customers and vendors. Westlake has implemented preventative measures and developed corporate and regional response plans to minimize unnecessary risk of exposure. We and Westlake have modified certain business practices (including those related to employee travel, employee work locations and employee work practices) to conform to government restrictions and best practices encouraged by the Center for Disease Control and Prevention, the World Health Organization and other governmental and regulatory authorities. We and Westlake have implemented strategies to reduce costs, increase operational efficiencies and lower capital spending. We also deferred the planned turnaround at OpCo's Petro 2 ethylene unit and associated maintenance cost from 2020 to the second half of 2021. The turnaround is expected to last approximately 60 days.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February Winter Storm</w:t>
      </w:r>
    </w:p>
    <w:p>
      <w:pPr>
        <w:spacing w:after="0" w:line="90" w:lineRule="exact"/>
        <w:rPr>
          <w:sz w:val="20"/>
          <w:szCs w:val="20"/>
          <w:color w:val="auto"/>
        </w:rPr>
      </w:pPr>
    </w:p>
    <w:p>
      <w:pPr>
        <w:ind w:right="100" w:firstLine="405"/>
        <w:spacing w:after="0" w:line="273" w:lineRule="auto"/>
        <w:rPr>
          <w:sz w:val="20"/>
          <w:szCs w:val="20"/>
          <w:color w:val="auto"/>
        </w:rPr>
      </w:pPr>
      <w:r>
        <w:rPr>
          <w:rFonts w:ascii="Arial" w:cs="Arial" w:eastAsia="Arial" w:hAnsi="Arial"/>
          <w:sz w:val="17"/>
          <w:szCs w:val="17"/>
          <w:color w:val="auto"/>
        </w:rPr>
        <w:t>In February 2021, large parts of the southern United States, including Louisiana and Kentucky, experienced a severe winter storm. Due to the severe winter storm, OpCo's ethylene production facilities in the region experienced disruption to their operations, resulting in lost production and additional maintenance costs. OpCo declared force majeure under the Ethylene Supply Agreement during February and March 2021. As a result of the force majeure events, we recognized a buyer deficiency fee of $5.5 million and a Shortfall of $4.2 million in the first quarter of 2021 that are scheduled to be received by the Partnership after the end of 2021. The buyer deficiency fee is associated with ethylene that OpCo would have produced and is not expected to be produced in 2021 based on anticipated production. OpCo's production facilities have since resumed production.</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r>
      <w:tr>
        <w:trPr>
          <w:trHeight w:val="218"/>
        </w:trPr>
        <w:tc>
          <w:tcPr>
            <w:tcW w:w="8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4"/>
          </w:tcPr>
          <w:p>
            <w:pPr>
              <w:jc w:val="right"/>
              <w:ind w:right="731"/>
              <w:spacing w:after="0"/>
              <w:rPr>
                <w:sz w:val="20"/>
                <w:szCs w:val="20"/>
                <w:color w:val="auto"/>
              </w:rPr>
            </w:pPr>
            <w:r>
              <w:rPr>
                <w:rFonts w:ascii="Arial" w:cs="Arial" w:eastAsia="Arial" w:hAnsi="Arial"/>
                <w:sz w:val="14"/>
                <w:szCs w:val="14"/>
                <w:b w:val="1"/>
                <w:bCs w:val="1"/>
                <w:color w:val="auto"/>
              </w:rPr>
              <w:t>(dollars in thousands)</w:t>
            </w:r>
          </w:p>
        </w:tc>
      </w:tr>
      <w:tr>
        <w:trPr>
          <w:trHeight w:val="23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30"/>
        </w:trPr>
        <w:tc>
          <w:tcPr>
            <w:tcW w:w="8260" w:type="dxa"/>
            <w:vAlign w:val="bottom"/>
          </w:tcPr>
          <w:p>
            <w:pPr>
              <w:ind w:left="220"/>
              <w:spacing w:after="0"/>
              <w:rPr>
                <w:sz w:val="20"/>
                <w:szCs w:val="20"/>
                <w:color w:val="auto"/>
              </w:rPr>
            </w:pPr>
            <w:r>
              <w:rPr>
                <w:rFonts w:ascii="Arial" w:cs="Arial" w:eastAsia="Arial" w:hAnsi="Arial"/>
                <w:sz w:val="18"/>
                <w:szCs w:val="18"/>
                <w:color w:val="auto"/>
              </w:rPr>
              <w:t>Net sales—Westlake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219,803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214,828</w:t>
            </w:r>
          </w:p>
        </w:tc>
      </w:tr>
      <w:tr>
        <w:trPr>
          <w:trHeight w:val="229"/>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co-product, ethylene and other sales—third parties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48,404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35,721</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268,207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250,549</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147,001</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87,699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103,548</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6,196</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79,026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97,352</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8260" w:type="dxa"/>
            <w:vAlign w:val="bottom"/>
          </w:tcPr>
          <w:p>
            <w:pPr>
              <w:ind w:left="220"/>
              <w:spacing w:after="0"/>
              <w:rPr>
                <w:sz w:val="20"/>
                <w:szCs w:val="20"/>
                <w:color w:val="auto"/>
              </w:rPr>
            </w:pPr>
            <w:r>
              <w:rPr>
                <w:rFonts w:ascii="Arial" w:cs="Arial" w:eastAsia="Arial" w:hAnsi="Arial"/>
                <w:sz w:val="18"/>
                <w:szCs w:val="18"/>
                <w:color w:val="auto"/>
              </w:rPr>
              <w:t>Interest expense—Westlake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(3,950)</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76,797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93,987</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 provision</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76,622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93,770</w:t>
            </w:r>
          </w:p>
        </w:tc>
      </w:tr>
      <w:tr>
        <w:trPr>
          <w:trHeight w:val="230"/>
        </w:trPr>
        <w:tc>
          <w:tcPr>
            <w:tcW w:w="8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income attributable to noncontrolling interest in OpCo</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76,023</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Net income attributable to Westlake Chemical Partners LP</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17,747</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826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18,337</w:t>
            </w:r>
          </w:p>
        </w:tc>
      </w:tr>
      <w:tr>
        <w:trPr>
          <w:trHeight w:val="229"/>
        </w:trPr>
        <w:tc>
          <w:tcPr>
            <w:tcW w:w="8260" w:type="dxa"/>
            <w:vAlign w:val="bottom"/>
          </w:tcPr>
          <w:p>
            <w:pPr>
              <w:ind w:left="20"/>
              <w:spacing w:after="0" w:line="229"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3"/>
                <w:szCs w:val="23"/>
                <w:color w:val="auto"/>
                <w:vertAlign w:val="superscript"/>
              </w:rPr>
              <w:t>(2)</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106,575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123,968</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____________</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bl>
    <w:p>
      <w:pPr>
        <w:spacing w:after="0" w:line="310" w:lineRule="exact"/>
        <w:rPr>
          <w:sz w:val="20"/>
          <w:szCs w:val="20"/>
          <w:color w:val="auto"/>
        </w:rPr>
      </w:pPr>
    </w:p>
    <w:p>
      <w:pPr>
        <w:ind w:left="280" w:hanging="254"/>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"Reconciliation of MLP Distributable Cash Flow to Net Income and Net Cash Provided by Operating Activities" below.</w:t>
      </w:r>
    </w:p>
    <w:p>
      <w:pPr>
        <w:spacing w:after="0" w:line="76" w:lineRule="exact"/>
        <w:rPr>
          <w:rFonts w:ascii="Arial" w:cs="Arial" w:eastAsia="Arial" w:hAnsi="Arial"/>
          <w:sz w:val="18"/>
          <w:szCs w:val="18"/>
          <w:color w:val="auto"/>
        </w:rPr>
      </w:pPr>
    </w:p>
    <w:p>
      <w:pPr>
        <w:ind w:left="280" w:hanging="254"/>
        <w:spacing w:after="0"/>
        <w:tabs>
          <w:tab w:leader="none" w:pos="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"Reconciliation of EBITDA to Net Income, Income from Operations and Net Cash Provided by Operating Activities" below.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220" w:type="dxa"/>
            <w:vAlign w:val="bottom"/>
            <w:tcBorders>
              <w:bottom w:val="single" w:sz="8" w:color="auto"/>
            </w:tcBorders>
            <w:gridSpan w:val="3"/>
          </w:tcPr>
          <w:p>
            <w:pPr>
              <w:jc w:val="right"/>
              <w:ind w:right="376"/>
              <w:spacing w:after="0"/>
              <w:rPr>
                <w:sz w:val="20"/>
                <w:szCs w:val="20"/>
                <w:color w:val="auto"/>
              </w:rPr>
            </w:pPr>
            <w:r>
              <w:rPr>
                <w:rFonts w:ascii="Arial" w:cs="Arial" w:eastAsia="Arial" w:hAnsi="Arial"/>
                <w:sz w:val="14"/>
                <w:szCs w:val="14"/>
                <w:b w:val="1"/>
                <w:bCs w:val="1"/>
                <w:color w:val="auto"/>
              </w:rPr>
              <w:t>Three Months Ended March 31, 2021</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66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0"/>
              </w:rPr>
              <w:t>Average</w:t>
            </w:r>
          </w:p>
        </w:tc>
        <w:tc>
          <w:tcPr>
            <w:tcW w:w="156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88"/>
        </w:trPr>
        <w:tc>
          <w:tcPr>
            <w:tcW w:w="8020" w:type="dxa"/>
            <w:vAlign w:val="bottom"/>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Sales Price</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sales prices and volume percentage change from prior-year period</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440"/>
        </w:trPr>
        <w:tc>
          <w:tcPr>
            <w:tcW w:w="8020" w:type="dxa"/>
            <w:vAlign w:val="bottom"/>
          </w:tcPr>
          <w:p>
            <w:pPr>
              <w:spacing w:after="0"/>
              <w:rPr>
                <w:sz w:val="24"/>
                <w:szCs w:val="24"/>
                <w:color w:val="auto"/>
              </w:rPr>
            </w:pPr>
          </w:p>
        </w:tc>
        <w:tc>
          <w:tcPr>
            <w:tcW w:w="3220" w:type="dxa"/>
            <w:vAlign w:val="bottom"/>
            <w:tcBorders>
              <w:bottom w:val="single" w:sz="8" w:color="auto"/>
            </w:tcBorders>
            <w:gridSpan w:val="3"/>
          </w:tcPr>
          <w:p>
            <w:pPr>
              <w:jc w:val="right"/>
              <w:ind w:right="536"/>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87"/>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line="211" w:lineRule="exact"/>
              <w:rPr>
                <w:sz w:val="20"/>
                <w:szCs w:val="20"/>
                <w:color w:val="auto"/>
              </w:rPr>
            </w:pPr>
            <w:r>
              <w:rPr>
                <w:rFonts w:ascii="Arial" w:cs="Arial" w:eastAsia="Arial" w:hAnsi="Arial"/>
                <w:sz w:val="18"/>
                <w:szCs w:val="18"/>
                <w:b w:val="1"/>
                <w:bCs w:val="1"/>
                <w:color w:val="auto"/>
              </w:rPr>
              <w:t xml:space="preserve">Average industry prices </w:t>
            </w:r>
            <w:r>
              <w:rPr>
                <w:rFonts w:ascii="Arial" w:cs="Arial" w:eastAsia="Arial" w:hAnsi="Arial"/>
                <w:sz w:val="23"/>
                <w:szCs w:val="23"/>
                <w:b w:val="1"/>
                <w:bCs w:val="1"/>
                <w:color w:val="auto"/>
                <w:vertAlign w:val="superscript"/>
              </w:rPr>
              <w:t>(1)</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Ethane (cents/lb)</w:t>
            </w:r>
          </w:p>
        </w:tc>
        <w:tc>
          <w:tcPr>
            <w:tcW w:w="1560" w:type="dxa"/>
            <w:vAlign w:val="bottom"/>
          </w:tcPr>
          <w:p>
            <w:pPr>
              <w:jc w:val="right"/>
              <w:ind w:right="14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560" w:type="dxa"/>
            <w:vAlign w:val="bottom"/>
          </w:tcPr>
          <w:p>
            <w:pPr>
              <w:jc w:val="right"/>
              <w:ind w:right="136"/>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Propane (cents/lb)</w:t>
            </w:r>
          </w:p>
        </w:tc>
        <w:tc>
          <w:tcPr>
            <w:tcW w:w="1560" w:type="dxa"/>
            <w:vAlign w:val="bottom"/>
            <w:shd w:val="clear" w:color="auto" w:fill="CCEEFF"/>
          </w:tcPr>
          <w:p>
            <w:pPr>
              <w:jc w:val="right"/>
              <w:ind w:right="140"/>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312"/>
        </w:trPr>
        <w:tc>
          <w:tcPr>
            <w:tcW w:w="8020" w:type="dxa"/>
            <w:vAlign w:val="bottom"/>
          </w:tcPr>
          <w:p>
            <w:pPr>
              <w:ind w:left="20"/>
              <w:spacing w:after="0"/>
              <w:rPr>
                <w:sz w:val="20"/>
                <w:szCs w:val="20"/>
                <w:color w:val="auto"/>
              </w:rPr>
            </w:pPr>
            <w:r>
              <w:rPr>
                <w:rFonts w:ascii="Arial" w:cs="Arial" w:eastAsia="Arial" w:hAnsi="Arial"/>
                <w:sz w:val="18"/>
                <w:szCs w:val="18"/>
                <w:color w:val="auto"/>
              </w:rPr>
              <w:t xml:space="preserve">Ethylene (cents/lb) </w:t>
            </w:r>
            <w:r>
              <w:rPr>
                <w:rFonts w:ascii="Arial" w:cs="Arial" w:eastAsia="Arial" w:hAnsi="Arial"/>
                <w:sz w:val="23"/>
                <w:szCs w:val="23"/>
                <w:color w:val="auto"/>
                <w:vertAlign w:val="superscript"/>
              </w:rPr>
              <w:t>(2)</w:t>
            </w:r>
          </w:p>
        </w:tc>
        <w:tc>
          <w:tcPr>
            <w:tcW w:w="1560" w:type="dxa"/>
            <w:vAlign w:val="bottom"/>
          </w:tcPr>
          <w:p>
            <w:pPr>
              <w:jc w:val="right"/>
              <w:ind w:right="140"/>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4"/>
                <w:szCs w:val="24"/>
                <w:color w:val="auto"/>
              </w:rPr>
            </w:pPr>
          </w:p>
        </w:tc>
        <w:tc>
          <w:tcPr>
            <w:tcW w:w="1560" w:type="dxa"/>
            <w:vAlign w:val="bottom"/>
          </w:tcPr>
          <w:p>
            <w:pPr>
              <w:jc w:val="right"/>
              <w:ind w:right="136"/>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w:t>
      </w:r>
    </w:p>
    <w:p>
      <w:pPr>
        <w:spacing w:after="0" w:line="61" w:lineRule="exact"/>
        <w:rPr>
          <w:sz w:val="20"/>
          <w:szCs w:val="20"/>
          <w:color w:val="auto"/>
        </w:rPr>
      </w:pPr>
    </w:p>
    <w:p>
      <w:pPr>
        <w:ind w:left="480" w:hanging="472"/>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Industry pricing data was obtained through IHS Markit ("IHS"). We have not independently verified the data.</w:t>
      </w:r>
    </w:p>
    <w:p>
      <w:pPr>
        <w:spacing w:after="0" w:line="63" w:lineRule="exact"/>
        <w:rPr>
          <w:rFonts w:ascii="Arial" w:cs="Arial" w:eastAsia="Arial" w:hAnsi="Arial"/>
          <w:sz w:val="18"/>
          <w:szCs w:val="18"/>
          <w:color w:val="auto"/>
        </w:rPr>
      </w:pPr>
    </w:p>
    <w:p>
      <w:pPr>
        <w:ind w:left="480" w:hanging="472"/>
        <w:spacing w:after="0"/>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Represents average North American spot prices of ethylene over the period as reported by IHS.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MLP Distributable Cash Flow to Net Income and Net Cash Provided by Operating Activities</w:t>
      </w:r>
    </w:p>
    <w:p>
      <w:pPr>
        <w:spacing w:after="0" w:line="94"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following table presents reconciliations of MLP distributable cash flow to net income and net cash provided by operating activities, the most directly comparable GAAP financial measures, for each of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18"/>
        </w:trPr>
        <w:tc>
          <w:tcPr>
            <w:tcW w:w="8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rPr>
              <w:t>(dollars in thousands)</w:t>
            </w:r>
          </w:p>
        </w:tc>
      </w:tr>
      <w:tr>
        <w:trPr>
          <w:trHeight w:val="235"/>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155,408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110,961</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Loss from disposition of fixed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 and 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(17,094)</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93,770</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Depreciation, amortization and disposition of property, plant and equipment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28,898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26,127</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Mark-to-market adjustment gain on derivative contracts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Less: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Contribution to turnaround reserves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(9,923)</w:t>
            </w: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Maintenance capital expenditures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(11,743)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(11,121)</w:t>
            </w:r>
          </w:p>
        </w:tc>
      </w:tr>
      <w:tr>
        <w:trPr>
          <w:trHeight w:val="229"/>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Distributable cash flow attributable to noncontrolling interest in OpCo</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(78,025)</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MLP distributable cash flow</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18,337</w:t>
            </w:r>
          </w:p>
        </w:tc>
      </w:tr>
      <w:tr>
        <w:trPr>
          <w:trHeight w:val="20"/>
        </w:trPr>
        <w:tc>
          <w:tcPr>
            <w:tcW w:w="8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EBITDA to Net Income, Income from Operations and Net Cash Provided by Operating Activities</w:t>
      </w:r>
    </w:p>
    <w:p>
      <w:pPr>
        <w:spacing w:after="0" w:line="108"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The following table presents reconciliations of EBITDA to net income, income from operations and net cash provided by operating activities, the most directly comparable GAAP financial measures, for each of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r>
      <w:tr>
        <w:trPr>
          <w:trHeight w:val="218"/>
        </w:trPr>
        <w:tc>
          <w:tcPr>
            <w:tcW w:w="8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6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rPr>
              <w:t>(dollars in thousands)</w:t>
            </w:r>
          </w:p>
        </w:tc>
      </w:tr>
      <w:tr>
        <w:trPr>
          <w:trHeight w:val="236"/>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155,408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110,961</w:t>
            </w:r>
          </w:p>
        </w:tc>
      </w:tr>
      <w:tr>
        <w:trPr>
          <w:trHeight w:val="229"/>
        </w:trPr>
        <w:tc>
          <w:tcPr>
            <w:tcW w:w="8260" w:type="dxa"/>
            <w:vAlign w:val="bottom"/>
          </w:tcPr>
          <w:p>
            <w:pPr>
              <w:ind w:left="360"/>
              <w:spacing w:after="0"/>
              <w:rPr>
                <w:sz w:val="20"/>
                <w:szCs w:val="20"/>
                <w:color w:val="auto"/>
              </w:rPr>
            </w:pPr>
            <w:r>
              <w:rPr>
                <w:rFonts w:ascii="Arial" w:cs="Arial" w:eastAsia="Arial" w:hAnsi="Arial"/>
                <w:sz w:val="18"/>
                <w:szCs w:val="18"/>
                <w:color w:val="auto"/>
              </w:rPr>
              <w:t>Loss from disposition of fixed assets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 and other</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(17,094)</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93,770</w:t>
            </w:r>
          </w:p>
        </w:tc>
      </w:tr>
      <w:tr>
        <w:trPr>
          <w:trHeight w:val="21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8260" w:type="dxa"/>
            <w:vAlign w:val="bottom"/>
          </w:tcPr>
          <w:p>
            <w:pPr>
              <w:ind w:left="360"/>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585</w:t>
            </w: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w:t>
            </w:r>
          </w:p>
        </w:tc>
      </w:tr>
      <w:tr>
        <w:trPr>
          <w:trHeight w:val="229"/>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97,352</w:t>
            </w:r>
          </w:p>
        </w:tc>
      </w:tr>
      <w:tr>
        <w:trPr>
          <w:trHeight w:val="210"/>
        </w:trPr>
        <w:tc>
          <w:tcPr>
            <w:tcW w:w="8260" w:type="dxa"/>
            <w:vAlign w:val="bottom"/>
          </w:tcPr>
          <w:p>
            <w:pPr>
              <w:ind w:left="20"/>
              <w:spacing w:after="0"/>
              <w:rPr>
                <w:sz w:val="20"/>
                <w:szCs w:val="20"/>
                <w:color w:val="auto"/>
              </w:rPr>
            </w:pPr>
            <w:r>
              <w:rPr>
                <w:rFonts w:ascii="Arial" w:cs="Arial" w:eastAsia="Arial" w:hAnsi="Arial"/>
                <w:sz w:val="18"/>
                <w:szCs w:val="18"/>
                <w:color w:val="auto"/>
              </w:rPr>
              <w:t>Add:</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8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26,031</w:t>
            </w:r>
          </w:p>
        </w:tc>
      </w:tr>
      <w:tr>
        <w:trPr>
          <w:trHeight w:val="230"/>
        </w:trPr>
        <w:tc>
          <w:tcPr>
            <w:tcW w:w="82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123,968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90" w:lineRule="exact"/>
        <w:rPr>
          <w:sz w:val="20"/>
          <w:szCs w:val="20"/>
          <w:color w:val="auto"/>
        </w:rPr>
      </w:pPr>
    </w:p>
    <w:p>
      <w:pPr>
        <w:ind w:right="20" w:firstLine="405"/>
        <w:spacing w:after="0" w:line="286" w:lineRule="auto"/>
        <w:rPr>
          <w:sz w:val="20"/>
          <w:szCs w:val="20"/>
          <w:color w:val="auto"/>
        </w:rPr>
      </w:pPr>
      <w:r>
        <w:rPr>
          <w:rFonts w:ascii="Arial" w:cs="Arial" w:eastAsia="Arial" w:hAnsi="Arial"/>
          <w:sz w:val="16"/>
          <w:szCs w:val="16"/>
          <w:color w:val="auto"/>
        </w:rPr>
        <w:t>For the quarter ended March 31, 2021, net income was $76.6 million on net sales of $268.2 million. This represents a decrease in net income of $17.2 million as compared to net income of $93.8 million on net sales of $250.5 million for the quarter ended March 31, 2020. Net income attributable to the Partnership for the first quarter of 2021 was $15.1 million as compared to $17.7 million for the first quarter of 2020, a decrease of $2.6 million. Net income and net income attributable to the Partnership for the first quarter of 2021 as compared to the first quarter of 2020 were lower primarily due to lower sales volumes to Westlake and third parties and higher feedstock and conversion costs. The decreases were partially offset by higher sales prices for ethylene sold to Westlake per the terms of the Ethylene Sales Agreement and to third parties, as well as the buyer deficiency fee of $5.5 million and the Shortfall of $4.2 million recognized in the first quarter of 2021 due to the force majeure events in February and March 2021 resulting from the severe winter storm. Net sales for the first quarter of 2021 increased by $17.7 million as compared to net sales for the first quarter of 2020, mainly due to higher sales prices to Westlake per the terms of the Ethylene Sales Agreement and to third parties, as well as the buyer deficiency fee and the Shortfall recognized during the first quarter of 2021, partially offset by lower sales volumes to Westlake and third parties during the first quarter of 2021. Income from operations was $79.0 million for the first quarter of 2021 as compared to $97.4 million for the first quarter of 2020. Income from operations for the first quarter of 2021 decreased mainly as a result of decreased sales volumes to Westlake and third parties, increased selling, general and administrative costs and higher feedstock and conversion costs, as compared to the first quarter of 2020, partially offset by higher sales prices for ethylene sold to Westlake and third parties, as well as the buyer deficiency fee and the Shortfall recognized during the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2021 Compared with First Quarter 2020</w:t>
      </w:r>
    </w:p>
    <w:p>
      <w:pPr>
        <w:spacing w:after="0" w:line="9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Total net sales increased by $17.7 million, or 7.1%, to $268.2 million in the first quarter of 2021 from $250.5 million in the first quarter of</w:t>
      </w:r>
      <w:r>
        <w:rPr>
          <w:rFonts w:ascii="Arial" w:cs="Arial" w:eastAsia="Arial" w:hAnsi="Arial"/>
          <w:sz w:val="16"/>
          <w:szCs w:val="16"/>
          <w:i w:val="1"/>
          <w:iCs w:val="1"/>
          <w:color w:val="auto"/>
        </w:rPr>
        <w:t xml:space="preserve"> </w:t>
      </w:r>
      <w:r>
        <w:rPr>
          <w:rFonts w:ascii="Arial" w:cs="Arial" w:eastAsia="Arial" w:hAnsi="Arial"/>
          <w:sz w:val="16"/>
          <w:szCs w:val="16"/>
          <w:color w:val="auto"/>
        </w:rPr>
        <w:t>2020. The increase in net sales in the first quarter of 2021 was primarily due to higher sales prices to Westlake per the terms of the Ethylene Sales Agreement and to third parties, the buyer deficiency fee of $5.5 million and the Shortfall of $4.2 million recognized during the period, partially offset by lower sales volumes to Westlake and third parties during the first quarter of 2021. The average sales price in the first quarter of 2021 contributed to a 22.2% increase in net sales, primarily due to higher ethylene sales prices to Westlake per the terms of the Ethylene Sales Agreement and to third parties. The lower sales volume contributed to a 19.0% decrease in net sales in the first quarter of 2021 compared to the first quarter of 2020. The decrease in sales volumes for the first quarter of 2021 was primarily due to the force majeure events as a result of the severe winter storm that impacted OpCo's production facilities.</w:t>
      </w:r>
    </w:p>
    <w:p>
      <w:pPr>
        <w:spacing w:after="0" w:line="112"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decreased to $87.7 million for the first quarter of 2021 from $103.5 million for the first quarter of 2020. The gross profit</w:t>
      </w:r>
      <w:r>
        <w:rPr>
          <w:rFonts w:ascii="Arial" w:cs="Arial" w:eastAsia="Arial" w:hAnsi="Arial"/>
          <w:sz w:val="18"/>
          <w:szCs w:val="18"/>
          <w:i w:val="1"/>
          <w:iCs w:val="1"/>
          <w:color w:val="auto"/>
        </w:rPr>
        <w:t xml:space="preserve"> </w:t>
      </w:r>
      <w:r>
        <w:rPr>
          <w:rFonts w:ascii="Arial" w:cs="Arial" w:eastAsia="Arial" w:hAnsi="Arial"/>
          <w:sz w:val="18"/>
          <w:szCs w:val="18"/>
          <w:color w:val="auto"/>
        </w:rPr>
        <w:t>margin in the first quarter of 2021 was 32.7%, as compared to 41.3% for the first quarter of 2020. The first quarter 2021 gross profit margin was lower mainly due to increased feedstock and conversion costs and lower sales volumes to third parties, partially offset by higher prices for ethylene sold to Westlake and third parties compared to the first quarter of 2020.</w:t>
      </w:r>
    </w:p>
    <w:p>
      <w:pPr>
        <w:spacing w:after="0" w:line="133"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i w:val="1"/>
          <w:iCs w:val="1"/>
          <w:color w:val="auto"/>
        </w:rPr>
        <w:t xml:space="preserve">Selling, General and Administrative Expenses. </w:t>
      </w:r>
      <w:r>
        <w:rPr>
          <w:rFonts w:ascii="Arial" w:cs="Arial" w:eastAsia="Arial" w:hAnsi="Arial"/>
          <w:sz w:val="18"/>
          <w:szCs w:val="18"/>
          <w:color w:val="auto"/>
        </w:rPr>
        <w:t>Selling, general and administrative expenses increased by $2.5 million, or 40.3%, to $8.7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quarter of 2021 as compared to $6.2 million in the first quarter of 2020. The increase in the first quarter of 2021 was mainly attributable to higher service costs as compared to the first quarter of 2020.</w:t>
      </w:r>
    </w:p>
    <w:p>
      <w:pPr>
        <w:spacing w:after="0" w:line="13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decreased by $1.8 million to $2.2 million in the first quarter of 2021 from $4.0 million in the first quarter of 2020,</w:t>
      </w:r>
      <w:r>
        <w:rPr>
          <w:rFonts w:ascii="Arial" w:cs="Arial" w:eastAsia="Arial" w:hAnsi="Arial"/>
          <w:sz w:val="18"/>
          <w:szCs w:val="18"/>
          <w:i w:val="1"/>
          <w:iCs w:val="1"/>
          <w:color w:val="auto"/>
        </w:rPr>
        <w:t xml:space="preserve"> </w:t>
      </w:r>
      <w:r>
        <w:rPr>
          <w:rFonts w:ascii="Arial" w:cs="Arial" w:eastAsia="Arial" w:hAnsi="Arial"/>
          <w:sz w:val="18"/>
          <w:szCs w:val="18"/>
          <w:color w:val="auto"/>
        </w:rPr>
        <w:t>largely due to a lower average interest rate on debt.</w:t>
      </w:r>
    </w:p>
    <w:p>
      <w:pPr>
        <w:spacing w:after="0" w:line="116"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in the first quarter of 2021 decreased by $0.6 million, primarily due to a decrease in interest income earned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Investment Management Agreement as a result of lower average interest rates.</w:t>
      </w:r>
    </w:p>
    <w:p>
      <w:pPr>
        <w:spacing w:after="0" w:line="116"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i w:val="1"/>
          <w:iCs w:val="1"/>
          <w:color w:val="auto"/>
        </w:rPr>
        <w:t xml:space="preserve">MLP Distributable Cash Flow. </w:t>
      </w:r>
      <w:r>
        <w:rPr>
          <w:rFonts w:ascii="Arial" w:cs="Arial" w:eastAsia="Arial" w:hAnsi="Arial"/>
          <w:sz w:val="18"/>
          <w:szCs w:val="18"/>
          <w:color w:val="auto"/>
        </w:rPr>
        <w:t>MLP distributable cash flow decreased by $2.1 million to $16.2 million in the first quarter of 2021 from $18.3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first quarter of 2020. The decrease in the first quarter of 2021, as compared to the prior-year period, was primarily attributable to the lower earnings at OpCo resulting from the severe winter storm as well as contributions for turnaround reserves.</w:t>
      </w:r>
    </w:p>
    <w:p>
      <w:pPr>
        <w:spacing w:after="0" w:line="130" w:lineRule="exact"/>
        <w:rPr>
          <w:sz w:val="20"/>
          <w:szCs w:val="20"/>
          <w:color w:val="auto"/>
        </w:rPr>
      </w:pPr>
    </w:p>
    <w:p>
      <w:pPr>
        <w:ind w:right="120" w:firstLine="405"/>
        <w:spacing w:after="0" w:line="257" w:lineRule="auto"/>
        <w:rPr>
          <w:sz w:val="20"/>
          <w:szCs w:val="20"/>
          <w:color w:val="auto"/>
        </w:rPr>
      </w:pPr>
      <w:r>
        <w:rPr>
          <w:rFonts w:ascii="Arial" w:cs="Arial" w:eastAsia="Arial" w:hAnsi="Arial"/>
          <w:sz w:val="18"/>
          <w:szCs w:val="18"/>
          <w:i w:val="1"/>
          <w:iCs w:val="1"/>
          <w:color w:val="auto"/>
        </w:rPr>
        <w:t xml:space="preserve">EBITDA. </w:t>
      </w:r>
      <w:r>
        <w:rPr>
          <w:rFonts w:ascii="Arial" w:cs="Arial" w:eastAsia="Arial" w:hAnsi="Arial"/>
          <w:sz w:val="18"/>
          <w:szCs w:val="18"/>
          <w:color w:val="auto"/>
        </w:rPr>
        <w:t>EBITDA decreased by $17.4 million to $106.6 million in the first quarter of 2021 from $124.0 million in the first quarter of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as compared to the prior-year period, was primarily due to lower sales volumes to Westlake and third parties as a result of lower production due to the severe winter storm in February 2021 and higher feedstock and conversion costs, partially offset by higher sales prices for ethylene sold to Westlake per the terms of the Ethylene Sales Agreement and to third parties, as well as the buyer deficiency fee and the Shortfall recognized in the first quarter of 2021.</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3680"/>
        <w:spacing w:after="0" w:line="354" w:lineRule="auto"/>
        <w:rPr>
          <w:sz w:val="20"/>
          <w:szCs w:val="20"/>
          <w:color w:val="auto"/>
        </w:rPr>
      </w:pPr>
      <w:r>
        <w:rPr>
          <w:rFonts w:ascii="Arial" w:cs="Arial" w:eastAsia="Arial" w:hAnsi="Arial"/>
          <w:sz w:val="18"/>
          <w:szCs w:val="18"/>
          <w:b w:val="1"/>
          <w:bCs w:val="1"/>
          <w:color w:val="auto"/>
        </w:rPr>
        <w:t xml:space="preserve">CASH FLOW DISCUSSION FOR THE THREE MONTHS ENDED MARCH 31, 2021 AND 2020 </w:t>
      </w:r>
      <w:r>
        <w:rPr>
          <w:rFonts w:ascii="Arial" w:cs="Arial" w:eastAsia="Arial" w:hAnsi="Arial"/>
          <w:sz w:val="18"/>
          <w:szCs w:val="18"/>
          <w:b w:val="1"/>
          <w:bCs w:val="1"/>
          <w:i w:val="1"/>
          <w:iCs w:val="1"/>
          <w:color w:val="auto"/>
        </w:rPr>
        <w:t>Operating Activities</w:t>
      </w:r>
    </w:p>
    <w:p>
      <w:pPr>
        <w:spacing w:after="0" w:line="1"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Operating activities provided cash of $155.4 million in the first three months of 2021 compared to cash provided by operating activities of $111.0 million in the first three months of 2020. The $44.4 million increase in cash flows from operating activities was mainly due to an increase in cash provided for working capital, partially offset by a decrease in income from operations during the three months ended March 31, 2021 as compared to the prior-year period. Changes in components of working capital, which we define for the purposes of this cash flow discussion as accounts receivable, net—Westlake, accounts receivable, net—third parties, inventories, prepaid expenses and other current assets less accounts payable—Westlake, accounts payable—third parties and accrued liabilities, provided cash of $51.5 million in the first three months of 2021 as compared to $8.7 million of cash used in the first three months of 2020, resulting in an overall favorable change of $60.2 million. The favorable change in working capital was mainly attributable to a favorable change in Westlake, net accounts receivable due to the receipt of the buyer deficiency fee related to the force majeure events in 2020 by the Partnership in January 2021, partially offset by unfavorable changes in accounts receivable, net—third parties, accounts payable and accrued and other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160" w:firstLine="405"/>
        <w:spacing w:after="0" w:line="279" w:lineRule="auto"/>
        <w:rPr>
          <w:sz w:val="20"/>
          <w:szCs w:val="20"/>
          <w:color w:val="auto"/>
        </w:rPr>
      </w:pPr>
      <w:r>
        <w:rPr>
          <w:rFonts w:ascii="Arial" w:cs="Arial" w:eastAsia="Arial" w:hAnsi="Arial"/>
          <w:sz w:val="17"/>
          <w:szCs w:val="17"/>
          <w:color w:val="auto"/>
        </w:rPr>
        <w:t>Net cash used for investing activities during the first three months of 2021 was $76.6 million as compared to net cash used for investing activities of $11.0 million in the first three months of 2020, mainly due to increased net cash used under the Investment Management Agreement in the first three months of 2021, as compared to the prior-year period. Capital expenditures during the first three months of 2021 and 2020 were primarily related to projects to improve production capacity or reduce costs, maintenance and safety and environmental projects at our facilities.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Net cash used for financing activities during the first three months of 2021 was $78.7 million as compared to net cash used by financing activities of $95.8 million in the first three months of 2020. The outflows during the first three months of 2021 were related to the distribution of $62.1 million to Westlake and of $16.6 million to other unitholders by the Partnership. The cash outflows during the first three months of 2020 were related to the distribution of $79.2 million to Westlake and of $16.6 million to other unitholders by the Partnership.</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17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Pursuant to the terms of the ATM Agreement, entered in October 2018 and amended in February 2020, among the Partnership and various investment banks, the Partnership may offer and sell the Partnership's common units from time to time to or through the Managers, as the Partnership's sales agents or as principals, having an aggregate offering amount of up to $50.0 million (the "ATM Program"). The Partnership intends to use the net proceeds of sales of the common units, if any, for general partnership purposes, including the funding of potential drop-downs and other acquisitions. No common units had been issued under the ATM Program as of March 31, 2021.</w:t>
      </w:r>
    </w:p>
    <w:p>
      <w:pPr>
        <w:spacing w:after="0" w:line="134" w:lineRule="exact"/>
        <w:rPr>
          <w:sz w:val="20"/>
          <w:szCs w:val="20"/>
          <w:color w:val="auto"/>
        </w:rPr>
      </w:pPr>
    </w:p>
    <w:p>
      <w:pPr>
        <w:ind w:right="400" w:firstLine="405"/>
        <w:spacing w:after="0" w:line="263" w:lineRule="auto"/>
        <w:rPr>
          <w:sz w:val="20"/>
          <w:szCs w:val="20"/>
          <w:color w:val="auto"/>
        </w:rPr>
      </w:pPr>
      <w:r>
        <w:rPr>
          <w:rFonts w:ascii="Arial" w:cs="Arial" w:eastAsia="Arial" w:hAnsi="Arial"/>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and debt interests.</w:t>
      </w:r>
    </w:p>
    <w:p>
      <w:pPr>
        <w:spacing w:after="0" w:line="130"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required to do so.</w:t>
      </w:r>
    </w:p>
    <w:p>
      <w:pPr>
        <w:spacing w:after="0" w:line="122"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order to fund non-annual turnaround expenditures, we cause OpCo to reserve an amount for turnaround costs during each twelve-month period designed to cover future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Westlake's credit facility and various indentures do not prevent OpCo from making distributions to us.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80" w:firstLine="405"/>
        <w:spacing w:after="0" w:line="301" w:lineRule="auto"/>
        <w:rPr>
          <w:sz w:val="20"/>
          <w:szCs w:val="20"/>
          <w:color w:val="auto"/>
        </w:rPr>
      </w:pPr>
      <w:r>
        <w:rPr>
          <w:rFonts w:ascii="Arial" w:cs="Arial" w:eastAsia="Arial" w:hAnsi="Arial"/>
          <w:sz w:val="16"/>
          <w:szCs w:val="16"/>
          <w:color w:val="auto"/>
        </w:rPr>
        <w:t>On May 3, 2021, the board of directors of Westlake Chemical Partners GP LLC, our general partner, approved a quarterly distribution of $0.4714 per unit payable on May 27, 2021 to unitholders of record as of May 13, 2021, which equates to a total amount of approximately $16.6 million per quarter, or approximately $66.4 million per year in aggregate, based on the number of common units outstanding on March 31, 2021. We do not have a legal or contractual obligation to pay distributions on a quarterly basis or any other basis at our minimum quarterly distribution rate or any other rate.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90"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Westlake has historically funded expansion capital expenditures related to Lake Charles Olefins and Calvert City Olefins. Total capital expenditures for the three months ended March 31, 2021 and 2020 were $12.7 million and $12.0 million, respectively. No funding was required by OpCo to fund capital expenditures during the three months ended March 31, 2021 and 2020. We expect that Westlake will loan additional cash to OpCo to fund its expansion capital expenditures in the future, but Westlake is under no obligation to do so.</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4" w:lineRule="exact"/>
        <w:rPr>
          <w:sz w:val="20"/>
          <w:szCs w:val="20"/>
          <w:color w:val="auto"/>
        </w:rPr>
      </w:pPr>
    </w:p>
    <w:p>
      <w:pPr>
        <w:jc w:val="both"/>
        <w:ind w:right="280" w:firstLine="405"/>
        <w:spacing w:after="0" w:line="263" w:lineRule="auto"/>
        <w:rPr>
          <w:sz w:val="20"/>
          <w:szCs w:val="20"/>
          <w:color w:val="auto"/>
        </w:rPr>
      </w:pPr>
      <w:r>
        <w:rPr>
          <w:rFonts w:ascii="Arial" w:cs="Arial" w:eastAsia="Arial" w:hAnsi="Arial"/>
          <w:sz w:val="18"/>
          <w:szCs w:val="18"/>
          <w:color w:val="auto"/>
        </w:rPr>
        <w:t>As of March 31, 2021, our cash and cash equivalents totaled $17.3 million. In addition, we have cash invested under the Investment Management Agreement (as described below) and a revolving credit facility with Westlake available to supplement cash if needed, as described under "Indebtedness" below.</w:t>
      </w:r>
    </w:p>
    <w:p>
      <w:pPr>
        <w:spacing w:after="0" w:line="130" w:lineRule="exact"/>
        <w:rPr>
          <w:sz w:val="20"/>
          <w:szCs w:val="20"/>
          <w:color w:val="auto"/>
        </w:rPr>
      </w:pPr>
    </w:p>
    <w:p>
      <w:pPr>
        <w:ind w:right="180" w:firstLine="405"/>
        <w:spacing w:after="0" w:line="301" w:lineRule="auto"/>
        <w:rPr>
          <w:sz w:val="20"/>
          <w:szCs w:val="20"/>
          <w:color w:val="auto"/>
        </w:rPr>
      </w:pPr>
      <w:r>
        <w:rPr>
          <w:rFonts w:ascii="Arial" w:cs="Arial" w:eastAsia="Arial" w:hAnsi="Arial"/>
          <w:sz w:val="16"/>
          <w:szCs w:val="16"/>
          <w:color w:val="auto"/>
        </w:rPr>
        <w:t>In August 2017, the Partnership, OpCo and Westlake executed the Investment Management Agreement that authorized Westlake to invest the Partnership's and OpCo's excess cash with Westlake for a term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$187.2 million of cash invested under the Investment Management Agreement at March 31,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OpCo Revolver</w:t>
      </w:r>
    </w:p>
    <w:p>
      <w:pPr>
        <w:spacing w:after="0" w:line="10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connection with the IPO, OpCo entered into a $600.0 million revolving credit facility with Westlake, as amended in August and December 2017 and March 2020 (the "OpCo Revolver") that may be used to fund growth projects and working capital needs. The OpCo Revolver is scheduled to mature on September 25, 2023. As of March 31, 2021, outstanding borrowings under the OpCo Revolver totaled $22.6 million and bore interest at the LIBOR rate plus 2.0%, which is accrued in arrears quarterly.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MLP Revolver</w:t>
      </w:r>
    </w:p>
    <w:p>
      <w:pPr>
        <w:spacing w:after="0" w:line="171"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In 2015, we entered into a senior, unsecured revolving credit agreement with an affiliate of Westlake (the "MLP Revolver"). The MLP Revolver has a borrowing capacity of $600.0 million and is scheduled to mature in 2023. On March 29, 2019, the Partnership borrowed $123.5 million under the MLP Revolver to partially fund the purchase of an additional 4.5% interest in OpCo. On March 19, 2020, the Partnership entered into an amendment to the MLP Revolver, to extend the maturity date to March 19, 2023 and add a phase-out provision for LIBOR, which is to be replaced by an alternate benchmark rate. Borrowings under the MLP Revolver bear interest at a variable rate of either (a) LIBOR plus 2.0% or, if LIBOR is no longer available, (b) Alternate Base Rate plus 1.0%.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 or less, or (2) during any other period, 4.50:1.00 or less. The MLP Revolver also contains certain other customary covenants. The repayment of borrowings under the MLP Revolver is subject to acceleration upon the occurrence of an event of default. As of March 31, 2021, outstanding borrowings under the MLP Revolver totaled $377.1 million and bore interest at the LIBOR rate plus 2.0%, which is accrued in arrears quarterly. We intend to use the MLP Revolver to purchase additional limited partnership interests in OpCo in the future, in the event OpCo desires to sell such additional interests to us, for other acquisitions and for general corporate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4" w:lineRule="exact"/>
        <w:rPr>
          <w:sz w:val="20"/>
          <w:szCs w:val="20"/>
          <w:color w:val="auto"/>
        </w:rPr>
      </w:pPr>
    </w:p>
    <w:p>
      <w:pPr>
        <w:jc w:val="both"/>
        <w:ind w:right="20" w:firstLine="405"/>
        <w:spacing w:after="0" w:line="287" w:lineRule="auto"/>
        <w:rPr>
          <w:sz w:val="20"/>
          <w:szCs w:val="20"/>
          <w:color w:val="auto"/>
        </w:rPr>
      </w:pPr>
      <w:r>
        <w:rPr>
          <w:rFonts w:ascii="Arial" w:cs="Arial" w:eastAsia="Arial" w:hAnsi="Arial"/>
          <w:sz w:val="16"/>
          <w:szCs w:val="16"/>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w:t>
      </w:r>
    </w:p>
    <w:p>
      <w:pPr>
        <w:spacing w:after="0" w:line="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68"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of ethane that we are able to process, which could be adversely affected by, among other things, operating difficulties;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volume of ethylene that we are able to sell;</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at which we are able to sell ethylene;</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industry market outlook, including prices and margins in third-party ethylene and co-products sales;</w:t>
      </w:r>
    </w:p>
    <w:p>
      <w:pPr>
        <w:spacing w:after="0" w:line="103"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widespread outbreak of an illness or any other communicable disease, or any other public health crisis, including the COVID-19 pandemic and efforts to contain its transmission;</w:t>
      </w:r>
    </w:p>
    <w:p>
      <w:pPr>
        <w:spacing w:after="0" w:line="35"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plans and Westlake's plans to respond to the challenges presented by the COVID-19 epidemic, as well as the timing and deferral of the planned turnaround at OpCo's Petro 2 ethylene unit;</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parties to whom we will sell ethylene and on what basis;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volumes of ethylene that Westlake may purchase, in addition to the minimum commitment under the Ethylene Sales Agreement;</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funding and results of capital expenditures;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intended quarterly distributions and the manner of making such distributions;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meet our liquidity needs;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and amount of capital expenditures;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Partnership's At-the-Market program and the use of any net proceeds from any sales under that program;</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loans from Westlake to OpCo to fund OpCo's expansion capital expenditures in the future;</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expected mitigation of exposure to commodity price fluctuations;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turnaround activities and the variability of OpCo's cash flow;</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receipt of any buyer deficiency fee under the Ethylene Sales Agreement;</w:t>
      </w:r>
    </w:p>
    <w:p>
      <w:pPr>
        <w:spacing w:after="0" w:line="103"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receive indemnification from Westlake for environmental and other losses;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effects of pending legal proceedings.</w:t>
      </w:r>
    </w:p>
    <w:p>
      <w:pPr>
        <w:spacing w:after="0" w:line="200" w:lineRule="exact"/>
        <w:rPr>
          <w:sz w:val="20"/>
          <w:szCs w:val="20"/>
          <w:color w:val="auto"/>
        </w:rPr>
      </w:pP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40" w:firstLine="405"/>
        <w:spacing w:after="0" w:line="257" w:lineRule="auto"/>
        <w:rPr>
          <w:sz w:val="20"/>
          <w:szCs w:val="20"/>
          <w:color w:val="auto"/>
        </w:rPr>
      </w:pPr>
      <w:r>
        <w:rPr>
          <w:rFonts w:ascii="Arial" w:cs="Arial" w:eastAsia="Arial" w:hAnsi="Arial"/>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under "Risk Factors" in the 2020 Form 10-K and the following:</w:t>
      </w:r>
    </w:p>
    <w:p>
      <w:pPr>
        <w:spacing w:after="0" w:line="66"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and business conditions;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cyclical nature of the chemical industry;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low crude oil prices reducing the cost advantage of ethane-based ethylene producers;</w:t>
      </w:r>
    </w:p>
    <w:p>
      <w:pPr>
        <w:spacing w:after="0" w:line="90"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uncertainties associated with the United States and worldwide economies, including those due to political tensions and unrest in the Middle East and elsewhere;</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uncertainties associated with pandemic infectious diseases, particularly COVID-19;</w:t>
      </w:r>
    </w:p>
    <w:p>
      <w:pPr>
        <w:spacing w:after="0" w:line="103"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current and potential governmental regulatory actions in the United States and regulatory actions and political unrest in other countries, including environmental regulations;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supply/demand balance for our products;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access to capital markets;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90"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10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pacing w:after="0" w:line="171"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200" w:lineRule="exact"/>
        <w:rPr>
          <w:sz w:val="20"/>
          <w:szCs w:val="20"/>
          <w:color w:val="auto"/>
        </w:rPr>
      </w:pP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04"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A substantial portion of the Partnership's products and raw materials are commodities whose prices fluctuate as market supply and demand fundamentals change. However, our direct exposure to commodity price risk is limited to approximately 5.0% of our total ethylene production, which is the portion sold to third parties. We believe we have substantially mitigated our indirect exposure to commodity price fluctuation during the term of the Ethylene Sales Agreement through the minimum commitment and the cost-plus based pricing. Additionally, we may use derivative instruments to reduce price volatility risk on feedstocks and ethylene associated with the production and sales to third parties. We did not have any open derivative position at March 31, 2021.</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We are exposed to interest rate risk with respect to our outstanding debt, all of which is variable rate debt. At March 31, 2021, we had total variable rate debt of $399.7 million outstanding, all of which was owed to wholly-owned subsidiaries of Westlake, and currently accrues interest at a variable rate of LIBOR plus 200 basis points. On March 19, 2020, the Partnership entered into an amendment to the MLP Revolver to extend the maturity date to March 19, 2023 and add a phase-out provision for LIBOR, which is to be replaced by an alternate benchmark rate. The amended credit agreement bears interest at a variable rate of either (a) LIBOR plus 2.0% or, if LIBOR is no longer available, (b) Alternate Base Rate plus 1.0%. The weighted average variable interest rate of our debt as of March 31, 2021 was 2.2%.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based on the March 31, 2021 debt balance.</w:t>
      </w:r>
    </w:p>
    <w:p>
      <w:pPr>
        <w:spacing w:after="0" w:line="44" w:lineRule="exact"/>
        <w:rPr>
          <w:sz w:val="20"/>
          <w:szCs w:val="20"/>
          <w:color w:val="auto"/>
        </w:rPr>
      </w:pPr>
    </w:p>
    <w:p>
      <w:pPr>
        <w:ind w:right="180" w:firstLine="405"/>
        <w:spacing w:after="0" w:line="263" w:lineRule="auto"/>
        <w:rPr>
          <w:sz w:val="20"/>
          <w:szCs w:val="20"/>
          <w:color w:val="auto"/>
        </w:rPr>
      </w:pPr>
      <w:r>
        <w:rPr>
          <w:rFonts w:ascii="Arial" w:cs="Arial" w:eastAsia="Arial" w:hAnsi="Arial"/>
          <w:sz w:val="18"/>
          <w:szCs w:val="18"/>
          <w:color w:val="auto"/>
        </w:rPr>
        <w:t>LIBOR is used as a reference rate for all of our outstanding variable rate debt as of March 31, 2021. The phase-out of LIBOR is set to commence at the end of 2021 and conclude by June 30, 2023. We are currently reviewing how LIBOR phase-out will affect us, but we do not expect the impact to be material.</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ind w:right="60" w:firstLine="405"/>
        <w:spacing w:after="0" w:line="291"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Securities Exchange Act of 1934, as amended (the "Exchange Act"), as of the end of the period covered by this report. Based upon that evaluation, our President and Chief Executive Officer and our Executive Vice President and Chief Financial Officer concluded that our disclosure controls and procedures are effective with respect to (i) the accumulation and communication to our management, including our Chief Executive Officer and our Chief Financial Officer, of information required to be disclosed by us in the reports that we submit under the Exchange Act, and (ii) the recording, processing, summarizing and reporting of such information within the time periods specified in the SEC's rules and forms.</w:t>
      </w:r>
    </w:p>
    <w:p>
      <w:pPr>
        <w:spacing w:after="0" w:line="112" w:lineRule="exact"/>
        <w:rPr>
          <w:sz w:val="20"/>
          <w:szCs w:val="20"/>
          <w:color w:val="auto"/>
        </w:rPr>
      </w:pPr>
    </w:p>
    <w:p>
      <w:pPr>
        <w:ind w:right="660" w:firstLine="405"/>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three months ended March 31, 2021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right="320" w:firstLine="405"/>
        <w:spacing w:after="0" w:line="263" w:lineRule="auto"/>
        <w:rPr>
          <w:sz w:val="20"/>
          <w:szCs w:val="20"/>
          <w:color w:val="auto"/>
        </w:rPr>
      </w:pPr>
      <w:r>
        <w:rPr>
          <w:rFonts w:ascii="Arial" w:cs="Arial" w:eastAsia="Arial" w:hAnsi="Arial"/>
          <w:sz w:val="18"/>
          <w:szCs w:val="18"/>
          <w:color w:val="auto"/>
        </w:rPr>
        <w:t>The 2020 Form 10-K, filed on March 2, 2021, contained a description of various legal proceedings in which we are involved, including environmental proceedings. See below and Note 12 to the unaudited consolidated financial statements within this Quarterly Report on Form 10-Q for a discussion on legal proceedings, which information is incorporated by reference herein.</w:t>
      </w:r>
    </w:p>
    <w:p>
      <w:pPr>
        <w:spacing w:after="0" w:line="130"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Under the Omnibus Agreement, Westlake Chemical Corporation ("Westlake") has agreed to indemnify the Partnership for certain environmental and other liabilities relating to OpCo's processing facilities and related assets.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i w:val="1"/>
          <w:iCs w:val="1"/>
          <w:color w:val="auto"/>
        </w:rPr>
        <w:t>Potential Flare Modifications</w:t>
      </w:r>
      <w:r>
        <w:rPr>
          <w:rFonts w:ascii="Arial" w:cs="Arial" w:eastAsia="Arial" w:hAnsi="Arial"/>
          <w:sz w:val="18"/>
          <w:szCs w:val="18"/>
          <w:color w:val="auto"/>
        </w:rPr>
        <w:t>. For several years, the Environmental Protection Agency ("EPA") has been conducting an enforcement initiative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petroleum refineries and petrochemical plants with respect to emissions from flares. On April 21, 2014, Westlake received a Clean Air Act Section 114 Information Request from the EPA, which sought information regarding flares at the Calvert City and Lake Charles facilities. The EPA has informed Westlake that the information provided leads the EPA to believe that some of the flares are out of compliance with applicable standards. The EPA has indicated that it is seeking a consent decree that would obligate Westlake to take corrective actions relating to the alleged noncompliance. The Partnership believes the resolution of these matters may require the payment of a monetary sanction in excess of $300,000. As discussed above, Westlake is expected to fully indemnify us for such costs.</w:t>
      </w:r>
    </w:p>
    <w:p>
      <w:pPr>
        <w:spacing w:after="0" w:line="141" w:lineRule="exact"/>
        <w:rPr>
          <w:sz w:val="20"/>
          <w:szCs w:val="20"/>
          <w:color w:val="auto"/>
        </w:rPr>
      </w:pPr>
    </w:p>
    <w:p>
      <w:pPr>
        <w:ind w:right="200" w:firstLine="405"/>
        <w:spacing w:after="0" w:line="263" w:lineRule="auto"/>
        <w:rPr>
          <w:sz w:val="20"/>
          <w:szCs w:val="20"/>
          <w:color w:val="auto"/>
        </w:rPr>
      </w:pPr>
      <w:r>
        <w:rPr>
          <w:rFonts w:ascii="Arial" w:cs="Arial" w:eastAsia="Arial" w:hAnsi="Arial"/>
          <w:sz w:val="18"/>
          <w:szCs w:val="18"/>
          <w:color w:val="auto"/>
        </w:rPr>
        <w:t>In addition to the matters described above, the Partnership is involved in various legal proceedings incidental to the conduct of its business. The Partnership does not believe that any of these legal proceedings will have a material adverse effect on its financial condition, results of operations or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ind w:right="340" w:firstLine="405"/>
        <w:spacing w:after="0" w:line="245" w:lineRule="auto"/>
        <w:rPr>
          <w:sz w:val="20"/>
          <w:szCs w:val="20"/>
          <w:color w:val="auto"/>
        </w:rPr>
      </w:pPr>
      <w:r>
        <w:rPr>
          <w:rFonts w:ascii="Arial" w:cs="Arial" w:eastAsia="Arial" w:hAnsi="Arial"/>
          <w:sz w:val="18"/>
          <w:szCs w:val="18"/>
          <w:color w:val="auto"/>
        </w:rPr>
        <w:t>For a discussion of risk factors, please read Item 1A, "Risk Factors" in the 2020 Form 10-K. There have been no material changes from those risk factors.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460" w:type="dxa"/>
            <w:vAlign w:val="bottom"/>
            <w:gridSpan w:val="6"/>
          </w:tcPr>
          <w:p>
            <w:pPr>
              <w:ind w:left="4700"/>
              <w:spacing w:after="0"/>
              <w:rPr>
                <w:sz w:val="20"/>
                <w:szCs w:val="20"/>
                <w:color w:val="auto"/>
              </w:rPr>
            </w:pPr>
            <w:r>
              <w:rPr>
                <w:rFonts w:ascii="Arial" w:cs="Arial" w:eastAsia="Arial" w:hAnsi="Arial"/>
                <w:sz w:val="14"/>
                <w:szCs w:val="14"/>
                <w:b w:val="1"/>
                <w:bCs w:val="1"/>
                <w:color w:val="auto"/>
              </w:rPr>
              <w:t>Exhibit</w:t>
            </w:r>
          </w:p>
        </w:tc>
      </w:tr>
      <w:tr>
        <w:trPr>
          <w:trHeight w:val="20"/>
        </w:trPr>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64"/>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620" w:type="dxa"/>
            <w:vAlign w:val="bottom"/>
          </w:tcPr>
          <w:p>
            <w:pPr>
              <w:spacing w:after="0"/>
              <w:rPr>
                <w:sz w:val="22"/>
                <w:szCs w:val="22"/>
                <w:color w:val="auto"/>
              </w:rPr>
            </w:pPr>
          </w:p>
        </w:tc>
        <w:tc>
          <w:tcPr>
            <w:tcW w:w="9460" w:type="dxa"/>
            <w:vAlign w:val="bottom"/>
            <w:gridSpan w:val="6"/>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Rule 13a – 14(a) / 15d – 14(a) Certification (Principal Executive Officer)</w:t>
              </w:r>
            </w:hyperlink>
          </w:p>
        </w:tc>
      </w:tr>
      <w:tr>
        <w:trPr>
          <w:trHeight w:val="263"/>
        </w:trPr>
        <w:tc>
          <w:tcPr>
            <w:tcW w:w="1320" w:type="dxa"/>
            <w:vAlign w:val="bottom"/>
            <w:gridSpan w:val="2"/>
          </w:tcPr>
          <w:p>
            <w:pPr>
              <w:spacing w:after="0"/>
              <w:rPr>
                <w:sz w:val="20"/>
                <w:szCs w:val="20"/>
                <w:color w:val="auto"/>
              </w:rPr>
            </w:pPr>
            <w:r>
              <w:rPr>
                <w:rFonts w:ascii="Arial" w:cs="Arial" w:eastAsia="Arial" w:hAnsi="Arial"/>
                <w:sz w:val="18"/>
                <w:szCs w:val="18"/>
                <w:color w:val="auto"/>
              </w:rPr>
              <w:t>31.2†</w:t>
            </w:r>
          </w:p>
        </w:tc>
        <w:tc>
          <w:tcPr>
            <w:tcW w:w="52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2"/>
              </w:rPr>
            </w:pPr>
            <w:hyperlink w:anchor="page30">
              <w:r>
                <w:rPr>
                  <w:rFonts w:ascii="Arial" w:cs="Arial" w:eastAsia="Arial" w:hAnsi="Arial"/>
                  <w:sz w:val="18"/>
                  <w:szCs w:val="18"/>
                  <w:color w:val="0000FF"/>
                  <w:w w:val="92"/>
                </w:rPr>
                <w:t>Rule 13a – 14(a) / 15d – 14(a) Certification (Principal Financial Officer)</w:t>
              </w:r>
            </w:hyperlink>
          </w:p>
        </w:tc>
        <w:tc>
          <w:tcPr>
            <w:tcW w:w="40" w:type="dxa"/>
            <w:vAlign w:val="bottom"/>
            <w:tcBorders>
              <w:top w:val="single" w:sz="8" w:color="0000FF"/>
            </w:tcBorders>
          </w:tcPr>
          <w:p>
            <w:pPr>
              <w:spacing w:after="0"/>
              <w:rPr>
                <w:sz w:val="22"/>
                <w:szCs w:val="22"/>
                <w:color w:val="auto"/>
              </w:rPr>
            </w:pPr>
          </w:p>
        </w:tc>
        <w:tc>
          <w:tcPr>
            <w:tcW w:w="4200" w:type="dxa"/>
            <w:vAlign w:val="bottom"/>
            <w:gridSpan w:val="2"/>
          </w:tcPr>
          <w:p>
            <w:pPr>
              <w:spacing w:after="0"/>
              <w:rPr>
                <w:sz w:val="22"/>
                <w:szCs w:val="22"/>
                <w:color w:val="auto"/>
              </w:rPr>
            </w:pPr>
          </w:p>
        </w:tc>
      </w:tr>
      <w:tr>
        <w:trPr>
          <w:trHeight w:val="264"/>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620" w:type="dxa"/>
            <w:vAlign w:val="bottom"/>
          </w:tcPr>
          <w:p>
            <w:pPr>
              <w:spacing w:after="0"/>
              <w:rPr>
                <w:sz w:val="22"/>
                <w:szCs w:val="22"/>
                <w:color w:val="auto"/>
              </w:rPr>
            </w:pPr>
          </w:p>
        </w:tc>
        <w:tc>
          <w:tcPr>
            <w:tcW w:w="9460" w:type="dxa"/>
            <w:vAlign w:val="bottom"/>
            <w:gridSpan w:val="6"/>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Section 1350 Certification (Principal Executive Officer and Principal Financial Officer)</w:t>
              </w:r>
            </w:hyperlink>
          </w:p>
        </w:tc>
      </w:tr>
      <w:tr>
        <w:trPr>
          <w:trHeight w:val="20"/>
        </w:trPr>
        <w:tc>
          <w:tcPr>
            <w:tcW w:w="1320" w:type="dxa"/>
            <w:vAlign w:val="bottom"/>
            <w:gridSpan w:val="2"/>
          </w:tcPr>
          <w:p>
            <w:pPr>
              <w:spacing w:after="0" w:line="20" w:lineRule="exact"/>
              <w:rPr>
                <w:sz w:val="1"/>
                <w:szCs w:val="1"/>
                <w:color w:val="auto"/>
              </w:rPr>
            </w:pPr>
          </w:p>
        </w:tc>
        <w:tc>
          <w:tcPr>
            <w:tcW w:w="6300" w:type="dxa"/>
            <w:vAlign w:val="bottom"/>
            <w:gridSpan w:val="5"/>
            <w:shd w:val="clear" w:color="auto" w:fill="0000FF"/>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250"/>
        </w:trPr>
        <w:tc>
          <w:tcPr>
            <w:tcW w:w="13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460" w:type="dxa"/>
            <w:vAlign w:val="bottom"/>
            <w:gridSpan w:val="6"/>
          </w:tcPr>
          <w:p>
            <w:pPr>
              <w:spacing w:after="0"/>
              <w:rPr>
                <w:sz w:val="20"/>
                <w:szCs w:val="20"/>
                <w:color w:val="auto"/>
              </w:rPr>
            </w:pPr>
            <w:r>
              <w:rPr>
                <w:rFonts w:ascii="Arial" w:cs="Arial" w:eastAsia="Arial" w:hAnsi="Arial"/>
                <w:sz w:val="18"/>
                <w:szCs w:val="18"/>
                <w:color w:val="auto"/>
                <w:w w:val="89"/>
              </w:rPr>
              <w:t>XBRL Instance Document–The instance document does not appear in the interactive data file because its XBRL tags are embedded</w:t>
            </w:r>
          </w:p>
        </w:tc>
      </w:tr>
      <w:tr>
        <w:trPr>
          <w:trHeight w:val="230"/>
        </w:trPr>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60" w:type="dxa"/>
            <w:vAlign w:val="bottom"/>
            <w:gridSpan w:val="6"/>
          </w:tcPr>
          <w:p>
            <w:pPr>
              <w:spacing w:after="0"/>
              <w:rPr>
                <w:sz w:val="20"/>
                <w:szCs w:val="20"/>
                <w:color w:val="auto"/>
              </w:rPr>
            </w:pPr>
            <w:r>
              <w:rPr>
                <w:rFonts w:ascii="Arial" w:cs="Arial" w:eastAsia="Arial" w:hAnsi="Arial"/>
                <w:sz w:val="18"/>
                <w:szCs w:val="18"/>
                <w:color w:val="auto"/>
              </w:rPr>
              <w:t>within the Inline XBRL document.</w:t>
            </w:r>
          </w:p>
        </w:tc>
      </w:tr>
      <w:tr>
        <w:trPr>
          <w:trHeight w:val="283"/>
        </w:trPr>
        <w:tc>
          <w:tcPr>
            <w:tcW w:w="13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46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3"/>
        </w:trPr>
        <w:tc>
          <w:tcPr>
            <w:tcW w:w="13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46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3"/>
        </w:trPr>
        <w:tc>
          <w:tcPr>
            <w:tcW w:w="13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46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3"/>
        </w:trPr>
        <w:tc>
          <w:tcPr>
            <w:tcW w:w="13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460" w:type="dxa"/>
            <w:vAlign w:val="bottom"/>
            <w:gridSpan w:val="6"/>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4"/>
        </w:trPr>
        <w:tc>
          <w:tcPr>
            <w:tcW w:w="13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46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53" w:lineRule="exact"/>
        <w:rPr>
          <w:sz w:val="20"/>
          <w:szCs w:val="20"/>
          <w:color w:val="auto"/>
        </w:rPr>
      </w:pPr>
    </w:p>
    <w:p>
      <w:pPr>
        <w:ind w:left="1340" w:right="360" w:hanging="1314"/>
        <w:spacing w:after="0" w:line="235" w:lineRule="auto"/>
        <w:tabs>
          <w:tab w:leader="none" w:pos="1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6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6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Furnished herewith.</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WESTLAKE CHEMICAL PARTNERS LP</w:t>
      </w:r>
    </w:p>
    <w:p>
      <w:pPr>
        <w:spacing w:after="0" w:line="243" w:lineRule="exact"/>
        <w:rPr>
          <w:sz w:val="20"/>
          <w:szCs w:val="20"/>
          <w:color w:val="auto"/>
        </w:rPr>
      </w:pPr>
    </w:p>
    <w:p>
      <w:pPr>
        <w:ind w:left="20"/>
        <w:spacing w:after="0"/>
        <w:tabs>
          <w:tab w:leader="none" w:pos="600" w:val="left"/>
          <w:tab w:leader="none" w:pos="6160" w:val="left"/>
          <w:tab w:leader="none" w:pos="8240" w:val="left"/>
          <w:tab w:leader="none" w:pos="8580" w:val="left"/>
        </w:tabs>
        <w:rPr>
          <w:sz w:val="20"/>
          <w:szCs w:val="20"/>
          <w:color w:val="auto"/>
        </w:rPr>
      </w:pPr>
      <w:r>
        <w:rPr>
          <w:rFonts w:ascii="Arial" w:cs="Arial" w:eastAsia="Arial" w:hAnsi="Arial"/>
          <w:sz w:val="18"/>
          <w:szCs w:val="18"/>
          <w:color w:val="auto"/>
        </w:rPr>
        <w:t>Date:</w:t>
        <w:tab/>
        <w:t>May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A</w:t>
      </w:r>
      <w:r>
        <w:rPr>
          <w:rFonts w:ascii="Arial" w:cs="Arial" w:eastAsia="Arial" w:hAnsi="Arial"/>
          <w:sz w:val="14"/>
          <w:szCs w:val="14"/>
          <w:color w:val="auto"/>
        </w:rPr>
        <w:t>LBERT</w:t>
      </w:r>
      <w:r>
        <w:rPr>
          <w:rFonts w:ascii="Arial" w:cs="Arial" w:eastAsia="Arial" w:hAnsi="Arial"/>
          <w:sz w:val="18"/>
          <w:szCs w:val="18"/>
          <w:color w:val="auto"/>
        </w:rPr>
        <w:t xml:space="preserve"> C</w:t>
      </w:r>
      <w:r>
        <w:rPr>
          <w:rFonts w:ascii="Arial" w:cs="Arial" w:eastAsia="Arial" w:hAnsi="Arial"/>
          <w:sz w:val="14"/>
          <w:szCs w:val="14"/>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117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8"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Albert Chao</w:t>
      </w:r>
    </w:p>
    <w:p>
      <w:pPr>
        <w:spacing w:after="0" w:line="28" w:lineRule="exact"/>
        <w:rPr>
          <w:sz w:val="20"/>
          <w:szCs w:val="20"/>
          <w:color w:val="auto"/>
        </w:rPr>
      </w:pPr>
    </w:p>
    <w:p>
      <w:pPr>
        <w:ind w:left="7560"/>
        <w:spacing w:after="0"/>
        <w:rPr>
          <w:sz w:val="20"/>
          <w:szCs w:val="20"/>
          <w:color w:val="auto"/>
        </w:rPr>
      </w:pPr>
      <w:r>
        <w:rPr>
          <w:rFonts w:ascii="Arial" w:cs="Arial" w:eastAsia="Arial" w:hAnsi="Arial"/>
          <w:sz w:val="13"/>
          <w:szCs w:val="13"/>
          <w:b w:val="1"/>
          <w:bCs w:val="1"/>
          <w:color w:val="auto"/>
        </w:rPr>
        <w:t>President, Chief Executive Officer and Director of</w:t>
      </w:r>
    </w:p>
    <w:p>
      <w:pPr>
        <w:jc w:val="center"/>
        <w:ind w:left="6940"/>
        <w:spacing w:after="0" w:line="203" w:lineRule="auto"/>
        <w:rPr>
          <w:sz w:val="20"/>
          <w:szCs w:val="20"/>
          <w:color w:val="auto"/>
        </w:rPr>
      </w:pPr>
      <w:r>
        <w:rPr>
          <w:rFonts w:ascii="Arial" w:cs="Arial" w:eastAsia="Arial" w:hAnsi="Arial"/>
          <w:sz w:val="14"/>
          <w:szCs w:val="14"/>
          <w:b w:val="1"/>
          <w:bCs w:val="1"/>
          <w:color w:val="auto"/>
        </w:rPr>
        <w:t>Westlake Chemical Partners GP LLC</w:t>
      </w:r>
    </w:p>
    <w:p>
      <w:pPr>
        <w:jc w:val="center"/>
        <w:ind w:left="6940"/>
        <w:spacing w:after="0"/>
        <w:rPr>
          <w:sz w:val="20"/>
          <w:szCs w:val="20"/>
          <w:color w:val="auto"/>
        </w:rPr>
      </w:pPr>
      <w:r>
        <w:rPr>
          <w:rFonts w:ascii="Arial" w:cs="Arial" w:eastAsia="Arial" w:hAnsi="Arial"/>
          <w:sz w:val="14"/>
          <w:szCs w:val="14"/>
          <w:b w:val="1"/>
          <w:bCs w:val="1"/>
          <w:color w:val="auto"/>
        </w:rPr>
        <w:t>(Principal Executive Officer)</w:t>
      </w:r>
    </w:p>
    <w:p>
      <w:pPr>
        <w:spacing w:after="0" w:line="290" w:lineRule="exact"/>
        <w:rPr>
          <w:sz w:val="20"/>
          <w:szCs w:val="20"/>
          <w:color w:val="auto"/>
        </w:rPr>
      </w:pPr>
    </w:p>
    <w:p>
      <w:pPr>
        <w:ind w:left="20"/>
        <w:spacing w:after="0"/>
        <w:tabs>
          <w:tab w:leader="none" w:pos="600" w:val="left"/>
          <w:tab w:leader="none" w:pos="6160" w:val="left"/>
          <w:tab w:leader="none" w:pos="8020" w:val="left"/>
          <w:tab w:leader="none" w:pos="8380" w:val="left"/>
        </w:tabs>
        <w:rPr>
          <w:sz w:val="20"/>
          <w:szCs w:val="20"/>
          <w:color w:val="auto"/>
        </w:rPr>
      </w:pPr>
      <w:r>
        <w:rPr>
          <w:rFonts w:ascii="Arial" w:cs="Arial" w:eastAsia="Arial" w:hAnsi="Arial"/>
          <w:sz w:val="18"/>
          <w:szCs w:val="18"/>
          <w:color w:val="auto"/>
        </w:rPr>
        <w:t>Date:</w:t>
        <w:tab/>
        <w:t>May 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117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8" w:lineRule="exact"/>
        <w:rPr>
          <w:sz w:val="20"/>
          <w:szCs w:val="20"/>
          <w:color w:val="auto"/>
        </w:rPr>
      </w:pPr>
    </w:p>
    <w:p>
      <w:pPr>
        <w:ind w:left="8560"/>
        <w:spacing w:after="0"/>
        <w:rPr>
          <w:sz w:val="20"/>
          <w:szCs w:val="20"/>
          <w:color w:val="auto"/>
        </w:rPr>
      </w:pPr>
      <w:r>
        <w:rPr>
          <w:rFonts w:ascii="Arial" w:cs="Arial" w:eastAsia="Arial" w:hAnsi="Arial"/>
          <w:sz w:val="14"/>
          <w:szCs w:val="14"/>
          <w:b w:val="1"/>
          <w:bCs w:val="1"/>
          <w:color w:val="auto"/>
        </w:rPr>
        <w:t>M. Steven Bender</w:t>
      </w:r>
    </w:p>
    <w:p>
      <w:pPr>
        <w:spacing w:after="0" w:line="1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Executive Vice President, Chief Financial Officer and</w:t>
      </w:r>
    </w:p>
    <w:p>
      <w:pPr>
        <w:jc w:val="center"/>
        <w:ind w:left="6940"/>
        <w:spacing w:after="0" w:line="201" w:lineRule="auto"/>
        <w:rPr>
          <w:sz w:val="20"/>
          <w:szCs w:val="20"/>
          <w:color w:val="auto"/>
        </w:rPr>
      </w:pPr>
      <w:r>
        <w:rPr>
          <w:rFonts w:ascii="Arial" w:cs="Arial" w:eastAsia="Arial" w:hAnsi="Arial"/>
          <w:sz w:val="14"/>
          <w:szCs w:val="14"/>
          <w:b w:val="1"/>
          <w:bCs w:val="1"/>
          <w:color w:val="auto"/>
        </w:rPr>
        <w:t>Director of Westlake Chemical Partners GP LLC</w:t>
      </w:r>
    </w:p>
    <w:p>
      <w:pPr>
        <w:jc w:val="center"/>
        <w:ind w:left="6940"/>
        <w:spacing w:after="0"/>
        <w:rPr>
          <w:sz w:val="20"/>
          <w:szCs w:val="20"/>
          <w:color w:val="auto"/>
        </w:rPr>
      </w:pPr>
      <w:r>
        <w:rPr>
          <w:rFonts w:ascii="Arial" w:cs="Arial" w:eastAsia="Arial" w:hAnsi="Arial"/>
          <w:sz w:val="14"/>
          <w:szCs w:val="14"/>
          <w:b w:val="1"/>
          <w:b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720"/>
          </w:cols>
          <w:pgMar w:left="320" w:top="121" w:right="85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i w:val="1"/>
          <w:i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144" w:lineRule="exact"/>
        <w:rPr>
          <w:sz w:val="20"/>
          <w:szCs w:val="20"/>
          <w:color w:val="auto"/>
        </w:rPr>
      </w:pPr>
    </w:p>
    <w:p>
      <w:pPr>
        <w:ind w:left="680" w:hanging="654"/>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30" w:lineRule="exact"/>
        <w:rPr>
          <w:rFonts w:ascii="Arial" w:cs="Arial" w:eastAsia="Arial" w:hAnsi="Arial"/>
          <w:sz w:val="18"/>
          <w:szCs w:val="18"/>
          <w:color w:val="auto"/>
        </w:rPr>
      </w:pPr>
    </w:p>
    <w:p>
      <w:pPr>
        <w:jc w:val="both"/>
        <w:ind w:left="680" w:right="100" w:hanging="654"/>
        <w:spacing w:after="0" w:line="22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6" w:lineRule="exact"/>
        <w:rPr>
          <w:rFonts w:ascii="Arial" w:cs="Arial" w:eastAsia="Arial" w:hAnsi="Arial"/>
          <w:sz w:val="18"/>
          <w:szCs w:val="18"/>
          <w:color w:val="auto"/>
        </w:rPr>
      </w:pPr>
    </w:p>
    <w:p>
      <w:pPr>
        <w:ind w:left="680" w:right="60" w:hanging="654"/>
        <w:spacing w:after="0" w:line="258" w:lineRule="auto"/>
        <w:tabs>
          <w:tab w:leader="none" w:pos="6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80" w:right="100" w:hanging="654"/>
        <w:spacing w:after="0" w:line="224" w:lineRule="auto"/>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6" w:lineRule="exact"/>
        <w:rPr>
          <w:rFonts w:ascii="Arial" w:cs="Arial" w:eastAsia="Arial" w:hAnsi="Arial"/>
          <w:sz w:val="18"/>
          <w:szCs w:val="18"/>
          <w:color w:val="auto"/>
        </w:rPr>
      </w:pPr>
    </w:p>
    <w:p>
      <w:pPr>
        <w:ind w:left="1340" w:right="100" w:hanging="666"/>
        <w:spacing w:after="0" w:line="224"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1340" w:right="140" w:hanging="666"/>
        <w:spacing w:after="0" w:line="224"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6" w:lineRule="exact"/>
        <w:rPr>
          <w:rFonts w:ascii="Arial" w:cs="Arial" w:eastAsia="Arial" w:hAnsi="Arial"/>
          <w:sz w:val="18"/>
          <w:szCs w:val="18"/>
          <w:color w:val="auto"/>
        </w:rPr>
      </w:pPr>
    </w:p>
    <w:p>
      <w:pPr>
        <w:ind w:left="1340" w:right="180" w:hanging="666"/>
        <w:spacing w:after="0" w:line="289" w:lineRule="auto"/>
        <w:tabs>
          <w:tab w:leader="none" w:pos="13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40" w:right="260" w:hanging="666"/>
        <w:spacing w:after="0" w:line="224"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680" w:right="260" w:hanging="654"/>
        <w:spacing w:after="0" w:line="289" w:lineRule="auto"/>
        <w:tabs>
          <w:tab w:leader="none" w:pos="6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40" w:right="480" w:hanging="666"/>
        <w:spacing w:after="0" w:line="289" w:lineRule="auto"/>
        <w:tabs>
          <w:tab w:leader="none" w:pos="13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Arial" w:cs="Arial" w:eastAsia="Arial" w:hAnsi="Arial"/>
          <w:sz w:val="16"/>
          <w:szCs w:val="16"/>
          <w:color w:val="auto"/>
        </w:rPr>
      </w:pPr>
    </w:p>
    <w:p>
      <w:pPr>
        <w:ind w:left="1340" w:right="180" w:hanging="666"/>
        <w:spacing w:after="0" w:line="235" w:lineRule="auto"/>
        <w:tabs>
          <w:tab w:leader="none" w:pos="1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600" w:val="left"/>
          <w:tab w:leader="none" w:pos="8220" w:val="left"/>
          <w:tab w:leader="none" w:pos="8580" w:val="left"/>
        </w:tabs>
        <w:rPr>
          <w:sz w:val="20"/>
          <w:szCs w:val="20"/>
          <w:color w:val="auto"/>
        </w:rPr>
      </w:pPr>
      <w:r>
        <w:rPr>
          <w:rFonts w:ascii="Arial" w:cs="Arial" w:eastAsia="Arial" w:hAnsi="Arial"/>
          <w:sz w:val="18"/>
          <w:szCs w:val="18"/>
          <w:color w:val="auto"/>
        </w:rPr>
        <w:t>Date:</w:t>
        <w:tab/>
        <w:t>May 5, 2021</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200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8"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Albert Chao</w:t>
      </w:r>
    </w:p>
    <w:p>
      <w:pPr>
        <w:spacing w:after="0" w:line="18"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6920"/>
        <w:spacing w:after="0" w:line="201" w:lineRule="auto"/>
        <w:rPr>
          <w:sz w:val="20"/>
          <w:szCs w:val="20"/>
          <w:color w:val="auto"/>
        </w:rPr>
      </w:pPr>
      <w:r>
        <w:rPr>
          <w:rFonts w:ascii="Arial" w:cs="Arial" w:eastAsia="Arial" w:hAnsi="Arial"/>
          <w:sz w:val="14"/>
          <w:szCs w:val="14"/>
          <w:b w:val="1"/>
          <w:bCs w:val="1"/>
          <w:color w:val="auto"/>
        </w:rPr>
        <w:t>Westlake Chemical Partners GP LLC</w:t>
      </w:r>
    </w:p>
    <w:p>
      <w:pPr>
        <w:jc w:val="center"/>
        <w:ind w:left="69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895"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i w:val="1"/>
          <w:i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144" w:lineRule="exact"/>
        <w:rPr>
          <w:sz w:val="20"/>
          <w:szCs w:val="20"/>
          <w:color w:val="auto"/>
        </w:rPr>
      </w:pPr>
    </w:p>
    <w:p>
      <w:pPr>
        <w:ind w:left="680" w:hanging="654"/>
        <w:spacing w:after="0"/>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Westlake Chemical Partners LP;</w:t>
      </w:r>
    </w:p>
    <w:p>
      <w:pPr>
        <w:spacing w:after="0" w:line="130" w:lineRule="exact"/>
        <w:rPr>
          <w:rFonts w:ascii="Arial" w:cs="Arial" w:eastAsia="Arial" w:hAnsi="Arial"/>
          <w:sz w:val="18"/>
          <w:szCs w:val="18"/>
          <w:color w:val="auto"/>
        </w:rPr>
      </w:pPr>
    </w:p>
    <w:p>
      <w:pPr>
        <w:jc w:val="both"/>
        <w:ind w:left="680" w:right="100" w:hanging="654"/>
        <w:spacing w:after="0" w:line="22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6" w:lineRule="exact"/>
        <w:rPr>
          <w:rFonts w:ascii="Arial" w:cs="Arial" w:eastAsia="Arial" w:hAnsi="Arial"/>
          <w:sz w:val="18"/>
          <w:szCs w:val="18"/>
          <w:color w:val="auto"/>
        </w:rPr>
      </w:pPr>
    </w:p>
    <w:p>
      <w:pPr>
        <w:ind w:left="680" w:right="60" w:hanging="654"/>
        <w:spacing w:after="0" w:line="258" w:lineRule="auto"/>
        <w:tabs>
          <w:tab w:leader="none" w:pos="6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80" w:right="100" w:hanging="654"/>
        <w:spacing w:after="0" w:line="224"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6" w:lineRule="exact"/>
        <w:rPr>
          <w:rFonts w:ascii="Arial" w:cs="Arial" w:eastAsia="Arial" w:hAnsi="Arial"/>
          <w:sz w:val="18"/>
          <w:szCs w:val="18"/>
          <w:color w:val="auto"/>
        </w:rPr>
      </w:pPr>
    </w:p>
    <w:p>
      <w:pPr>
        <w:ind w:left="1340" w:right="100" w:hanging="666"/>
        <w:spacing w:after="0" w:line="224" w:lineRule="auto"/>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8"/>
          <w:szCs w:val="18"/>
          <w:color w:val="auto"/>
        </w:rPr>
      </w:pPr>
    </w:p>
    <w:p>
      <w:pPr>
        <w:ind w:left="1340" w:right="140" w:hanging="666"/>
        <w:spacing w:after="0" w:line="224" w:lineRule="auto"/>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6" w:lineRule="exact"/>
        <w:rPr>
          <w:rFonts w:ascii="Arial" w:cs="Arial" w:eastAsia="Arial" w:hAnsi="Arial"/>
          <w:sz w:val="18"/>
          <w:szCs w:val="18"/>
          <w:color w:val="auto"/>
        </w:rPr>
      </w:pPr>
    </w:p>
    <w:p>
      <w:pPr>
        <w:ind w:left="1340" w:right="180" w:hanging="666"/>
        <w:spacing w:after="0" w:line="289" w:lineRule="auto"/>
        <w:tabs>
          <w:tab w:leader="none" w:pos="13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40" w:right="260" w:hanging="666"/>
        <w:spacing w:after="0" w:line="224" w:lineRule="auto"/>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680" w:right="260" w:hanging="654"/>
        <w:spacing w:after="0" w:line="289" w:lineRule="auto"/>
        <w:tabs>
          <w:tab w:leader="none" w:pos="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40" w:right="480" w:hanging="666"/>
        <w:spacing w:after="0" w:line="289" w:lineRule="auto"/>
        <w:tabs>
          <w:tab w:leader="none" w:pos="134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7" w:lineRule="exact"/>
        <w:rPr>
          <w:rFonts w:ascii="Arial" w:cs="Arial" w:eastAsia="Arial" w:hAnsi="Arial"/>
          <w:sz w:val="16"/>
          <w:szCs w:val="16"/>
          <w:color w:val="auto"/>
        </w:rPr>
      </w:pPr>
    </w:p>
    <w:p>
      <w:pPr>
        <w:ind w:left="1340" w:right="180" w:hanging="666"/>
        <w:spacing w:after="0" w:line="235" w:lineRule="auto"/>
        <w:tabs>
          <w:tab w:leader="none" w:pos="13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6" w:lineRule="exact"/>
        <w:rPr>
          <w:sz w:val="20"/>
          <w:szCs w:val="20"/>
          <w:color w:val="auto"/>
        </w:rPr>
      </w:pPr>
    </w:p>
    <w:p>
      <w:pPr>
        <w:ind w:left="20"/>
        <w:spacing w:after="0"/>
        <w:tabs>
          <w:tab w:leader="none" w:pos="600" w:val="left"/>
          <w:tab w:leader="none" w:pos="8220" w:val="left"/>
        </w:tabs>
        <w:rPr>
          <w:sz w:val="20"/>
          <w:szCs w:val="20"/>
          <w:color w:val="auto"/>
        </w:rPr>
      </w:pPr>
      <w:r>
        <w:rPr>
          <w:rFonts w:ascii="Arial" w:cs="Arial" w:eastAsia="Arial" w:hAnsi="Arial"/>
          <w:sz w:val="18"/>
          <w:szCs w:val="18"/>
          <w:color w:val="auto"/>
        </w:rPr>
        <w:t>Date:</w:t>
        <w:tab/>
        <w:t>May 5, 2021</w:t>
      </w:r>
      <w:r>
        <w:rPr>
          <w:sz w:val="20"/>
          <w:szCs w:val="20"/>
          <w:color w:val="auto"/>
        </w:rPr>
        <w:tab/>
      </w:r>
      <w:r>
        <w:rPr>
          <w:rFonts w:ascii="Arial" w:cs="Arial" w:eastAsia="Arial" w:hAnsi="Arial"/>
          <w:sz w:val="17"/>
          <w:szCs w:val="17"/>
          <w:color w:val="auto"/>
        </w:rPr>
        <w:t>/</w:t>
      </w:r>
      <w:r>
        <w:rPr>
          <w:rFonts w:ascii="Arial" w:cs="Arial" w:eastAsia="Arial" w:hAnsi="Arial"/>
          <w:sz w:val="13"/>
          <w:szCs w:val="13"/>
          <w:color w:val="auto"/>
        </w:rPr>
        <w:t>S</w:t>
      </w:r>
      <w:r>
        <w:rPr>
          <w:rFonts w:ascii="Arial" w:cs="Arial" w:eastAsia="Arial" w:hAnsi="Arial"/>
          <w:sz w:val="17"/>
          <w:szCs w:val="17"/>
          <w:color w:val="auto"/>
        </w:rPr>
        <w:t>/ 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200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8"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M. Steven Bender</w:t>
      </w:r>
    </w:p>
    <w:p>
      <w:pPr>
        <w:spacing w:after="0" w:line="28" w:lineRule="exact"/>
        <w:rPr>
          <w:sz w:val="20"/>
          <w:szCs w:val="20"/>
          <w:color w:val="auto"/>
        </w:rPr>
      </w:pPr>
    </w:p>
    <w:p>
      <w:pPr>
        <w:ind w:left="7100"/>
        <w:spacing w:after="0"/>
        <w:rPr>
          <w:sz w:val="20"/>
          <w:szCs w:val="20"/>
          <w:color w:val="auto"/>
        </w:rPr>
      </w:pPr>
      <w:r>
        <w:rPr>
          <w:rFonts w:ascii="Arial" w:cs="Arial" w:eastAsia="Arial" w:hAnsi="Arial"/>
          <w:sz w:val="13"/>
          <w:szCs w:val="13"/>
          <w:b w:val="1"/>
          <w:bCs w:val="1"/>
          <w:color w:val="auto"/>
        </w:rPr>
        <w:t>Executive Vice President, Chief Financial Officer and Director of</w:t>
      </w:r>
    </w:p>
    <w:p>
      <w:pPr>
        <w:jc w:val="center"/>
        <w:ind w:left="6920"/>
        <w:spacing w:after="0" w:line="203" w:lineRule="auto"/>
        <w:rPr>
          <w:sz w:val="20"/>
          <w:szCs w:val="20"/>
          <w:color w:val="auto"/>
        </w:rPr>
      </w:pPr>
      <w:r>
        <w:rPr>
          <w:rFonts w:ascii="Arial" w:cs="Arial" w:eastAsia="Arial" w:hAnsi="Arial"/>
          <w:sz w:val="14"/>
          <w:szCs w:val="14"/>
          <w:b w:val="1"/>
          <w:bCs w:val="1"/>
          <w:color w:val="auto"/>
        </w:rPr>
        <w:t>Westlake Chemical Partners GP LLC</w:t>
      </w:r>
    </w:p>
    <w:p>
      <w:pPr>
        <w:jc w:val="center"/>
        <w:ind w:left="69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895"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i w:val="1"/>
          <w:iCs w:val="1"/>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40" w:firstLine="445"/>
        <w:spacing w:after="0" w:line="279" w:lineRule="auto"/>
        <w:rPr>
          <w:sz w:val="20"/>
          <w:szCs w:val="20"/>
          <w:color w:val="auto"/>
        </w:rPr>
      </w:pPr>
      <w:r>
        <w:rPr>
          <w:rFonts w:ascii="Arial" w:cs="Arial" w:eastAsia="Arial" w:hAnsi="Arial"/>
          <w:sz w:val="17"/>
          <w:szCs w:val="17"/>
          <w:color w:val="auto"/>
        </w:rPr>
        <w:t>In connection with the Quarterly Report of Westlake Chemical Partners LP (the "Partnership") on Form 10-Q for the fiscal quarter ended March 31, 2021 as filed with the Securities and Exchange Commission on the date hereof (the "Report"), I, Albert Chao, President, Chief Executive Officer and Director of the Partnership, and I, M. Steven Bender, Senior Vice President, Chief Financial Officer and Director of the Partnership, certify, to the best of our knowledge, pursuant to 18 U.S.C. §1350, as adopted pursuant to §906 of the Sarbanes-Oxley Act of 2002, that:</w:t>
      </w:r>
    </w:p>
    <w:p>
      <w:pPr>
        <w:spacing w:after="0" w:line="63" w:lineRule="exact"/>
        <w:rPr>
          <w:sz w:val="20"/>
          <w:szCs w:val="20"/>
          <w:color w:val="auto"/>
        </w:rPr>
      </w:pPr>
    </w:p>
    <w:p>
      <w:pPr>
        <w:ind w:left="560" w:hanging="309"/>
        <w:spacing w:after="0"/>
        <w:tabs>
          <w:tab w:leader="none" w:pos="5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60" w:hanging="309"/>
        <w:spacing w:after="0"/>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aspects, the financial condition and results of operations of the Partnership.</w:t>
      </w:r>
    </w:p>
    <w:p>
      <w:pPr>
        <w:spacing w:after="0" w:line="200" w:lineRule="exact"/>
        <w:rPr>
          <w:sz w:val="20"/>
          <w:szCs w:val="20"/>
          <w:color w:val="auto"/>
        </w:rPr>
      </w:pPr>
    </w:p>
    <w:p>
      <w:pPr>
        <w:spacing w:after="0" w:line="291" w:lineRule="exact"/>
        <w:rPr>
          <w:sz w:val="20"/>
          <w:szCs w:val="20"/>
          <w:color w:val="auto"/>
        </w:rPr>
      </w:pPr>
    </w:p>
    <w:p>
      <w:pPr>
        <w:ind w:left="20"/>
        <w:spacing w:after="0"/>
        <w:tabs>
          <w:tab w:leader="none" w:pos="600" w:val="left"/>
          <w:tab w:leader="none" w:pos="8220" w:val="left"/>
          <w:tab w:leader="none" w:pos="8580" w:val="left"/>
        </w:tabs>
        <w:rPr>
          <w:sz w:val="20"/>
          <w:szCs w:val="20"/>
          <w:color w:val="auto"/>
        </w:rPr>
      </w:pPr>
      <w:r>
        <w:rPr>
          <w:rFonts w:ascii="Arial" w:cs="Arial" w:eastAsia="Arial" w:hAnsi="Arial"/>
          <w:sz w:val="18"/>
          <w:szCs w:val="18"/>
          <w:color w:val="auto"/>
        </w:rPr>
        <w:t>Date:</w:t>
        <w:tab/>
        <w:t>May 5, 2021</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A</w:t>
      </w:r>
      <w:r>
        <w:rPr>
          <w:rFonts w:ascii="Arial" w:cs="Arial" w:eastAsia="Arial" w:hAnsi="Arial"/>
          <w:sz w:val="13"/>
          <w:szCs w:val="13"/>
          <w:color w:val="auto"/>
        </w:rPr>
        <w:t>LBERT</w:t>
      </w:r>
      <w:r>
        <w:rPr>
          <w:rFonts w:ascii="Arial" w:cs="Arial" w:eastAsia="Arial" w:hAnsi="Arial"/>
          <w:sz w:val="17"/>
          <w:szCs w:val="17"/>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200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8"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Albert Chao</w:t>
      </w:r>
    </w:p>
    <w:p>
      <w:pPr>
        <w:spacing w:after="0" w:line="18" w:lineRule="exact"/>
        <w:rPr>
          <w:sz w:val="20"/>
          <w:szCs w:val="20"/>
          <w:color w:val="auto"/>
        </w:rPr>
      </w:pPr>
    </w:p>
    <w:p>
      <w:pPr>
        <w:ind w:left="7540"/>
        <w:spacing w:after="0"/>
        <w:rPr>
          <w:sz w:val="20"/>
          <w:szCs w:val="20"/>
          <w:color w:val="auto"/>
        </w:rPr>
      </w:pPr>
      <w:r>
        <w:rPr>
          <w:rFonts w:ascii="Arial" w:cs="Arial" w:eastAsia="Arial" w:hAnsi="Arial"/>
          <w:sz w:val="14"/>
          <w:szCs w:val="14"/>
          <w:b w:val="1"/>
          <w:bCs w:val="1"/>
          <w:color w:val="auto"/>
        </w:rPr>
        <w:t>President, Chief Executive Officer and Director of</w:t>
      </w:r>
    </w:p>
    <w:p>
      <w:pPr>
        <w:jc w:val="center"/>
        <w:ind w:left="6920"/>
        <w:spacing w:after="0" w:line="201" w:lineRule="auto"/>
        <w:rPr>
          <w:sz w:val="20"/>
          <w:szCs w:val="20"/>
          <w:color w:val="auto"/>
        </w:rPr>
      </w:pPr>
      <w:r>
        <w:rPr>
          <w:rFonts w:ascii="Arial" w:cs="Arial" w:eastAsia="Arial" w:hAnsi="Arial"/>
          <w:sz w:val="14"/>
          <w:szCs w:val="14"/>
          <w:b w:val="1"/>
          <w:bCs w:val="1"/>
          <w:color w:val="auto"/>
        </w:rPr>
        <w:t>Westlake Chemical Partners GP LLC</w:t>
      </w:r>
    </w:p>
    <w:p>
      <w:pPr>
        <w:jc w:val="center"/>
        <w:ind w:left="6920"/>
        <w:spacing w:after="0"/>
        <w:rPr>
          <w:sz w:val="20"/>
          <w:szCs w:val="20"/>
          <w:color w:val="auto"/>
        </w:rPr>
      </w:pPr>
      <w:r>
        <w:rPr>
          <w:rFonts w:ascii="Arial" w:cs="Arial" w:eastAsia="Arial" w:hAnsi="Arial"/>
          <w:sz w:val="14"/>
          <w:szCs w:val="14"/>
          <w:b w:val="1"/>
          <w:bCs w:val="1"/>
          <w:color w:val="auto"/>
        </w:rPr>
        <w:t>(Principal Executive Officer)</w:t>
      </w:r>
    </w:p>
    <w:p>
      <w:pPr>
        <w:spacing w:after="0" w:line="331" w:lineRule="exact"/>
        <w:rPr>
          <w:sz w:val="20"/>
          <w:szCs w:val="20"/>
          <w:color w:val="auto"/>
        </w:rPr>
      </w:pPr>
    </w:p>
    <w:p>
      <w:pPr>
        <w:ind w:left="20"/>
        <w:spacing w:after="0"/>
        <w:tabs>
          <w:tab w:leader="none" w:pos="600" w:val="left"/>
          <w:tab w:leader="none" w:pos="8020" w:val="left"/>
          <w:tab w:leader="none" w:pos="8360" w:val="left"/>
        </w:tabs>
        <w:rPr>
          <w:sz w:val="20"/>
          <w:szCs w:val="20"/>
          <w:color w:val="auto"/>
        </w:rPr>
      </w:pPr>
      <w:r>
        <w:rPr>
          <w:rFonts w:ascii="Arial" w:cs="Arial" w:eastAsia="Arial" w:hAnsi="Arial"/>
          <w:sz w:val="18"/>
          <w:szCs w:val="18"/>
          <w:color w:val="auto"/>
        </w:rPr>
        <w:t>Date:</w:t>
        <w:tab/>
        <w:t>May 5, 2021</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M. S</w:t>
      </w:r>
      <w:r>
        <w:rPr>
          <w:rFonts w:ascii="Arial" w:cs="Arial" w:eastAsia="Arial" w:hAnsi="Arial"/>
          <w:sz w:val="13"/>
          <w:szCs w:val="13"/>
          <w:color w:val="auto"/>
        </w:rPr>
        <w:t>TEVEN</w:t>
      </w:r>
      <w:r>
        <w:rPr>
          <w:rFonts w:ascii="Arial" w:cs="Arial" w:eastAsia="Arial" w:hAnsi="Arial"/>
          <w:sz w:val="17"/>
          <w:szCs w:val="17"/>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14605</wp:posOffset>
            </wp:positionV>
            <wp:extent cx="28200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8" w:lineRule="exact"/>
        <w:rPr>
          <w:sz w:val="20"/>
          <w:szCs w:val="20"/>
          <w:color w:val="auto"/>
        </w:rPr>
      </w:pPr>
    </w:p>
    <w:p>
      <w:pPr>
        <w:ind w:left="8540"/>
        <w:spacing w:after="0"/>
        <w:rPr>
          <w:sz w:val="20"/>
          <w:szCs w:val="20"/>
          <w:color w:val="auto"/>
        </w:rPr>
      </w:pPr>
      <w:r>
        <w:rPr>
          <w:rFonts w:ascii="Arial" w:cs="Arial" w:eastAsia="Arial" w:hAnsi="Arial"/>
          <w:sz w:val="14"/>
          <w:szCs w:val="14"/>
          <w:b w:val="1"/>
          <w:bCs w:val="1"/>
          <w:color w:val="auto"/>
        </w:rPr>
        <w:t>M. Steven Bender</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Executive Vice President, Chief Financial Officer and</w:t>
      </w:r>
    </w:p>
    <w:p>
      <w:pPr>
        <w:jc w:val="center"/>
        <w:ind w:left="6920"/>
        <w:spacing w:after="0" w:line="201" w:lineRule="auto"/>
        <w:rPr>
          <w:sz w:val="20"/>
          <w:szCs w:val="20"/>
          <w:color w:val="auto"/>
        </w:rPr>
      </w:pPr>
      <w:r>
        <w:rPr>
          <w:rFonts w:ascii="Arial" w:cs="Arial" w:eastAsia="Arial" w:hAnsi="Arial"/>
          <w:sz w:val="14"/>
          <w:szCs w:val="14"/>
          <w:b w:val="1"/>
          <w:bCs w:val="1"/>
          <w:color w:val="auto"/>
        </w:rPr>
        <w:t>Director of Westlake Chemical Partners GP LLC</w:t>
      </w:r>
    </w:p>
    <w:p>
      <w:pPr>
        <w:jc w:val="center"/>
        <w:ind w:left="692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04"/>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2021-05-05T13:06:43Z</dcterms:created>
  <dcterms:modified xsi:type="dcterms:W3CDTF">2021-05-05T13:06:43Z</dcterms:modified>
</cp:coreProperties>
</file>