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193040</wp:posOffset>
            </wp:positionV>
            <wp:extent cx="3310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147955</wp:posOffset>
            </wp:positionV>
            <wp:extent cx="3310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720" w:right="160" w:hanging="685"/>
        <w:spacing w:after="0" w:line="260"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2015</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40" w:right="140" w:hanging="691"/>
        <w:spacing w:after="0" w:line="260" w:lineRule="auto"/>
        <w:tabs>
          <w:tab w:leader="none" w:pos="7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740"/>
        <w:spacing w:after="0"/>
        <w:tabs>
          <w:tab w:leader="none" w:pos="40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217170</wp:posOffset>
            </wp:positionV>
            <wp:extent cx="3310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Westlake Chemical Partners LP</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125095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380"/>
          </w:cols>
          <w:pgMar w:left="240" w:top="511"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32-0436529</w:t>
      </w:r>
    </w:p>
    <w:p>
      <w:pPr>
        <w:spacing w:after="0" w:line="72" w:lineRule="exact"/>
        <w:rPr>
          <w:sz w:val="24"/>
          <w:szCs w:val="24"/>
          <w:color w:val="auto"/>
        </w:rPr>
      </w:pPr>
    </w:p>
    <w:p>
      <w:pPr>
        <w:sectPr>
          <w:pgSz w:w="11900" w:h="16838" w:orient="portrait"/>
          <w:cols w:equalWidth="0" w:num="2">
            <w:col w:w="7520" w:space="720"/>
            <w:col w:w="3140"/>
          </w:cols>
          <w:pgMar w:left="240" w:top="511" w:right="27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61" w:lineRule="exact"/>
        <w:rPr>
          <w:sz w:val="24"/>
          <w:szCs w:val="24"/>
          <w:color w:val="auto"/>
        </w:rPr>
      </w:pPr>
    </w:p>
    <w:p>
      <w:pPr>
        <w:sectPr>
          <w:pgSz w:w="11900" w:h="16838" w:orient="portrait"/>
          <w:cols w:equalWidth="0" w:num="2">
            <w:col w:w="7240" w:space="720"/>
            <w:col w:w="3420"/>
          </w:cols>
          <w:pgMar w:left="240" w:top="511" w:right="2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Houston, Texas 77056</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(713) 585-2900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1380"/>
          </w:cols>
          <w:pgMar w:left="240" w:top="511" w:right="279" w:bottom="1440" w:gutter="0" w:footer="0" w:header="0"/>
          <w:type w:val="continuous"/>
        </w:sectPr>
      </w:pPr>
    </w:p>
    <w:p>
      <w:pPr>
        <w:spacing w:after="0" w:line="70" w:lineRule="exact"/>
        <w:rPr>
          <w:sz w:val="24"/>
          <w:szCs w:val="24"/>
          <w:color w:val="auto"/>
        </w:rPr>
      </w:pPr>
    </w:p>
    <w:p>
      <w:pPr>
        <w:ind w:right="3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x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2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x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25"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smaller reporting company. See definitions of "large accelerated filer," "accelerated filer" and "smaller reporting company" in Rule 12b-2 of the Exchange Act (Check one):</w:t>
      </w:r>
    </w:p>
    <w:p>
      <w:pPr>
        <w:sectPr>
          <w:pgSz w:w="11900" w:h="16838" w:orient="portrait"/>
          <w:cols w:equalWidth="0" w:num="1">
            <w:col w:w="11380"/>
          </w:cols>
          <w:pgMar w:left="240" w:top="511" w:right="279" w:bottom="1440" w:gutter="0" w:footer="0" w:header="0"/>
          <w:type w:val="continuous"/>
        </w:sectPr>
      </w:pPr>
    </w:p>
    <w:p>
      <w:pPr>
        <w:spacing w:after="0" w:line="2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Large accelerated filer</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 (Do not check if a smaller reporting company)</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Accelerated filer</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4">
            <w:col w:w="2280" w:space="720"/>
            <w:col w:w="4080" w:space="720"/>
            <w:col w:w="2460" w:space="720"/>
            <w:col w:w="400"/>
          </w:cols>
          <w:pgMar w:left="240" w:top="511" w:right="279" w:bottom="1440" w:gutter="0" w:footer="0" w:header="0"/>
          <w:type w:val="continuous"/>
        </w:sectPr>
      </w:pPr>
    </w:p>
    <w:p>
      <w:pPr>
        <w:ind w:right="1780"/>
        <w:spacing w:after="0" w:line="2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x The registrant had 14,373,615 common units and 12,686,115 subordinated units outstanding as of July 29, 2015.</w:t>
      </w:r>
    </w:p>
    <w:p>
      <w:pPr>
        <w:sectPr>
          <w:pgSz w:w="11900" w:h="16838" w:orient="portrait"/>
          <w:cols w:equalWidth="0" w:num="1">
            <w:col w:w="11380"/>
          </w:cols>
          <w:pgMar w:left="240" w:top="511" w:right="27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10060" w:type="dxa"/>
            <w:vAlign w:val="bottom"/>
          </w:tcPr>
          <w:p>
            <w:pPr>
              <w:spacing w:after="0"/>
              <w:rPr>
                <w:sz w:val="13"/>
                <w:szCs w:val="13"/>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0580" w:type="dxa"/>
            <w:vAlign w:val="bottom"/>
            <w:gridSpan w:val="3"/>
            <w:vMerge w:val="restart"/>
          </w:tcPr>
          <w:p>
            <w:pPr>
              <w:spacing w:after="0"/>
              <w:rPr>
                <w:rFonts w:ascii="Times New Roman" w:cs="Times New Roman" w:eastAsia="Times New Roman" w:hAnsi="Times New Roman"/>
                <w:sz w:val="18"/>
                <w:szCs w:val="18"/>
                <w:b w:val="1"/>
                <w:bCs w:val="1"/>
                <w:color w:val="auto"/>
              </w:rPr>
            </w:pPr>
            <w:hyperlink w:anchor="page2">
              <w:r>
                <w:rPr>
                  <w:rFonts w:ascii="Times New Roman" w:cs="Times New Roman" w:eastAsia="Times New Roman" w:hAnsi="Times New Roman"/>
                  <w:sz w:val="18"/>
                  <w:szCs w:val="18"/>
                  <w:b w:val="1"/>
                  <w:bCs w:val="1"/>
                  <w:color w:val="auto"/>
                </w:rPr>
                <w:t>PART I. FINANCIAL INFORMATION</w:t>
              </w:r>
            </w:hyperlink>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580" w:type="dxa"/>
            <w:vAlign w:val="bottom"/>
            <w:gridSpan w:val="3"/>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1)</w:t>
              </w:r>
            </w:hyperlink>
          </w:p>
        </w:tc>
        <w:tc>
          <w:tcPr>
            <w:tcW w:w="10060" w:type="dxa"/>
            <w:vAlign w:val="bottom"/>
          </w:tcPr>
          <w:p>
            <w:pPr>
              <w:ind w:left="2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Financial Statements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1</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Times New Roman" w:cs="Times New Roman" w:eastAsia="Times New Roman" w:hAnsi="Times New Roman"/>
                <w:sz w:val="18"/>
                <w:szCs w:val="18"/>
                <w:color w:val="auto"/>
              </w:rPr>
            </w:pPr>
            <w:hyperlink w:anchor="page16">
              <w:r>
                <w:rPr>
                  <w:rFonts w:ascii="Times New Roman" w:cs="Times New Roman" w:eastAsia="Times New Roman" w:hAnsi="Times New Roman"/>
                  <w:sz w:val="18"/>
                  <w:szCs w:val="18"/>
                  <w:color w:val="auto"/>
                </w:rPr>
                <w:t>2)</w:t>
              </w:r>
            </w:hyperlink>
          </w:p>
        </w:tc>
        <w:tc>
          <w:tcPr>
            <w:tcW w:w="10060" w:type="dxa"/>
            <w:vAlign w:val="bottom"/>
          </w:tcPr>
          <w:p>
            <w:pPr>
              <w:ind w:left="20"/>
              <w:spacing w:after="0"/>
              <w:rPr>
                <w:rFonts w:ascii="Times New Roman" w:cs="Times New Roman" w:eastAsia="Times New Roman" w:hAnsi="Times New Roman"/>
                <w:sz w:val="18"/>
                <w:szCs w:val="18"/>
                <w:color w:val="auto"/>
              </w:rPr>
            </w:pPr>
            <w:hyperlink w:anchor="page16">
              <w:r>
                <w:rPr>
                  <w:rFonts w:ascii="Times New Roman" w:cs="Times New Roman" w:eastAsia="Times New Roman" w:hAnsi="Times New Roman"/>
                  <w:sz w:val="18"/>
                  <w:szCs w:val="18"/>
                  <w:color w:val="auto"/>
                </w:rPr>
                <w:t>Management's Discussion and Analysis of Financial Condition and Results of Operations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16">
              <w:r>
                <w:rPr>
                  <w:rFonts w:ascii="Times New Roman" w:cs="Times New Roman" w:eastAsia="Times New Roman" w:hAnsi="Times New Roman"/>
                  <w:sz w:val="18"/>
                  <w:szCs w:val="18"/>
                  <w:color w:val="auto"/>
                </w:rPr>
                <w:t>15</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3)</w:t>
              </w:r>
            </w:hyperlink>
          </w:p>
        </w:tc>
        <w:tc>
          <w:tcPr>
            <w:tcW w:w="10060" w:type="dxa"/>
            <w:vAlign w:val="bottom"/>
          </w:tcPr>
          <w:p>
            <w:pPr>
              <w:ind w:left="20"/>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Quantitative and Qualitative Disclosures about Market Risk</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27">
              <w:r>
                <w:rPr>
                  <w:rFonts w:ascii="Times New Roman" w:cs="Times New Roman" w:eastAsia="Times New Roman" w:hAnsi="Times New Roman"/>
                  <w:sz w:val="18"/>
                  <w:szCs w:val="18"/>
                  <w:color w:val="auto"/>
                </w:rPr>
                <w:t>25</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4)</w:t>
              </w:r>
            </w:hyperlink>
          </w:p>
        </w:tc>
        <w:tc>
          <w:tcPr>
            <w:tcW w:w="10060" w:type="dxa"/>
            <w:vAlign w:val="bottom"/>
          </w:tcPr>
          <w:p>
            <w:pPr>
              <w:ind w:left="20"/>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Controls and Procedures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26</w:t>
              </w:r>
            </w:hyperlink>
          </w:p>
        </w:tc>
        <w:tc>
          <w:tcPr>
            <w:tcW w:w="0" w:type="dxa"/>
            <w:vAlign w:val="bottom"/>
          </w:tcPr>
          <w:p>
            <w:pPr>
              <w:spacing w:after="0"/>
              <w:rPr>
                <w:sz w:val="1"/>
                <w:szCs w:val="1"/>
                <w:color w:val="auto"/>
              </w:rPr>
            </w:pPr>
          </w:p>
        </w:tc>
      </w:tr>
      <w:tr>
        <w:trPr>
          <w:trHeight w:val="594"/>
        </w:trPr>
        <w:tc>
          <w:tcPr>
            <w:tcW w:w="10580" w:type="dxa"/>
            <w:vAlign w:val="bottom"/>
            <w:gridSpan w:val="3"/>
          </w:tcPr>
          <w:p>
            <w:pPr>
              <w:spacing w:after="0"/>
              <w:rPr>
                <w:rFonts w:ascii="Times New Roman" w:cs="Times New Roman" w:eastAsia="Times New Roman" w:hAnsi="Times New Roman"/>
                <w:sz w:val="18"/>
                <w:szCs w:val="18"/>
                <w:b w:val="1"/>
                <w:bCs w:val="1"/>
                <w:color w:val="auto"/>
              </w:rPr>
            </w:pPr>
            <w:hyperlink w:anchor="page28">
              <w:r>
                <w:rPr>
                  <w:rFonts w:ascii="Times New Roman" w:cs="Times New Roman" w:eastAsia="Times New Roman" w:hAnsi="Times New Roman"/>
                  <w:sz w:val="18"/>
                  <w:szCs w:val="18"/>
                  <w:b w:val="1"/>
                  <w:bCs w:val="1"/>
                  <w:color w:val="auto"/>
                </w:rPr>
                <w:t>PART II.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1)</w:t>
              </w:r>
            </w:hyperlink>
          </w:p>
        </w:tc>
        <w:tc>
          <w:tcPr>
            <w:tcW w:w="10060" w:type="dxa"/>
            <w:vAlign w:val="bottom"/>
          </w:tcPr>
          <w:p>
            <w:pPr>
              <w:ind w:left="2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Legal Proceedings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27</w:t>
              </w:r>
            </w:hyperlink>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300" w:type="dxa"/>
            <w:vAlign w:val="bottom"/>
            <w:gridSpan w:val="2"/>
          </w:tcPr>
          <w:p>
            <w:pPr>
              <w:ind w:left="6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1A) Risk Factors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27</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6)</w:t>
              </w:r>
            </w:hyperlink>
          </w:p>
        </w:tc>
        <w:tc>
          <w:tcPr>
            <w:tcW w:w="10060" w:type="dxa"/>
            <w:vAlign w:val="bottom"/>
          </w:tcPr>
          <w:p>
            <w:pPr>
              <w:ind w:left="2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Exhibits</w:t>
              </w:r>
            </w:hyperlink>
          </w:p>
        </w:tc>
        <w:tc>
          <w:tcPr>
            <w:tcW w:w="80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28</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80" w:top="360"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71"/>
        </w:trPr>
        <w:tc>
          <w:tcPr>
            <w:tcW w:w="8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8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195"/>
        </w:trPr>
        <w:tc>
          <w:tcPr>
            <w:tcW w:w="8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except unit amounts)</w:t>
            </w:r>
          </w:p>
        </w:tc>
      </w:tr>
      <w:tr>
        <w:trPr>
          <w:trHeight w:val="255"/>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133,750</w:t>
            </w: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net—Westlake Chemical Corporation ("Westlake")</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35,882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18,529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37,520</w:t>
            </w: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6,634</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w:t>
            </w:r>
          </w:p>
        </w:tc>
      </w:tr>
      <w:tr>
        <w:trPr>
          <w:trHeight w:val="237"/>
        </w:trPr>
        <w:tc>
          <w:tcPr>
            <w:tcW w:w="8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199,134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196,645</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914,270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842,057</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net</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5,814</w:t>
            </w: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44,204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51,919</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assets, net</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57,733</w:t>
            </w:r>
          </w:p>
        </w:tc>
      </w:tr>
      <w:tr>
        <w:trPr>
          <w:trHeight w:val="297"/>
        </w:trPr>
        <w:tc>
          <w:tcPr>
            <w:tcW w:w="83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1,163,422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1,096,435</w:t>
            </w:r>
          </w:p>
        </w:tc>
      </w:tr>
      <w:tr>
        <w:trPr>
          <w:trHeight w:val="237"/>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7,470</w:t>
            </w: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22,418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12,614</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11,900</w:t>
            </w:r>
          </w:p>
        </w:tc>
      </w:tr>
      <w:tr>
        <w:trPr>
          <w:trHeight w:val="237"/>
        </w:trPr>
        <w:tc>
          <w:tcPr>
            <w:tcW w:w="8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54,397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31,984</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280,992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227,638</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8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337,038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261,485</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(Notes 9 and 14)</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unitholders—public (12,937,500 units issued and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292,216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290,377</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unitholder—Westlake (1,436,115 units issued and outstanding)</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4,038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Subordinated unitholder—Westlake (12,686,115 units issued and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37,484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35,681</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partner—Westlake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(242,572)</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Westlake Chemical Partners LP partners' capital</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91,370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87,524</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 in Westlake Chemical OpCo LP ("OpCo")</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735,014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747,426</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826,384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834,950</w:t>
            </w:r>
          </w:p>
        </w:tc>
      </w:tr>
      <w:tr>
        <w:trPr>
          <w:trHeight w:val="257"/>
        </w:trPr>
        <w:tc>
          <w:tcPr>
            <w:tcW w:w="83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1,163,422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1,096,435</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combined and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AND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59"/>
        </w:trPr>
        <w:tc>
          <w:tcPr>
            <w:tcW w:w="5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Predecessor</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i w:val="1"/>
                <w:iCs w:val="1"/>
                <w:color w:val="auto"/>
              </w:rPr>
              <w:t>Predecessor</w:t>
            </w:r>
          </w:p>
        </w:tc>
        <w:tc>
          <w:tcPr>
            <w:tcW w:w="0" w:type="dxa"/>
            <w:vAlign w:val="bottom"/>
          </w:tcPr>
          <w:p>
            <w:pPr>
              <w:spacing w:after="0"/>
              <w:rPr>
                <w:sz w:val="1"/>
                <w:szCs w:val="1"/>
                <w:color w:val="auto"/>
              </w:rPr>
            </w:pPr>
          </w:p>
        </w:tc>
      </w:tr>
      <w:tr>
        <w:trPr>
          <w:trHeight w:val="397"/>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of dollars, except unit amounts and per unit data)</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sales—Westlake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204,669</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415,033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413,582</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798,960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co-product, ethylene and feedstock sales—third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47,036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109,102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96,514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285,189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251,705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524,135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510,096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1,084,149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157,177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277,589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319,341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605,289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94,528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246,546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190,755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478,860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5,995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13,943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88,533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240,381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178,760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464,917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2,649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87,202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237,673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176,058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459,870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83,829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162,152</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87,243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153,844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rPr>
              <w:t>175,632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297,718</w:t>
            </w:r>
          </w:p>
        </w:tc>
        <w:tc>
          <w:tcPr>
            <w:tcW w:w="0" w:type="dxa"/>
            <w:vAlign w:val="bottom"/>
          </w:tcPr>
          <w:p>
            <w:pPr>
              <w:spacing w:after="0"/>
              <w:rPr>
                <w:sz w:val="1"/>
                <w:szCs w:val="1"/>
                <w:color w:val="auto"/>
              </w:rPr>
            </w:pPr>
          </w:p>
        </w:tc>
      </w:tr>
      <w:tr>
        <w:trPr>
          <w:trHeight w:val="185"/>
        </w:trPr>
        <w:tc>
          <w:tcPr>
            <w:tcW w:w="5160" w:type="dxa"/>
            <w:vAlign w:val="bottom"/>
            <w:shd w:val="clear" w:color="auto" w:fill="CCEEFF"/>
          </w:tcPr>
          <w:p>
            <w:pPr>
              <w:ind w:left="280"/>
              <w:spacing w:after="0" w:line="185"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5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 OpCo</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76,800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156,689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516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attributable to Westlake Chemical</w:t>
            </w:r>
          </w:p>
        </w:tc>
        <w:tc>
          <w:tcPr>
            <w:tcW w:w="3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10,443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18,943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Partners LP</w:t>
            </w:r>
          </w:p>
        </w:tc>
        <w:tc>
          <w:tcPr>
            <w:tcW w:w="34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160" w:type="dxa"/>
            <w:vAlign w:val="bottom"/>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Net income attributable to Westlake Chemical Partners</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LP per limited partner unit (basic and diluted)</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units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Subordinated units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limited partner units outstanding</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units—public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12,937,500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12,937,500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units—Westlake</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1,436,115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1,436,115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Subordinated units—Westlake</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12,686,115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12,686,115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combined and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WESTLAKE CHEMICAL PARTNERS LP COMBINED AND CONSOLIDATED STATEMENTS OF CHANGES IN EQUITY (Unaudited)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Predecessor</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Partnership</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280"/>
              <w:spacing w:after="0" w:line="15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280"/>
              <w:spacing w:after="0" w:line="15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20" w:type="dxa"/>
            <w:vAlign w:val="bottom"/>
            <w:tcBorders>
              <w:top w:val="single" w:sz="8" w:color="auto"/>
            </w:tcBorders>
            <w:gridSpan w:val="3"/>
          </w:tcPr>
          <w:p>
            <w:pPr>
              <w:jc w:val="center"/>
              <w:ind w:right="120"/>
              <w:spacing w:after="0" w:line="156" w:lineRule="exact"/>
              <w:rPr>
                <w:sz w:val="20"/>
                <w:szCs w:val="20"/>
                <w:color w:val="auto"/>
              </w:rPr>
            </w:pPr>
            <w:r>
              <w:rPr>
                <w:rFonts w:ascii="Times New Roman" w:cs="Times New Roman" w:eastAsia="Times New Roman" w:hAnsi="Times New Roman"/>
                <w:sz w:val="14"/>
                <w:szCs w:val="14"/>
                <w:b w:val="1"/>
                <w:bCs w:val="1"/>
                <w:color w:val="auto"/>
              </w:rPr>
              <w:t>Subordinated</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260"/>
              <w:spacing w:after="0" w:line="156" w:lineRule="exact"/>
              <w:rPr>
                <w:sz w:val="20"/>
                <w:szCs w:val="20"/>
                <w:color w:val="auto"/>
              </w:rPr>
            </w:pPr>
            <w:r>
              <w:rPr>
                <w:rFonts w:ascii="Times New Roman" w:cs="Times New Roman" w:eastAsia="Times New Roman" w:hAnsi="Times New Roman"/>
                <w:sz w:val="14"/>
                <w:szCs w:val="14"/>
                <w:b w:val="1"/>
                <w:bCs w:val="1"/>
                <w:color w:val="auto"/>
                <w:w w:val="99"/>
              </w:rPr>
              <w:t>General</w:t>
            </w:r>
          </w:p>
        </w:tc>
        <w:tc>
          <w:tcPr>
            <w:tcW w:w="1140" w:type="dxa"/>
            <w:vAlign w:val="bottom"/>
            <w:tcBorders>
              <w:top w:val="single" w:sz="8" w:color="auto"/>
            </w:tcBorders>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3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11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Unitholders</w:t>
            </w:r>
            <w:r>
              <w:rPr>
                <w:rFonts w:ascii="Times New Roman" w:cs="Times New Roman" w:eastAsia="Times New Roman" w:hAnsi="Times New Roman"/>
                <w:sz w:val="18"/>
                <w:szCs w:val="18"/>
                <w:color w:val="auto"/>
              </w:rPr>
              <w:t>—</w:t>
            </w:r>
          </w:p>
        </w:tc>
        <w:tc>
          <w:tcPr>
            <w:tcW w:w="11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Unitholder</w:t>
            </w:r>
            <w:r>
              <w:rPr>
                <w:rFonts w:ascii="Times New Roman" w:cs="Times New Roman" w:eastAsia="Times New Roman" w:hAnsi="Times New Roman"/>
                <w:sz w:val="18"/>
                <w:szCs w:val="18"/>
                <w:color w:val="auto"/>
              </w:rPr>
              <w:t>—</w:t>
            </w: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Unitholder</w:t>
            </w:r>
            <w:r>
              <w:rPr>
                <w:rFonts w:ascii="Times New Roman" w:cs="Times New Roman" w:eastAsia="Times New Roman" w:hAnsi="Times New Roman"/>
                <w:sz w:val="18"/>
                <w:szCs w:val="18"/>
                <w:color w:val="auto"/>
              </w:rPr>
              <w:t>—</w:t>
            </w:r>
          </w:p>
        </w:tc>
        <w:tc>
          <w:tcPr>
            <w:tcW w:w="160" w:type="dxa"/>
            <w:vAlign w:val="bottom"/>
          </w:tcPr>
          <w:p>
            <w:pPr>
              <w:spacing w:after="0"/>
              <w:rPr>
                <w:sz w:val="5"/>
                <w:szCs w:val="5"/>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Partner</w:t>
            </w:r>
            <w:r>
              <w:rPr>
                <w:rFonts w:ascii="Times New Roman" w:cs="Times New Roman" w:eastAsia="Times New Roman" w:hAnsi="Times New Roman"/>
                <w:sz w:val="18"/>
                <w:szCs w:val="18"/>
                <w:color w:val="auto"/>
              </w:rPr>
              <w:t>—</w:t>
            </w:r>
          </w:p>
        </w:tc>
        <w:tc>
          <w:tcPr>
            <w:tcW w:w="11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2"/>
                <w:szCs w:val="12"/>
                <w:color w:val="auto"/>
              </w:rPr>
            </w:pPr>
          </w:p>
        </w:tc>
        <w:tc>
          <w:tcPr>
            <w:tcW w:w="8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Westlake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in OpCo</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6"/>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December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455,432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455,432</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297,718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297,718</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distributions to Westlake</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(376,613)</w:t>
            </w:r>
          </w:p>
        </w:tc>
        <w:tc>
          <w:tcPr>
            <w:tcW w:w="0" w:type="dxa"/>
            <w:vAlign w:val="bottom"/>
          </w:tcPr>
          <w:p>
            <w:pPr>
              <w:spacing w:after="0"/>
              <w:rPr>
                <w:sz w:val="1"/>
                <w:szCs w:val="1"/>
                <w:color w:val="auto"/>
              </w:rPr>
            </w:pPr>
          </w:p>
        </w:tc>
      </w:tr>
      <w:tr>
        <w:trPr>
          <w:trHeight w:val="257"/>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June 30, 2014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376,537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376,537</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December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290,377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35,681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747,426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834,950</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8,881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156,689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175,632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Quarterly distributions to unitholders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(15,097)</w:t>
            </w:r>
          </w:p>
        </w:tc>
        <w:tc>
          <w:tcPr>
            <w:tcW w:w="0" w:type="dxa"/>
            <w:vAlign w:val="bottom"/>
          </w:tcPr>
          <w:p>
            <w:pPr>
              <w:spacing w:after="0"/>
              <w:rPr>
                <w:sz w:val="1"/>
                <w:szCs w:val="1"/>
                <w:color w:val="auto"/>
              </w:rPr>
            </w:pPr>
          </w:p>
        </w:tc>
      </w:tr>
      <w:tr>
        <w:trPr>
          <w:trHeight w:val="225"/>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distributions to noncontrolling</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in OpCo by Westlake</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(169,101)</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June 30, 2015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292,216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4,242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37,484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735,014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826,384</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combined and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260" w:right="2840"/>
        <w:spacing w:after="0" w:line="278" w:lineRule="auto"/>
        <w:rPr>
          <w:sz w:val="20"/>
          <w:szCs w:val="20"/>
          <w:color w:val="auto"/>
        </w:rPr>
      </w:pPr>
      <w:r>
        <w:rPr>
          <w:rFonts w:ascii="Times New Roman" w:cs="Times New Roman" w:eastAsia="Times New Roman" w:hAnsi="Times New Roman"/>
          <w:sz w:val="18"/>
          <w:szCs w:val="18"/>
          <w:b w:val="1"/>
          <w:bCs w:val="1"/>
          <w:color w:val="auto"/>
        </w:rPr>
        <w:t>WESTLAKE CHEMICAL PARTNERS LP COMBINED AND CONSOLIDATED STATEMENTS OF CASH FLOWS (Unaudited)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8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59"/>
        </w:trPr>
        <w:tc>
          <w:tcPr>
            <w:tcW w:w="8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i w:val="1"/>
                <w:iCs w:val="1"/>
                <w:color w:val="auto"/>
              </w:rPr>
              <w:t>Predecessor</w:t>
            </w:r>
          </w:p>
        </w:tc>
      </w:tr>
      <w:tr>
        <w:trPr>
          <w:trHeight w:val="397"/>
        </w:trPr>
        <w:tc>
          <w:tcPr>
            <w:tcW w:w="8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(in thousands of dollars)</w:t>
            </w:r>
          </w:p>
        </w:tc>
      </w:tr>
      <w:tr>
        <w:trPr>
          <w:trHeight w:val="255"/>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175,632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297,718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39,282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disposition of fixed assets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6,813</w:t>
            </w: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equity method investment, net of dividends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receivable—third parties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9,258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accounts receivable—Westlake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18,996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w:t>
            </w: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w:t>
            </w: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7,499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229,899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378,921</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(106,191)</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Settlements of derivative instruments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(106,481)</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debt payable to Westlake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188,695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104,173</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debt payable to Westlake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Quarterly distributions to noncontrolling interest retained in OpCo by Westlake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distributions to unitholders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distributions to Westlake prior to initial public offering</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(376,613)</w:t>
            </w:r>
          </w:p>
        </w:tc>
      </w:tr>
      <w:tr>
        <w:trPr>
          <w:trHeight w:val="237"/>
        </w:trPr>
        <w:tc>
          <w:tcPr>
            <w:tcW w:w="8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(272,440)</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133,750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137,291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combined and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460" w:firstLine="8"/>
        <w:spacing w:after="0" w:line="346"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Westlake Chemical Partners LP (the "Partnership") is a Delaware limited partnership formed in March 2014 to operate, acquire and develop facilities and related assets for the processing of natural gas liquids. On August 4, 2014, the Partnership completed its initial public offering (the "IPO") of 12,937,500 common units representing limited partner interests. In connection with the IPO, the Partnership acquired a 10.6% interest in Westlake Chemical OpCo LP ("OpCo") and a 100% interest in Westlake Chemical OpCo GP LLC ("OpCo GP"), which is the general partner of OpCo. On April 29, 2015, the Partnership purchased an additional 2.7% newly-issued limited partner interest in OpCo for approximately $135,341, resulting in an aggregate 13.3% limited partner interest in OpCo effective April 1, 2015. OpCo owns three natural gas liquids processing facilities and a common carrier ethylene pipeline.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80" w:firstLine="392"/>
        <w:spacing w:after="0" w:line="255" w:lineRule="auto"/>
        <w:rPr>
          <w:sz w:val="20"/>
          <w:szCs w:val="20"/>
          <w:color w:val="auto"/>
        </w:rPr>
      </w:pPr>
      <w:r>
        <w:rPr>
          <w:rFonts w:ascii="Times New Roman" w:cs="Times New Roman" w:eastAsia="Times New Roman" w:hAnsi="Times New Roman"/>
          <w:sz w:val="18"/>
          <w:szCs w:val="18"/>
          <w:color w:val="auto"/>
        </w:rPr>
        <w:t>The accompanying unaudited combined and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combined and consolidated financial statements should be read in conjunction with the December 31, 2014 combined and consolidated financial statements and notes thereto of the Partnership included in the annual report on Form 10-K for the fiscal year ended December 31, 2014 (the "2014 Form 10-K"), filed with the SEC on March 9, 2015. These financial statements have been prepared in conformity with the accounting principles and practices as disclosed in the notes to the combined and consolidated financial statements of the Partnership for the fiscal year ended December 31, 2014.</w:t>
      </w:r>
    </w:p>
    <w:p>
      <w:pPr>
        <w:spacing w:after="0" w:line="13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references in this report to the "Predecessor" refer to Westlake Chemical Partners LP Predecessor, the Partnership's predecessor for accounting purposes and refer to the time periods prior to the IPO. References in this report to the Partnership used in the present tense or prospectively refer to Westlake Chemical Partners LP and refer to the periods subsequent to the IPO. References to "Westlake" refer collectively to Westlake Chemical Corporation and its subsidiaries, other than the Partnership, OpCo and OpCo GP.</w:t>
      </w:r>
    </w:p>
    <w:p>
      <w:pPr>
        <w:spacing w:after="0" w:line="126" w:lineRule="exact"/>
        <w:rPr>
          <w:sz w:val="20"/>
          <w:szCs w:val="20"/>
          <w:color w:val="auto"/>
        </w:rPr>
      </w:pPr>
    </w:p>
    <w:p>
      <w:pPr>
        <w:ind w:right="80" w:firstLine="392"/>
        <w:spacing w:after="0" w:line="255" w:lineRule="auto"/>
        <w:rPr>
          <w:sz w:val="20"/>
          <w:szCs w:val="20"/>
          <w:color w:val="auto"/>
        </w:rPr>
      </w:pPr>
      <w:r>
        <w:rPr>
          <w:rFonts w:ascii="Times New Roman" w:cs="Times New Roman" w:eastAsia="Times New Roman" w:hAnsi="Times New Roman"/>
          <w:sz w:val="18"/>
          <w:szCs w:val="18"/>
          <w:color w:val="auto"/>
        </w:rPr>
        <w:t>The Partnership holds a 13.3% limited partner interest and the entire non-economic general partner interest in OpCo. The remaining 86.7% limited partner interest in OpCo is owned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86.7% is recorded as noncontrolling interest in the Partnership's consolidated financial statements.</w:t>
      </w:r>
    </w:p>
    <w:p>
      <w:pPr>
        <w:spacing w:after="0" w:line="13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Financial information presented for the periods prior to the IPO on August 4, 2014 consists of the Predecessor's combined results of operations, changes in equity and cash flows. Financial information of the Predecessor is derived from the financial statements and accounting records of Westlake. Subsequent to the IPO, the Partnership's financial position, results of operations, changes in equity and cash flows consist of the consolidated activities and balances of the Partnership. The Partnership's consolidated financial statements include the accounts of the Partnership and its consolidated subsidiary, OpCo.</w:t>
      </w:r>
    </w:p>
    <w:p>
      <w:pPr>
        <w:spacing w:after="0" w:line="12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the opinion of the Partnership's management, the accompanying unaudited combined and consolidated financial statements reflect all adjustments (consisting only of normal recurring adjustments) that are necessary for a fair statement of the Predecessor's combined financial statements for the three and six months ended June 30, 2014 and the Partnership's consolidated financial statements as of June 30, 2015 and December 31, 2014, and for the three and six months ended June 30, 2015.</w:t>
      </w:r>
    </w:p>
    <w:p>
      <w:pPr>
        <w:spacing w:after="0" w:line="126"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2015 or any other period. The preparation of financial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39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9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an accounting standards update on a comprehensive new revenue recognition standard that will supersede the existing revenue recognition guidance. The new accounting guidance creates a framework by which an entity will allocate the transaction price to separate performance obligations and recognize revenue when each performance obligation is satisfied. Under the new standard, entities will be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either "full retrospective" adoption, meaning that the standard is applied to all of the periods presented with a cumulative catch-up as of the earliest period presented, or "modified retrospective" adoption, meaning the standard is applied only to the most current period presented in the financial statements with a cumulative catch-up as of the current period. In July 2015, the FASB deferred the effective date for the revenue recognition standard. The accounting standard will now be effective for reporting periods beginning after December 15, 2017. The Partnership is in the process of evaluating the impact that the new accounting guidance will have on its consolidated financial position, results of operations and cash flows.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Simplifying Income Statement Presentation by Eliminating the Concept of Extraordinary Items</w:t>
      </w:r>
    </w:p>
    <w:p>
      <w:pPr>
        <w:spacing w:after="0" w:line="9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 January 2015, the FASB issued an accounting standards update to simplify income statement classification by removing the concept of extraordinary items from U.S. GAAP. Under the new standard, an unusual and infrequent event or transaction is no longer allowed to be separately disclosed as "extraordinary." The standard retains the existing requirement to separately present items that are of an unusual nature or occur infrequently on a pre-tax basis within income from continuing operations. The new guidance also requires similar separate presentation of items that are both unusual and infrequent on a pre-tax basis within income from continuing operations. The standard allows for either prospective or retrospective application. If adopted prospectively, both the nature and amount of any subsequent adjustments to previously reported extraordinary items must be disclosed. The accounting standard will be effective for reporting periods beginning after December 15, 2015 and is not expected to have an impact on the Partnership's consolidated financial position, results of operations and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 to the Consolidation Analysis</w:t>
      </w:r>
    </w:p>
    <w:p>
      <w:pPr>
        <w:spacing w:after="0" w:line="92"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In February 2015, the FASB issued an accounting standards update making certain changes to the current consolidation guidance. The amendments affect both the variable interest entity and voting interest entity consolidation models. The new standard changes the consideration of substantive rights, related party interests and fees paid to the decision maker when applying the variable interest entity consolidation model and eliminate certain guidance for limited partnerships and similar entities under the voting interest consolidation model. The accounting standard will be effective for reporting periods beginning after December 15, 2015 and is not expected to have an impact on the Partnership's consolidated financial position, results of operations and cash flows.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on Historical Earnings per Unit of Master Limited Partnership Dropdown Transactions</w:t>
      </w:r>
    </w:p>
    <w:p>
      <w:pPr>
        <w:spacing w:after="0" w:line="92" w:lineRule="exact"/>
        <w:rPr>
          <w:sz w:val="20"/>
          <w:szCs w:val="20"/>
          <w:color w:val="auto"/>
        </w:rPr>
      </w:pPr>
    </w:p>
    <w:p>
      <w:pPr>
        <w:jc w:val="both"/>
        <w:ind w:right="140" w:firstLine="405"/>
        <w:spacing w:after="0" w:line="261" w:lineRule="auto"/>
        <w:rPr>
          <w:sz w:val="20"/>
          <w:szCs w:val="20"/>
          <w:color w:val="auto"/>
        </w:rPr>
      </w:pPr>
      <w:r>
        <w:rPr>
          <w:rFonts w:ascii="Times New Roman" w:cs="Times New Roman" w:eastAsia="Times New Roman" w:hAnsi="Times New Roman"/>
          <w:sz w:val="18"/>
          <w:szCs w:val="18"/>
          <w:color w:val="auto"/>
        </w:rPr>
        <w:t>In April 2015, the FASB issued an accounting standard update requiring that the earnings of transferred net assets from a general partner prior to the dropdown date of the net assets to a master limited partnership be allocated entirely to the general partner when calculating earnings per unit under the two class method. As a result, previously reported earnings per unit of the limited partners will not change as a result of a dropdown transaction. The accounting standard will be effective for reporting periods and interim periods within those reporting periods beginning after December 15, 2015.</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73" w:lineRule="exact"/>
        <w:rPr>
          <w:sz w:val="20"/>
          <w:szCs w:val="20"/>
          <w:color w:val="auto"/>
        </w:rPr>
      </w:pPr>
    </w:p>
    <w:p>
      <w:pPr>
        <w:ind w:right="9520" w:firstLine="8"/>
        <w:spacing w:after="0" w:line="346"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w:t>
      </w:r>
      <w:r>
        <w:rPr>
          <w:rFonts w:ascii="Times New Roman" w:cs="Times New Roman" w:eastAsia="Times New Roman" w:hAnsi="Times New Roman"/>
          <w:sz w:val="18"/>
          <w:szCs w:val="18"/>
          <w:b w:val="1"/>
          <w:bCs w:val="1"/>
          <w:i w:val="1"/>
          <w:iCs w:val="1"/>
          <w:color w:val="auto"/>
        </w:rPr>
        <w:t>Cash Equivalents</w:t>
      </w:r>
    </w:p>
    <w:p>
      <w:pPr>
        <w:spacing w:after="0" w:line="1" w:lineRule="exact"/>
        <w:rPr>
          <w:sz w:val="20"/>
          <w:szCs w:val="20"/>
          <w:color w:val="auto"/>
        </w:rPr>
      </w:pPr>
    </w:p>
    <w:p>
      <w:pPr>
        <w:ind w:right="480" w:firstLine="405"/>
        <w:spacing w:after="0" w:line="266" w:lineRule="auto"/>
        <w:rPr>
          <w:sz w:val="20"/>
          <w:szCs w:val="20"/>
          <w:color w:val="auto"/>
        </w:rPr>
      </w:pPr>
      <w:r>
        <w:rPr>
          <w:rFonts w:ascii="Times New Roman" w:cs="Times New Roman" w:eastAsia="Times New Roman" w:hAnsi="Times New Roman"/>
          <w:sz w:val="18"/>
          <w:szCs w:val="18"/>
          <w:color w:val="auto"/>
        </w:rPr>
        <w:t>The Partnership had $75,029 and $40,003 of held-to-maturity securities with original maturities of three months or less, primarily consisting of corporate debt securities, classified as cash equivalents at June 30, 2015 and December 31, 2014, respectively. The Partnership's investments in held-to-maturity securities are held at amortized cost, which approximates fair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Receivable—Third Parties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Accounts receivable—third parties consist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customers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22,245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37,514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22,075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37,514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net—third parties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22,075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37,520</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3,596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6,257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Feedstock, additives and chemicals</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6,634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p>
      <w:pPr>
        <w:spacing w:after="0" w:line="94"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As of June 30, 2015, the Partnership had property, plant and equipment, net totaling $914,270. The Partnership assesses these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and uncertainties associated with governmental actions. Long-lived assets assessed for impairment are grouped at the lowest level for which identifiable cash flows are largely independent of the cash flows of other assets and liabilities.</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Depreciation expense on property, plant and equipment of $16,182 and $15,720 is included in cost of sales in the combined and consolidated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operations for the three months ended June 30, 2015 and 2014, respectively. Depreciation expense on property, plant and equipment of $31,775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$30,204 is included in cost of sales in the combined and consolidated statements of operations for the six months ended June 30, 2015 and 2014,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Assets</w:t>
      </w:r>
    </w:p>
    <w:p>
      <w:pPr>
        <w:spacing w:after="0" w:line="94"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Amortization expense on other assets of $4,210 and $4,548 is included in the combined and consolidated statements of operations for the three months ended June 30, 2015 and 2014, respectively. Amortization expense on other assets of $8,420 and $9,078 is included in the combined and consolidated statements of operations for the six months ended June 30, 2015 and 2014,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Net Income Per Limited Partner Unit</w:t>
      </w:r>
    </w:p>
    <w:p>
      <w:pPr>
        <w:spacing w:after="0" w:line="94"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Net income per unit applicable to common limited partner units and to subordinated limited partner units is computed by dividing the respective limited partners' interest in net income for the period by the weighted-average number of common units and subordinated units outstanding for the period. Because the Partnership has more than one class of participating securities, it uses the two-class method when calculating the net income per unit applicable to limited partners. The classes of participating</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31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securities include common units, subordinated units and incentive distribution rights. Basic and diluted net income per unit are the same because the Partnership does not have any potentially dilutive units outstanding for the periods presented.</w:t>
      </w:r>
    </w:p>
    <w:p>
      <w:pPr>
        <w:spacing w:after="0" w:line="108" w:lineRule="exact"/>
        <w:rPr>
          <w:sz w:val="20"/>
          <w:szCs w:val="20"/>
          <w:color w:val="auto"/>
        </w:rPr>
      </w:pPr>
    </w:p>
    <w:p>
      <w:pPr>
        <w:ind w:right="60" w:firstLine="392"/>
        <w:spacing w:after="0" w:line="266" w:lineRule="auto"/>
        <w:rPr>
          <w:sz w:val="20"/>
          <w:szCs w:val="20"/>
          <w:color w:val="auto"/>
        </w:rPr>
      </w:pPr>
      <w:r>
        <w:rPr>
          <w:rFonts w:ascii="Times New Roman" w:cs="Times New Roman" w:eastAsia="Times New Roman" w:hAnsi="Times New Roman"/>
          <w:sz w:val="18"/>
          <w:szCs w:val="18"/>
          <w:color w:val="auto"/>
        </w:rPr>
        <w:t>On July 29, 2015, the board of directors of Westlake Chemical Partners GP LLC ("Westlake GP"), the Partnership's general partner, declared a quarterly cash distribution for the period from April 1, 2015 through June 30, 2015 of $0.2910 per unit, or $7,874 in total. This distribution is payable on August 27, 2015 to unitholders of record as of August 13, 2015.</w:t>
      </w:r>
    </w:p>
    <w:p>
      <w:pPr>
        <w:spacing w:after="0" w:line="122" w:lineRule="exact"/>
        <w:rPr>
          <w:sz w:val="20"/>
          <w:szCs w:val="20"/>
          <w:color w:val="auto"/>
        </w:rPr>
      </w:pPr>
    </w:p>
    <w:p>
      <w:pPr>
        <w:ind w:right="180" w:firstLine="392"/>
        <w:spacing w:after="0" w:line="282" w:lineRule="auto"/>
        <w:rPr>
          <w:sz w:val="20"/>
          <w:szCs w:val="20"/>
          <w:color w:val="auto"/>
        </w:rPr>
      </w:pPr>
      <w:r>
        <w:rPr>
          <w:rFonts w:ascii="Times New Roman" w:cs="Times New Roman" w:eastAsia="Times New Roman" w:hAnsi="Times New Roman"/>
          <w:sz w:val="18"/>
          <w:szCs w:val="18"/>
          <w:color w:val="auto"/>
        </w:rPr>
        <w:t>On April 29, 2015, the board of directors of Westlake GP declared a quarterly cash distribution for the period from January 1, 2015 through March 31, 2015 of $0.2829 per unit, or $7,655 in total. This distribution was paid on May 27, 2015 to unitholders of record as of May 12, 2015.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3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60" w:type="dxa"/>
            <w:vAlign w:val="bottom"/>
          </w:tcPr>
          <w:p>
            <w:pPr>
              <w:spacing w:after="0"/>
              <w:rPr>
                <w:sz w:val="16"/>
                <w:szCs w:val="16"/>
                <w:color w:val="auto"/>
              </w:rPr>
            </w:pPr>
          </w:p>
        </w:tc>
        <w:tc>
          <w:tcPr>
            <w:tcW w:w="13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18,943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Limited partners' distribution declared on common units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8,248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Limited partners' distribution declared on subordinated units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7,281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3,414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June 30, 2015</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5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160" w:type="dxa"/>
            <w:vAlign w:val="bottom"/>
          </w:tcPr>
          <w:p>
            <w:pPr>
              <w:spacing w:after="0"/>
              <w:rPr>
                <w:sz w:val="12"/>
                <w:szCs w:val="12"/>
                <w:color w:val="auto"/>
              </w:rPr>
            </w:pPr>
          </w:p>
        </w:tc>
        <w:tc>
          <w:tcPr>
            <w:tcW w:w="132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Subordinated Units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 declared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4,183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5,548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4,895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10,443</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14,373,615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12,686,115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27,059,730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 2015</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Limited Partners'</w:t>
            </w:r>
          </w:p>
        </w:tc>
        <w:tc>
          <w:tcPr>
            <w:tcW w:w="15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Distribution</w:t>
            </w:r>
          </w:p>
        </w:tc>
        <w:tc>
          <w:tcPr>
            <w:tcW w:w="160" w:type="dxa"/>
            <w:vAlign w:val="bottom"/>
          </w:tcPr>
          <w:p>
            <w:pPr>
              <w:spacing w:after="0"/>
              <w:rPr>
                <w:sz w:val="12"/>
                <w:szCs w:val="12"/>
                <w:color w:val="auto"/>
              </w:rPr>
            </w:pPr>
          </w:p>
        </w:tc>
        <w:tc>
          <w:tcPr>
            <w:tcW w:w="132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Subordinated Units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 declared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8,248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7,281</w:t>
            </w:r>
          </w:p>
        </w:tc>
        <w:tc>
          <w:tcPr>
            <w:tcW w:w="10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15,529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3,414</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10,064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8,879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18,943</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14,373,615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12,686,115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27,059,730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0.70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Partnership and OpCo regularly enter into related party transactions with Westlake. See below for a description of transactions with related parties.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Related Parties</w:t>
      </w:r>
    </w:p>
    <w:p>
      <w:pPr>
        <w:spacing w:after="0" w:line="94"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OpCo sells ethylene to Westlake under the Ethylene Sales Agreement. Additionally, each of the Partnership and OpCo from time to time provide other services or products for which it charges Westlake a fee. Prior to the IPO, the Predecessor sold the majority of its ethylene to Westlake for use in Westlake's downstream operations.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Sales to related parties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6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i w:val="1"/>
                <w:iCs w:val="1"/>
                <w:color w:val="auto"/>
              </w:rPr>
              <w:t>Predecessor</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i w:val="1"/>
                <w:iCs w:val="1"/>
                <w:color w:val="auto"/>
              </w:rPr>
              <w:t>Predecessor</w:t>
            </w:r>
          </w:p>
        </w:tc>
      </w:tr>
      <w:tr>
        <w:trPr>
          <w:trHeight w:val="248"/>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sales—Westlake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204,669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415,033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413,582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798,960</w:t>
            </w: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from Related Parties</w:t>
      </w:r>
    </w:p>
    <w:p>
      <w:pPr>
        <w:spacing w:after="0" w:line="94"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 Prior to the IPO, services provided by Westlake and included in cost of sales related primarily to services provided by employees of Westlake Management Services, Inc., a subsidiary of Westlake. The cost of services provided by employees of Westlake Management Services, Inc. was allocated to the Predecessor's operations primarily on the basis of direct usage.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 cost of sales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6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Predecessor</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i w:val="1"/>
                <w:iCs w:val="1"/>
                <w:color w:val="auto"/>
              </w:rPr>
              <w:t>Predecessor</w:t>
            </w:r>
          </w:p>
        </w:tc>
      </w:tr>
      <w:tr>
        <w:trPr>
          <w:trHeight w:val="230"/>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Feedstock purchased from Westlake and included in cost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1"/>
        </w:trPr>
        <w:tc>
          <w:tcPr>
            <w:tcW w:w="5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76,013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156,832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charges from Westlake and included in cost of</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4"/>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w:t>
            </w:r>
          </w:p>
        </w:tc>
        <w:tc>
          <w:tcPr>
            <w:tcW w:w="36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19,595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16,534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33,491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33,122</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95,608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16,534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190,323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33,122</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from Related Parties Included in Selling, General and Administrative Expenses</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 Prior to the IPO, the Predecessor was allocated costs incurred by Westlake on its behalf for similar functions. These allocations were based primarily on the basis of direct usage when identifiable, with the remainder allocated on the basis of fixed assets, headcount or other measure. Management believes the allocation of expenses incurred by Westlake on the Predecessor's behalf are reasonable and reflect all costs related to the operations of the Predecessor. Nevertheless, the financial information of the Predecessor may not have included all of the expenses that would have been incurred had the Predecessor been a stand-alone company during the periods prior to the IPO.</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included within selling, general and administrative expenses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6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i w:val="1"/>
                <w:iCs w:val="1"/>
                <w:color w:val="auto"/>
              </w:rPr>
              <w:t>Predecessor</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i w:val="1"/>
                <w:iCs w:val="1"/>
                <w:color w:val="auto"/>
              </w:rPr>
              <w:t>Predecessor</w:t>
            </w:r>
          </w:p>
        </w:tc>
      </w:tr>
      <w:tr>
        <w:trPr>
          <w:trHeight w:val="230"/>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Services received from Westlake and included in selling,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4,971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10,119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11,618</w:t>
            </w: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from Related Parties Capitalized as Assets</w:t>
      </w:r>
    </w:p>
    <w:p>
      <w:pPr>
        <w:spacing w:after="0" w:line="94"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Charges for goods and services purchased by the Partnership and OpCo from Westlake which were capitalized as assets relate primarily to the services of Westlake employees under the Services and Secondment Agreement. Prior to the IPO, salaries and benefits of Westlake Management Services, Inc. were allocated to the Predecessor primarily on the basis of direct usage.</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Charges from related parties for goods and services capitalized as assets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20"/>
                <w:szCs w:val="20"/>
                <w:color w:val="auto"/>
              </w:rPr>
            </w:pPr>
          </w:p>
        </w:tc>
        <w:tc>
          <w:tcPr>
            <w:tcW w:w="270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6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i w:val="1"/>
                <w:iCs w:val="1"/>
                <w:color w:val="auto"/>
              </w:rPr>
              <w:t>Predecessor</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i w:val="1"/>
                <w:iCs w:val="1"/>
                <w:color w:val="auto"/>
              </w:rPr>
              <w:t>Predecessor</w:t>
            </w:r>
          </w:p>
        </w:tc>
      </w:tr>
      <w:tr>
        <w:trPr>
          <w:trHeight w:val="230"/>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Goods and services purchased from Westlake and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capitalized as assets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3,075</w:t>
            </w: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from and Accounts Payable to Related Parties</w:t>
      </w:r>
    </w:p>
    <w:p>
      <w:pPr>
        <w:spacing w:after="0" w:line="9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Partnership's accounts receivable from Westlake result primarily from ethylene sales to Westlake under the Ethylene Sales Agreement. The Partnership's accounts payable to Westlake result primarily from feedstock purchases under the Feedstock Supply Agreement and services provided under the Services and Secondment Agreement and the Omnibus Agreement.</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related party accounts receivable and accounts payable balances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net—Westlake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35,882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18,529</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payable—Westlake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Payable to Related Parties</w:t>
      </w:r>
    </w:p>
    <w:p>
      <w:pPr>
        <w:spacing w:after="0" w:line="9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OpCo assumed promissory notes payable to Westlake and entered into a senior unsecured revolving credit facility with Westlake in connection with the IPO. Prior to the IPO, the Predecessor funded certain capital expenditures through promissory notes payable to Westlake, a portion of which were assumed by the Partnership in connection with the IPO. See Note 9 for description of related party debt payable balances. Interest on related party debt payable balances for the three months ended June 30, 2015 and 2014 were $1,364 and $4,105, respectively, and for the six months ended June 30, 2015 and 2014 were $2,740 and $7,696, respectively, and are reflected as a component of other income (expense) in the combined and consolidated statement of operations. Interest capitalized as a component of property, plant and equipment on related party debt was $895 for the three months ended June 30, 2015 and $2,110 for the six months ended June 30, 2015. At June 30, 2015 and December 31, 2014, accrued interest on related party debt was $2,260 and $2,403, respectively, and is reflected as a component of accrued liabilities in the consolidated balance sheet.</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Debt payable to related parties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6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2"/>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payable to Westlake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280,992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227,638</w:t>
            </w:r>
          </w:p>
        </w:tc>
      </w:tr>
      <w:tr>
        <w:trPr>
          <w:trHeight w:val="27"/>
        </w:trPr>
        <w:tc>
          <w:tcPr>
            <w:tcW w:w="8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94" w:lineRule="exact"/>
        <w:rPr>
          <w:sz w:val="20"/>
          <w:szCs w:val="20"/>
          <w:color w:val="auto"/>
        </w:rPr>
      </w:pPr>
    </w:p>
    <w:p>
      <w:pPr>
        <w:ind w:right="420" w:firstLine="405"/>
        <w:spacing w:after="0" w:line="261" w:lineRule="auto"/>
        <w:rPr>
          <w:sz w:val="20"/>
          <w:szCs w:val="20"/>
          <w:color w:val="auto"/>
        </w:rPr>
      </w:pPr>
      <w:r>
        <w:rPr>
          <w:rFonts w:ascii="Times New Roman" w:cs="Times New Roman" w:eastAsia="Times New Roman" w:hAnsi="Times New Roman"/>
          <w:sz w:val="18"/>
          <w:szCs w:val="18"/>
          <w:color w:val="auto"/>
        </w:rPr>
        <w:t>OpCo, together with other subsidiaries of Westlake not included in these combined and consolidated financial statements, is a guarantor under Westlake's revolving credit facility and the indentures governing its senior notes. As of June 30, 2015 and December 31, 2014, Westlake had outstanding letters of credit totaling $29,670 and $31,392 under its revolving credit facility and $754,000 and $754,000 outstanding under its senior notes (less the unamortized discount of $833 and $921), respectively.</w:t>
      </w:r>
    </w:p>
    <w:p>
      <w:pPr>
        <w:spacing w:after="0" w:line="126"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The indentures governing Westlake's senior notes prevent OpCo from making distributions to the Partnership if any default or event of default (as defined in the indentures) exists. However, Westlake's credit facility does not prevent OpCo from making distributions to the Partnership.</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396" w:lineRule="exact"/>
        <w:rPr>
          <w:sz w:val="20"/>
          <w:szCs w:val="20"/>
          <w:color w:val="auto"/>
        </w:rPr>
      </w:pPr>
    </w:p>
    <w:p>
      <w:pPr>
        <w:ind w:right="260" w:firstLine="392"/>
        <w:spacing w:after="0" w:line="282" w:lineRule="auto"/>
        <w:rPr>
          <w:sz w:val="20"/>
          <w:szCs w:val="20"/>
          <w:color w:val="auto"/>
        </w:rPr>
      </w:pPr>
      <w:r>
        <w:rPr>
          <w:rFonts w:ascii="Times New Roman" w:cs="Times New Roman" w:eastAsia="Times New Roman" w:hAnsi="Times New Roman"/>
          <w:sz w:val="18"/>
          <w:szCs w:val="18"/>
          <w:color w:val="auto"/>
        </w:rPr>
        <w:t>OpCo has entered into two site lease agreements with Westlake in connection with the IPO, and each has a term of 50 years. Pursuant to the site lease agreements, OpCo pays Westlake one dollar per site per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payable to Westlake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2013 Promissory Notes (variable interest rate of prime plus 1.5%, original</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1"/>
        </w:trPr>
        <w:tc>
          <w:tcPr>
            <w:tcW w:w="8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scheduled maturity of August 1, 2023)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31,775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167,116</w:t>
            </w:r>
          </w:p>
        </w:tc>
      </w:tr>
      <w:tr>
        <w:trPr>
          <w:trHeight w:val="225"/>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OpCo Revolver (variable interest rate of LIBOR plus 3.0%, original scheduled maturity of</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4"/>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4, 2019)</w:t>
            </w:r>
          </w:p>
        </w:tc>
        <w:tc>
          <w:tcPr>
            <w:tcW w:w="300" w:type="dxa"/>
            <w:vAlign w:val="bottom"/>
          </w:tcPr>
          <w:p>
            <w:pPr>
              <w:spacing w:after="0"/>
              <w:rPr>
                <w:sz w:val="20"/>
                <w:szCs w:val="20"/>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113,876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60,522</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5"/>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MLP Revolver (variable interest rate of LIBOR plus 2.0%, original scheduled maturity of</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61"/>
        </w:trPr>
        <w:tc>
          <w:tcPr>
            <w:tcW w:w="8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April 29, 2018)</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135,341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280,992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227,638</w:t>
            </w:r>
          </w:p>
        </w:tc>
      </w:tr>
      <w:tr>
        <w:trPr>
          <w:trHeight w:val="27"/>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 2013, three intercompany promissory notes were issued for capital expenditures incurred by Westlake on behalf of the Predecessor's operations (together, the "August 2013 Promissory Notes"). In connection with the IPO, OpCo assumed a portion of the August 2013 Promissory Notes. Proceeds drawn under the August 2013 Promissory Notes during the six months ended June 30, 2014 were used to fund capital expenditures at the Predecessor's ethylene plants.</w:t>
      </w:r>
    </w:p>
    <w:p>
      <w:pPr>
        <w:spacing w:after="0" w:line="126"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IPO on August 4, 2014, OpCo entered into a $600,000 senior unsecured revolving credit facility agreement with Westlake (the "OpCo Revolver"). The OpCo Revolver accrues interest quarterly at a rate of LIBOR plus 3.0%, which may be paid-in-kind as an addition to the principal at OpCo's option. Proceeds drawn under the OpCo Revolver during the six months ended June 30, 2015 were used to fund capital expenditures at the Partnership's ethylene plants.</w:t>
      </w:r>
    </w:p>
    <w:p>
      <w:pPr>
        <w:spacing w:after="0" w:line="126"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On April 29, 2015, the Partnership entered into a $300,000 revolving credit facility (the "MLP Revolver") agreement with Westlake (the "MLP Revolver") to fund the Partnership's purchase of an additional 2.7% newly-issued, limited partner interest in OpCo for $135,341. Borrowings under the MLP Revolver bear interest at LIBOR plus a spread ranging from 2.0% to 3.0% (depending on our consolidated leverage ratio), payable quarterly. The MLP Revolver provides that the Partnership may pay all or a portion of the interest on any borrowings in kind, in which case any such amounts would be added to the principal amount of the loan. The MLP Revolver requires that the Partnership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w:t>
      </w:r>
    </w:p>
    <w:p>
      <w:pPr>
        <w:spacing w:after="0" w:line="131"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As of June 30, 2015, the Partnership was in compliance with all of the covenants under the August 2013 Promissory Notes, the OpCo Revolver and the MLP Revolver.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94"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71"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There were no assets or liabilities accounted for at fair value on a recurring basis as of June 30, 2015 and December 31, 2014. There were no transfers in or out of Levels 1 and 2 of the fair value hierarchy for the six months ended June 30, 2015 and 2014.</w:t>
      </w:r>
    </w:p>
    <w:p>
      <w:pPr>
        <w:spacing w:after="0" w:line="108"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The Partnership has other financial assets and liabilities subject to fair value measures. These financial assets and liabilities include accounts receivable, net, accounts payable and long-term debt payable to Westlake, all of which are recorded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39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 carrying value. The amounts reported in the consolidated balance sheets for accounts receivable, net and accounts payable approximate their fair value due to the short maturities of these instruments. The carrying and fair values of the Partnership's long-term debt at June 30, 2015 and December 31, 2014 are summarized in the table below. The Partnership's long-term debt includes the August 2013 Promissory Notes, the OpCo Revolver and the MLP Revolver.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920" w:type="dxa"/>
            <w:vAlign w:val="bottom"/>
            <w:tcBorders>
              <w:bottom w:val="single" w:sz="8" w:color="auto"/>
            </w:tcBorders>
          </w:tcPr>
          <w:p>
            <w:pPr>
              <w:spacing w:after="0"/>
              <w:rPr>
                <w:sz w:val="16"/>
                <w:szCs w:val="16"/>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6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60" w:type="dxa"/>
            <w:vAlign w:val="bottom"/>
          </w:tcPr>
          <w:p>
            <w:pPr>
              <w:spacing w:after="0"/>
              <w:rPr>
                <w:sz w:val="12"/>
                <w:szCs w:val="12"/>
                <w:color w:val="auto"/>
              </w:rPr>
            </w:pPr>
          </w:p>
        </w:tc>
        <w:tc>
          <w:tcPr>
            <w:tcW w:w="920" w:type="dxa"/>
            <w:vAlign w:val="bottom"/>
          </w:tcPr>
          <w:p>
            <w:pPr>
              <w:jc w:val="right"/>
              <w:ind w:right="517"/>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60" w:type="dxa"/>
            <w:vAlign w:val="bottom"/>
          </w:tcPr>
          <w:p>
            <w:pPr>
              <w:spacing w:after="0"/>
              <w:rPr>
                <w:sz w:val="16"/>
                <w:szCs w:val="16"/>
                <w:color w:val="auto"/>
              </w:rPr>
            </w:pPr>
          </w:p>
        </w:tc>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60" w:type="dxa"/>
            <w:vAlign w:val="bottom"/>
          </w:tcPr>
          <w:p>
            <w:pPr>
              <w:spacing w:after="0"/>
              <w:rPr>
                <w:sz w:val="16"/>
                <w:szCs w:val="16"/>
                <w:color w:val="auto"/>
              </w:rPr>
            </w:pPr>
          </w:p>
        </w:tc>
        <w:tc>
          <w:tcPr>
            <w:tcW w:w="9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2013 Promissory Notes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31,775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31,775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167,116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167,116</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OpCo Revolver</w:t>
            </w:r>
          </w:p>
        </w:tc>
        <w:tc>
          <w:tcPr>
            <w:tcW w:w="2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113,876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128,769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60,522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60,522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MLP Revolver</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135,341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135,341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94"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 The Predecessor's operating results were included in Westlake's consolidated U.S. federal and state income tax returns. Amounts presented in the combined financial statements prior to the IPO relate to income taxes that have been determined on a separate tax return basis, and the Predecessor's contribution to Westlake Chemical Corporation's net operating losses and tax credits have been included in the Predecessor's financial statements.</w:t>
      </w:r>
    </w:p>
    <w:p>
      <w:pPr>
        <w:spacing w:after="0" w:line="13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effective income tax rates were 0.0% and 0.2% for the three and six months ended June 30, 2015, respectively. The effective income tax rates for the three and six months ended June 30, 2015 are not comparable to the effective income tax rate for the prior-year comparative periods as the Partnership is not subject to federal income taxes subsequent to the IPO. The effective income tax rates of the Predecessor were 35.3% and 35.3% for the three and six months ended June 30, 2014, respectively. The effective income tax rates for the three and six months ended June 30, 2014 were above the U.S. federal statutory rate of 35.0% primarily due to state income taxes, mostly offset by the domestic manufacturing deduction and state income tax credits.</w:t>
      </w:r>
    </w:p>
    <w:p>
      <w:pPr>
        <w:spacing w:after="0" w:line="207" w:lineRule="exact"/>
        <w:rPr>
          <w:sz w:val="20"/>
          <w:szCs w:val="20"/>
          <w:color w:val="auto"/>
        </w:rPr>
      </w:pPr>
    </w:p>
    <w:p>
      <w:pPr>
        <w:ind w:right="9100" w:firstLine="8"/>
        <w:spacing w:after="0" w:line="346"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Non-cash Operating Activity</w:t>
      </w:r>
    </w:p>
    <w:p>
      <w:pPr>
        <w:spacing w:after="0" w:line="1"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Predecessor settled $4,099 and $7,441 of its total interest expense incurred on long-term debt payable to Westlake as an addition to principal on debt outstanding for the three and six months ended June 30, 2014,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Activity</w:t>
      </w:r>
    </w:p>
    <w:p>
      <w:pPr>
        <w:spacing w:after="0" w:line="94"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change in capital expenditure accrual reducing additions to property, plant and equipment was $8,594 for the six months ended June 30, 2015. The change in capital expenditure accrual increasing additions to property, plant and equipment was $2,062 for the six months ended June 30, 2014.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Major Customer and Concentration of Credit Risk</w:t>
      </w:r>
    </w:p>
    <w:p>
      <w:pPr>
        <w:spacing w:after="0" w:line="94"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2015 and 2014, Westlake accounted for approximately 81.3% and 79.2%, respectively, of the Partnership's and the Predecessor's net sales. During the six months ended June 30, 2015 and 2014, Westlake accounted for approximately 81.1% and 73.7%, respectively, of the Partnership's and the Predecessor's net sales.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94"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Partnership is subject to environmental laws and regulations that can impose civil and criminal sanctions and that may require it to mitigate the effects of contamination caused by the release or disposal of hazardous substances into the environment. Because several of the Partnership's processing sites have a history of industrial use, it is impossible to predict precisely what effect these legal requirements will have on the Partnership. Westlake has agreed to indemnify the Partnership for liabilities that occurred or existed prior to August 4, 2014.</w:t>
      </w:r>
    </w:p>
    <w:p>
      <w:pPr>
        <w:spacing w:after="0" w:line="124" w:lineRule="exact"/>
        <w:rPr>
          <w:sz w:val="20"/>
          <w:szCs w:val="20"/>
          <w:color w:val="auto"/>
        </w:rPr>
      </w:pPr>
    </w:p>
    <w:p>
      <w:pPr>
        <w:ind w:right="8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Contract Disputes with Goodrich and PolyOne</w:t>
      </w:r>
      <w:r>
        <w:rPr>
          <w:rFonts w:ascii="Times New Roman" w:cs="Times New Roman" w:eastAsia="Times New Roman" w:hAnsi="Times New Roman"/>
          <w:sz w:val="18"/>
          <w:szCs w:val="18"/>
          <w:color w:val="auto"/>
        </w:rPr>
        <w:t>. In connection with the 1990 and 1997 acquisitions of the Goodrich Corporation ("Goodrich") chemical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facility in Calvert City, Kentucky, which is a portion of the B.F. Goodrich superfund site, Goodrich agreed to indemnify Westlake for any liabilities related to preexisting contamination at the site. Westlake agreed to indemnify Goodrich for post-closing contamination caused by Westlake's operations. The soil and groundwater at the site had been extensively contaminated under Goodrich's operations. In 1993, Goodrich spun off the predecessor of PolyOne Corporation ("PolyOne"), and that predecessor assumed Goodrich's indemnification obligations relating to preexisting contamination.</w:t>
      </w:r>
    </w:p>
    <w:p>
      <w:pPr>
        <w:spacing w:after="0" w:line="12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2003, litigation arose among Westlake, Goodrich and PolyOne with respect to the allocation of the cost of remediating contamination at the site. The parties settled this litigation in December 2007, and the case was dismissed. In the settlement the parties agreed that, among other things: (1) PolyOne would pay 100.0% of the costs (with specified exceptions), net of recoveries or credits from third parties, incurred with respect to environmental issues at the Calvert City site from August 1, 2007 forward; (2) either Westlake or PolyOne might, from time to time in the future (but not more than once every five years), institute an arbitration proceeding to adjust that percentage; and (3) Westlake and PolyOne would negotiate a new environmental remediation utilities and services and secondment agreement to cover Westlake's provision to or on behalf of PolyOne of certain environmental remediation services at the site. The current environmental remediation activities at the Calvert City site do not have a specified termination date but are expected to last for the foreseeable future. The costs incurred by Westlake that have been invoiced to PolyOne to provide the environmental remediation services were $2,805 in 2014. By letter dated March 16, 2010, PolyOne notified Westlake that it was initiating an arbitration proceeding under the settlement agreement. In this proceeding, PolyOne seeks to readjust the percentage allocation of costs and to recover approximately $1,400 from Westlake in reimbursement of previously paid remediation costs. The arbitration is currently stayed pending the outcome of discussions between other parties and their insurance carriers.</w:t>
      </w:r>
    </w:p>
    <w:p>
      <w:pPr>
        <w:spacing w:after="0" w:line="137" w:lineRule="exact"/>
        <w:rPr>
          <w:sz w:val="20"/>
          <w:szCs w:val="20"/>
          <w:color w:val="auto"/>
        </w:rPr>
      </w:pPr>
    </w:p>
    <w:p>
      <w:pPr>
        <w:ind w:right="100" w:firstLine="392"/>
        <w:spacing w:after="0" w:line="255" w:lineRule="auto"/>
        <w:rPr>
          <w:sz w:val="20"/>
          <w:szCs w:val="20"/>
          <w:color w:val="auto"/>
        </w:rPr>
      </w:pPr>
      <w:r>
        <w:rPr>
          <w:rFonts w:ascii="Times New Roman" w:cs="Times New Roman" w:eastAsia="Times New Roman" w:hAnsi="Times New Roman"/>
          <w:sz w:val="18"/>
          <w:szCs w:val="18"/>
          <w:i w:val="1"/>
          <w:iCs w:val="1"/>
          <w:color w:val="auto"/>
        </w:rPr>
        <w:t>State Administrative Proceedings</w:t>
      </w:r>
      <w:r>
        <w:rPr>
          <w:rFonts w:ascii="Times New Roman" w:cs="Times New Roman" w:eastAsia="Times New Roman" w:hAnsi="Times New Roman"/>
          <w:sz w:val="18"/>
          <w:szCs w:val="18"/>
          <w:color w:val="auto"/>
        </w:rPr>
        <w:t>. There are several administrative proceedings in Kentucky involving Westlake, Goodrich and PolyOne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manufacturing site in Calvert City, which includes OpCo's processing facility in Calvert City. In 2003, the Kentucky Environmental and Public Protection Cabinet (the "Cabinet") re-issued Goodrich's Resource Conservation and Recovery Act ("RCRA") permit which requires Goodrich to remediate contamination at the Calvert City manufacturing site. Both Goodrich and PolyOne challenged various terms of the permit in an attempt to shift Goodrich's clean-up obligations under the permit to Westlake. Westlake intervened in the proceedings. The Cabinet has suspended all corrective action under the RCRA permit in deference to a remedial investigation and feasibility study ("RIFS") being conducted, under the auspices of the U.S. Environmental Protection Agency ("EPA") pursuant to an Administrative Settlement Agreement ("AOC"), which became effective on December 9, 2009. See "Federal Administrative Proceedings" below. Periodic status conferences will be held to evaluate whether additional proceedings will be required.</w:t>
      </w:r>
    </w:p>
    <w:p>
      <w:pPr>
        <w:spacing w:after="0" w:line="131" w:lineRule="exact"/>
        <w:rPr>
          <w:sz w:val="20"/>
          <w:szCs w:val="20"/>
          <w:color w:val="auto"/>
        </w:rPr>
      </w:pPr>
    </w:p>
    <w:p>
      <w:pPr>
        <w:ind w:right="80" w:firstLine="392"/>
        <w:spacing w:after="0" w:line="254" w:lineRule="auto"/>
        <w:rPr>
          <w:sz w:val="20"/>
          <w:szCs w:val="20"/>
          <w:color w:val="auto"/>
        </w:rPr>
      </w:pPr>
      <w:r>
        <w:rPr>
          <w:rFonts w:ascii="Times New Roman" w:cs="Times New Roman" w:eastAsia="Times New Roman" w:hAnsi="Times New Roman"/>
          <w:sz w:val="18"/>
          <w:szCs w:val="18"/>
          <w:i w:val="1"/>
          <w:iCs w:val="1"/>
          <w:color w:val="auto"/>
        </w:rPr>
        <w:t>Federal Administrative Proceedings</w:t>
      </w:r>
      <w:r>
        <w:rPr>
          <w:rFonts w:ascii="Times New Roman" w:cs="Times New Roman" w:eastAsia="Times New Roman" w:hAnsi="Times New Roman"/>
          <w:sz w:val="18"/>
          <w:szCs w:val="18"/>
          <w:color w:val="auto"/>
        </w:rPr>
        <w:t>. In May 2009, the Cabinet sent a letter to the EPA requesting the EPA's assistance in addressing contamination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Calvert City site under the Comprehensive Environmental Response, Compensation, and Liability Act ("CERCLA"). In its response to the Cabinet, the EPA stated that it concurred with the Cabinet's request and would incorporate work previously conducted under the Cabinet's RCRA authority into the EPA's cleanup efforts under CERCLA. Since 1983, the EPA has been addressing contamination at an abandoned landfill adjacent to the Partnership's plant which had been operated by Goodrich and which was being remediated pursuant to CERCLA. The EPA has directed Goodrich and PolyOne to conduct additional investigation activities at the landfill and at the Calvert City site. In June 2009, the EPA notified Westlake that Westlake may have potential liability under section 107(a) of CERCLA at its plant site. Liability under section 107(a) of CERCLA is strict and joint and several. The EPA also identified Goodrich and PolyOne, among others, as potentially responsible parties at the plant site. Westlake negotiated, in conjunction with the other potentially responsible parties, an AOC and an order to conduct an RIFS. Due to the Partnership's ownership and current operation of the property, the Partnership may be subject to additional requirements and liabilities under CERCLA.</w:t>
      </w:r>
    </w:p>
    <w:p>
      <w:pPr>
        <w:spacing w:after="0" w:line="132" w:lineRule="exact"/>
        <w:rPr>
          <w:sz w:val="20"/>
          <w:szCs w:val="20"/>
          <w:color w:val="auto"/>
        </w:rPr>
      </w:pPr>
    </w:p>
    <w:p>
      <w:pPr>
        <w:ind w:right="80" w:firstLine="392"/>
        <w:spacing w:after="0" w:line="284" w:lineRule="auto"/>
        <w:rPr>
          <w:sz w:val="20"/>
          <w:szCs w:val="20"/>
          <w:color w:val="auto"/>
        </w:rPr>
      </w:pPr>
      <w:r>
        <w:rPr>
          <w:rFonts w:ascii="Times New Roman" w:cs="Times New Roman" w:eastAsia="Times New Roman" w:hAnsi="Times New Roman"/>
          <w:sz w:val="18"/>
          <w:szCs w:val="18"/>
          <w:i w:val="1"/>
          <w:iCs w:val="1"/>
          <w:color w:val="auto"/>
        </w:rPr>
        <w:t>Potential Flare Modifications</w:t>
      </w:r>
      <w:r>
        <w:rPr>
          <w:rFonts w:ascii="Times New Roman" w:cs="Times New Roman" w:eastAsia="Times New Roman" w:hAnsi="Times New Roman"/>
          <w:sz w:val="18"/>
          <w:szCs w:val="18"/>
          <w:color w:val="auto"/>
        </w:rPr>
        <w:t>. For several years, the EPA has been conducting an enforcement initiative against petroleum refineries and petrochemical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plants with respect to emissions from flares. A number of companies have entered into consent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COMBINED AND CONSOLIDATED FINANCIAL STATEMENTS -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amounts and per unit data)</w:t>
      </w:r>
    </w:p>
    <w:p>
      <w:pPr>
        <w:spacing w:after="0" w:line="39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agreements with the EPA requiring both modifications to reduce flare emissions and the installation of additional equipment to better track flare operations and emissions. On April 21, 2014, Westlake received a Clean Air Act Section 114 Information Request from the EPA which sought information regarding flares at the Calvert City and Lake Charles facilities. Westlake submitted information pursuant to such request, including information regarding three flares that the Partnership owns. The EPA has informed Westlake that the information provided leads the EPA to believe that some of the flares are out of compliance with applicable standards. The EPA has demanded that Westlake conduct additional flare sampling and provide supplemental</w:t>
      </w:r>
    </w:p>
    <w:p>
      <w:pPr>
        <w:spacing w:after="0" w:line="3" w:lineRule="exact"/>
        <w:rPr>
          <w:sz w:val="20"/>
          <w:szCs w:val="20"/>
          <w:color w:val="auto"/>
        </w:rPr>
      </w:pPr>
    </w:p>
    <w:p>
      <w:pPr>
        <w:jc w:val="both"/>
        <w:ind w:right="60"/>
        <w:spacing w:after="0" w:line="273" w:lineRule="auto"/>
        <w:rPr>
          <w:sz w:val="20"/>
          <w:szCs w:val="20"/>
          <w:color w:val="auto"/>
        </w:rPr>
      </w:pPr>
      <w:r>
        <w:rPr>
          <w:rFonts w:ascii="Times New Roman" w:cs="Times New Roman" w:eastAsia="Times New Roman" w:hAnsi="Times New Roman"/>
          <w:sz w:val="17"/>
          <w:szCs w:val="17"/>
          <w:color w:val="auto"/>
        </w:rPr>
        <w:t>information. Westlake is currently in negotiations with the EPA regarding these demands, some of which are applicable to the Partnership's flares. The EPA has indicated that it is seeking a consent decree with that would obligate Westlake to take corrective actions relating to the alleged noncompliance. Westlake has not agreed that any flares are out of compliance or that any corrective actions are warranted. Depending on the outcome of Westlake's negotiations with the EPA, additional controls on emissions from the Partnership's flares may be required and these could result in increased capital and operating costs.</w:t>
      </w:r>
    </w:p>
    <w:p>
      <w:pPr>
        <w:spacing w:after="0" w:line="117" w:lineRule="exact"/>
        <w:rPr>
          <w:sz w:val="20"/>
          <w:szCs w:val="20"/>
          <w:color w:val="auto"/>
        </w:rPr>
      </w:pPr>
    </w:p>
    <w:p>
      <w:pPr>
        <w:ind w:right="18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Louisiana Notice of Violations</w:t>
      </w:r>
      <w:r>
        <w:rPr>
          <w:rFonts w:ascii="Times New Roman" w:cs="Times New Roman" w:eastAsia="Times New Roman" w:hAnsi="Times New Roman"/>
          <w:sz w:val="18"/>
          <w:szCs w:val="18"/>
          <w:color w:val="auto"/>
        </w:rPr>
        <w:t>. The Louisiana Department of Environmental Quality ("LDEQ") has issued notices of violations regarding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Partnership's assets, and those of Westlake, for various air compliance issues. The Partnership and Westlake are working with LDEQ to settle these claims, and a global settlement of all claims is being discussed. While settlement may result in a total civil penalty of approximately $200, such a settlement will likely cover assets owned by the Partnership and Westlake, and to the extent it covers the Partnership's assets, Westlake has agreed to indemnify the Partnership for liabilities to the extent such liabilities occurred or existed prior to August 4, 2014.</w:t>
      </w:r>
    </w:p>
    <w:p>
      <w:pPr>
        <w:spacing w:after="0" w:line="12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the Partnership is involved in various routine legal proceedings incidental to the conduct of its business. The Partnership does not believe that any of these routine legal proceedings will have a material adverse effect on its financial condition,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9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On July 29, 2015, the board of directors of Westlake Chemical Partners GP LLC, the Partnership's general partner, declared a quarterly distribution for the period from April 1, 2015 through June 30, 2015 of $0.2910 per unit, or $7,874 in total. This distribution is payable on August 27, 2015 to unitholders of record as of August 13, 2015.</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Subsequent events were evaluated through the date on which the financial statements were issued.</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20"/>
          </w:cols>
          <w:pgMar w:left="24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references in this report to the "Predecessor" refer to Westlake Chemical Partners LP Predecessor, our predecessor for accounting purposes, and refer to the time periods prior to the completion of our initial public offering on August 4, 2014 (the "IPO"). Unless otherwise indicated, references in this report to "we," "our," "us" or like terms used in the present tense or prospectively, or in reference to the period subsequent to the IPO, refer to Westlake Chemical Partners LP (the "Partnership"), Westlake Chemical OpCo LP ("OpCo") and Westlake Chemical OpCo GP LLC ("OpCo GP"). References to "Westlake" refer to Westlake Chemical Corporation and its consolidated subsidiaries other than the Partnership, OpCo GP and OpCo.</w:t>
      </w:r>
    </w:p>
    <w:p>
      <w:pPr>
        <w:spacing w:after="0" w:line="134"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section should be read in conjunction with the accompanying combined and consolidated financial statements and the notes thereto and the combined and consolidated financial statements and notes thereto included in Westlake Chemical Partners LP's annual report on Form 10-K for the fiscal year ended December 31, 2014 (the "2014 Form 10-K"), as filed with the SEC on March 9, 2015.</w:t>
      </w:r>
    </w:p>
    <w:p>
      <w:pPr>
        <w:spacing w:after="0" w:line="126"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Please read "Forward-Looking Statements" for a discussion of limitations inherent in such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Initial Public Offering</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August 4, 2014, the Partnership closed its IPO of 12,937,500 common units.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Additional Interests in OpCo</w:t>
      </w:r>
    </w:p>
    <w:p>
      <w:pPr>
        <w:spacing w:after="0" w:line="9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April 29, 2015, we purchased an additional 2.7% newly-issued limited partner interest in OpCo for approximately $135.3 million, resulting in an aggregate 13.3% limited partner interest in OpCo effective April 1, 2015. In order to fund this purchase, we entered into a revolving credit facility (the "MLP Revolver") with a subsidiary of Westlake, which has a total borrowing capacity of $300.0 million. We intend to rely on the MLP Revolver in making any additional purchases of limited partner interests in OpCo in the future. For more information on the MLP Revolver, please see "—Liquidity and Capital Resources—Indebtedness—MLP Revolver."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Overview</w:t>
      </w:r>
    </w:p>
    <w:p>
      <w:pPr>
        <w:spacing w:after="0" w:line="94"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are a Delaware limited partnership formed by Westlake to operate, acquire and develop facilities and related assets for the processing of natural gas liquids. Currently, our sole revenue generating asset is our 13.3% limited partner interest in OpCo, a limited partnership formed by Westlake and us in anticipation of the IPO to own and operate a natural gas liquids processing business. We control OpCo through our ownership of its general partner. Westlake retains the remaining 86.7% limited partner interest in OpCo as well as significant interest in us through its ownership of our general partner, 52.2% of our limited partner units (consisting of 1,436,115 common units and all of the subordinated units) and our incentive distribution rights. OpCo's assets include (1) two natural gas liquids processing facilities ("Petro 1" and "Petro 2" and, collectively, "Lake Charles Olefins") at Westlake's Lake Charles, Louisiana site; (2) one natural gas liquids processing facility ("Calvert City Olefins") at Westlake's Calvert City, Kentucky site; and (3) a 200-mile common carrier ethylene pipeline (the "Longview Pipeline") that runs from Mont Belvieu, Texas to the chemical facility in Longview, Texas.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94"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We generate revenue primarily by selling ethylene and the resulting co-products we produce. In connection with the IPO, OpCo and Westlake entered into an ethylene sales agreement (the "Ethylene Sales Agreement") pursuant to which we generate a substantial majority of our revenue. This agreement is a long-term, fee-based agreement with a minimum purchase commitment and includes variable pricing based on OpCo's actual feedstock and natural gas costs and estimated other costs of producing ethylene, plus a fixed margin per pound of $0.10 less revenue from co-products sales. We expect Westlake will take volumes in excess of the minimum commitment under the Ethylene Sales Agreement if we produce more than our planned production.</w:t>
      </w:r>
    </w:p>
    <w:p>
      <w:pPr>
        <w:spacing w:after="0" w:line="130"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We sell ethylene production in excess of volumes sold to Westlake, as well as associated co-products resulting from the ethylene production, directly to third parties on either a spot or contract basis.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our exposure to fluctuations in the market prices of these co-products. Historically, the third-party ethylene and associated co-products sales have generated greater than 25% of our total revenues. The significant drop in crude oil prices towards the end of 2014 and continuing through the second quarter of 2015 may create volatility in the North American and global markets, which may result in reduced prices and margins for third-party ethylene and associated co-products sales in 2015.</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Source Feedstock</w:t>
      </w:r>
    </w:p>
    <w:p>
      <w:pPr>
        <w:spacing w:after="0" w:line="94"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IPO, OpCo entered into a 12-year feedstock supply agreement (the "Feedstock Supply Agreement") with Westlake Petrochemicals LLC, a wholly owned subsidiary of Westlake, under which Westlake Petrochemicals LLC supplies OpCo with ethane and other feedstocks that OpCo uses to produce ethylene under the Ethylene Sales Agreement. We expect that OpCo will also purchase the ethane and other feedstocks to produce ethylene and resulting co-products to sell to unrelated third parties from Westlake Petrochemicals LLC.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Evaluate Operations</w:t>
      </w:r>
    </w:p>
    <w:p>
      <w:pPr>
        <w:spacing w:after="0" w:line="94"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Our management uses a variety of financial and operating metrics to analyze our performance. These metrics are significant factors in assessing our operating results and profitability and include: (1) production volumes, (2) operating and maintenance expenses, including turnaround costs, and (3) MLP distributable cash flow and EBITDA.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Volumes</w:t>
      </w:r>
    </w:p>
    <w:p>
      <w:pPr>
        <w:spacing w:after="0" w:line="9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amount of profit we generate primarily depends on the volumes of ethylene and resulting co-products we are able to produce at Calvert City Olefins and Lake Charles Olefins. Although Westlake has committed to purchasing minimum volumes from us under the Ethylene Sales Agreement, our results of operations are impacted by our ability to:</w:t>
      </w:r>
    </w:p>
    <w:p>
      <w:pPr>
        <w:spacing w:after="0" w:line="41" w:lineRule="exact"/>
        <w:rPr>
          <w:sz w:val="20"/>
          <w:szCs w:val="20"/>
          <w:color w:val="auto"/>
        </w:rPr>
      </w:pPr>
    </w:p>
    <w:p>
      <w:pPr>
        <w:ind w:left="660" w:right="3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sufficient volumes of ethylene to meet our commitments under the Ethylene Sales Agreement or recover our estimated costs through the pricing provisions of the Ethylene Sales Agreement;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with third parties for the remaining uncommitted processing capacity;</w:t>
      </w:r>
    </w:p>
    <w:p>
      <w:pPr>
        <w:spacing w:after="0" w:line="90"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or increase capacity at our existing processing facilities, or add additional processing capacity via organic expansion projects and acquisitions; and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or exceed the specified yield factors for natural gas, ethane and other feedstock under the Ethylene Sales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Maintenance Capital Expenditures and Turnaround Costs</w:t>
      </w:r>
    </w:p>
    <w:p>
      <w:pPr>
        <w:spacing w:after="0" w:line="94"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repair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processing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unit.</w:t>
      </w:r>
    </w:p>
    <w:p>
      <w:pPr>
        <w:spacing w:after="0" w:line="131"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directly affects our profitability and cash flows.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MLP Distributable Cash Flow and EBITDA</w:t>
      </w:r>
    </w:p>
    <w:p>
      <w:pPr>
        <w:spacing w:after="0" w:line="94" w:lineRule="exact"/>
        <w:rPr>
          <w:sz w:val="20"/>
          <w:szCs w:val="20"/>
          <w:color w:val="auto"/>
        </w:rPr>
      </w:pPr>
    </w:p>
    <w:p>
      <w:pPr>
        <w:ind w:right="160" w:firstLine="405"/>
        <w:spacing w:after="0" w:line="274" w:lineRule="auto"/>
        <w:rPr>
          <w:sz w:val="20"/>
          <w:szCs w:val="20"/>
          <w:color w:val="auto"/>
        </w:rPr>
      </w:pPr>
      <w:r>
        <w:rPr>
          <w:rFonts w:ascii="Times New Roman" w:cs="Times New Roman" w:eastAsia="Times New Roman" w:hAnsi="Times New Roman"/>
          <w:sz w:val="17"/>
          <w:szCs w:val="17"/>
          <w:color w:val="auto"/>
        </w:rPr>
        <w:t>We use each of MLP distributable cash flow and EBITDA to analyze our performance. We define distributable cash flow as net income plus depreciation and amortization, less contributions for turnaround reserves and maintenance capital expenditures. We define MLP distributable cash flow as distributable cash flow attributable to periods subsequent to the date of the IPO less distributable cash flow attributable to Westlake's noncontrolling interest in OpCo. MLP distributable cash flow does not reflect changes in working capital balances. We define EBITDA as net income before interest expense, income taxes, depreciation and amortization. MLP distributable cash flow and EBITDA are non-GAAP supplemental financial measures that management and external users of our consolidated financial statements, such as industry analysts, investors, lenders and rating agencies, may use to assess: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as compared to other publicly traded partnerships;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incur and service debt and fund capital expenditures;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acquisitions and other capital expenditure projects and the returns on investment of various investment opportunities.</w:t>
      </w:r>
    </w:p>
    <w:p>
      <w:pPr>
        <w:spacing w:after="0" w:line="17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We believe that the presentation of MLP distributable cash flow and EBITDA provides useful information to investors in assessing our financial condition and results of operations. The GAAP measures most directly comparable to MLP distributable cash flow are net income and net cash provided by operating activities. MLP distributable cash flow should not be considered as an alternative to GAAP net income or net cash provided by operating activities. MLP distributable cash flow has important limitations as an analytical tool because it excludes some but not all items that affect net income and net cash provided by operating activities. The GAAP measures most directly comparable to EBITDA are net income and cash flow from operating activities, but EBITDA should not be considered an alternative to such GAAP measures. EBITDA has important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was a necessary element of Predecessor's operations. MLP distributable cash flow and EBITDA should not be considered in isolation or as a substitute for analysis of our results as reported under GAAP. See reconciliations for each of MLP distributable cash flow and EBITDA under "Results of Operations" below.</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Financial Results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results of operations subsequent to the IPO are not comparable to the Predecessor's historical results of operations for the reasons described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Ethylene, Co-products and Excess Feedstock Sales</w:t>
      </w:r>
    </w:p>
    <w:p>
      <w:pPr>
        <w:spacing w:after="0" w:line="92"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There are differences in the way the Predecessor generated and recorded revenue and the way we generate and record revenue from ethylene sales to Westlake. The Predecessor generally recognized revenue for ethylene sold internally based on a transfer pricing formula intended to approximate the fair market value of the commodity. Subsequent to the IPO, a substantial majority of our revenue from ethylene sales is generated from sales of ethylene to Westlake under the Ethylene Sales Agreement. The Ethylene Sales Agreement contains minimum purchase commitments and pricing that is expected to generate a fixed margin of $0.10 per pound. The price per pound of ethylene sold under the Ethylene Sales Agreement is lower than historical prices charged by the Predecessor for ethylene sold internally. As such, we expect a significant decrease in revenue from ethylene sales to Westlake for periods after the IPO compared with the Predecessor's historical revenue.</w:t>
      </w:r>
    </w:p>
    <w:p>
      <w:pPr>
        <w:spacing w:after="0" w:line="135"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The Predecessor's third-party sales consisted of ethylene, feedstock and associated co-products sales. With respect to third-party ethylene sales, the Predecessor also resold externally procured ethylene to third parties. Subsequent to the IPO, the ethylene procurement and reselling activities of the Predecessor remained with Westlake. In addition, the Predecessor's net sales included revenue from sales to third parties of excess feedstock not used in the ethylene production process. Following the closing of the IPO, we do not generate revenues from the sale of excess feedstock to third parties as all of the Predecessor's feedstock risk-management activities remained with Westlake. However, we sell all of our co-products volume to third parties in a manner consistent with the Predecessor. As such, there are no significant changes to revenue related to the sale of co-products, as compared to the Predecessor's historical revenue from co-products sales.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Predecessor's selling, general and administrative expenses included direct and indirect charges for the management and operation of our ethylene and other transportation assets allocated by Westlake for general corporate services such as treasury, information technology, legal, corporate tax, human resources, executive compensation, and other financial and administrative services. These expenses were charged or allocated to the Predecessor based on the nature of the expense and the Predecessor's proportionate share of fixed assets, headcount or other measure, as deemed appropriate. Following the closing of the IPO, under the Services and Secondment Agreement and Omnibus Agreement, Westlake continues to charge us a combination of direct and allocated charges for similar general corporate services as those charged to the Predecessor historically. We also incur certain annual general and administrative expenses as a result of being a separate publicly traded partnership which were not reflected in the Predecessor's combined financial statements.</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60"/>
          </w:cols>
          <w:pgMar w:left="240" w:top="121" w:right="29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 The Predecessor's tax provision was determined on a separate return basis. Accordingly, we expect our tax provision to be significantly reduced as compared to that of the Predecessor.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9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At the closing of the IPO, Westlake contributed a 5.8% limited partner interest and the general partner interest in OpCo to us. Immediately following the IPO, we used the IPO net proceeds to acquire an additional 4.8% limited partner interest in OpCo directly from OpCo and Westlake retained the remaining</w:t>
      </w:r>
    </w:p>
    <w:p>
      <w:pPr>
        <w:ind w:right="80"/>
        <w:spacing w:after="0" w:line="255" w:lineRule="auto"/>
        <w:rPr>
          <w:sz w:val="20"/>
          <w:szCs w:val="20"/>
          <w:color w:val="auto"/>
        </w:rPr>
      </w:pPr>
      <w:r>
        <w:rPr>
          <w:rFonts w:ascii="Times New Roman" w:cs="Times New Roman" w:eastAsia="Times New Roman" w:hAnsi="Times New Roman"/>
          <w:sz w:val="18"/>
          <w:szCs w:val="18"/>
          <w:color w:val="auto"/>
        </w:rPr>
        <w:t>89.4% limited partner interest in OpCo, which is recorded as noncontrolling interest in our consolidated financial statements. In April 2015, we purchased an additional 2.7% newly-issued limited partner interest in OpCo, resulting in an aggregate 13.3% limited partner interest in OpCo effective April 1, 2015. Westlake owns the remaining 86.7% limited partner interest in OpCo. See "Purchase of Additional Interests in OpCo" above.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and Demand for Ethylene and Resulting Co-products</w:t>
      </w:r>
    </w:p>
    <w:p>
      <w:pPr>
        <w:spacing w:after="0" w:line="9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generate a substantial majority of our revenue from the Ethylene Sales Agreement. This contract is intended to promote cash flow stability and minimize our direct exposure to commodity price fluctuations in the following ways: (1) the cost-plus pricing structure of the Ethylene Sales Agreement is expected to generate a fixed margin of $0.10 per pound, adjusting automatically for changes in feedstock costs; and (2) Westlake is committed to purchase 95% of the annual planned production, subject to a maximum commitment of 3.8 billion pounds of ethylene per year, with an option to purchase an additional 95% of actual monthly production in excess of the planned production. As a result, our direct exposure to commodity price risk is limited to approximately 5% of our total ethylene production, which is that portion sold to third parties, assuming Westlake exercises its option to purchase 95% of the over production, as well as to our co-products sales.</w:t>
      </w:r>
    </w:p>
    <w:p>
      <w:pPr>
        <w:spacing w:after="0" w:line="135"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We also have indirect exposure to commodity price fluctuations to the extent such fluctuations affect the ethylene consumption patterns of third-party purchasers. Demand for ethylene exhibits cyclical commodity characteristics as margins earned on ethylene derivative products are influenced by changes in the balance between supply and demand, the resulting operating rates and general economic activity. While we believe we have substantially mitigated our indirect exposure to commodity price fluctuations during the term of the Ethylene Sales Agreement through the minimum commitment and the cost-plus based pricing, our ability to execute our growth strategy in our areas of operation will depend, in part, on the demand for ethylene derivatives in the geographical areas served by our processing facilities.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table below and descriptions that follow represent the consolidated results of operations of the Partnership for the three and six months ended June 30, 2015 and the combined results of operations of the Predecessor for the three and six months ended June 30, 2014. Our consolidated results of operations subsequent to the IPO are not comparable to the Predecessor's historical combined results of operations for the reasons discussed under "Factors Affecting the Comparability of Our Financial Results."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c>
          <w:tcPr>
            <w:tcW w:w="260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86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59"/>
        </w:trPr>
        <w:tc>
          <w:tcPr>
            <w:tcW w:w="4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Predecessor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i w:val="1"/>
                <w:iCs w:val="1"/>
                <w:color w:val="auto"/>
              </w:rPr>
              <w:t>Predecessor</w:t>
            </w:r>
          </w:p>
        </w:tc>
        <w:tc>
          <w:tcPr>
            <w:tcW w:w="0" w:type="dxa"/>
            <w:vAlign w:val="bottom"/>
          </w:tcPr>
          <w:p>
            <w:pPr>
              <w:spacing w:after="0"/>
              <w:rPr>
                <w:sz w:val="1"/>
                <w:szCs w:val="1"/>
                <w:color w:val="auto"/>
              </w:rPr>
            </w:pPr>
          </w:p>
        </w:tc>
      </w:tr>
      <w:tr>
        <w:trPr>
          <w:trHeight w:val="397"/>
        </w:trPr>
        <w:tc>
          <w:tcPr>
            <w:tcW w:w="4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sales—Westlake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204,669</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415,033</w:t>
            </w:r>
          </w:p>
        </w:tc>
        <w:tc>
          <w:tcPr>
            <w:tcW w:w="12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413,582</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798,960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co-product, ethylene and feedstock sales—third</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47,036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109,102</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96,514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285,189</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251,705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524,135</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510,096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1,084,149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157,177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277,589</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319,341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605,289</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94,528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246,546</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190,755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478,860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5,995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6,165</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11,995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13,943</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88,533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240,381</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178,760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464,917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expense—Westlake</w:t>
            </w:r>
          </w:p>
        </w:tc>
        <w:tc>
          <w:tcPr>
            <w:tcW w:w="3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(4,105)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(7,696)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5"/>
                <w:szCs w:val="25"/>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2,649</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Pr>
          <w:p>
            <w:pPr>
              <w:spacing w:after="0"/>
              <w:rPr>
                <w:sz w:val="20"/>
                <w:szCs w:val="20"/>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87,202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237,673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176,058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459,870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83,829</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162,152</w:t>
            </w:r>
          </w:p>
        </w:tc>
        <w:tc>
          <w:tcPr>
            <w:tcW w:w="0" w:type="dxa"/>
            <w:vAlign w:val="bottom"/>
          </w:tcPr>
          <w:p>
            <w:pPr>
              <w:spacing w:after="0"/>
              <w:rPr>
                <w:sz w:val="1"/>
                <w:szCs w:val="1"/>
                <w:color w:val="auto"/>
              </w:rPr>
            </w:pPr>
          </w:p>
        </w:tc>
      </w:tr>
      <w:tr>
        <w:trPr>
          <w:trHeight w:val="297"/>
        </w:trPr>
        <w:tc>
          <w:tcPr>
            <w:tcW w:w="4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top w:val="single" w:sz="8" w:color="auto"/>
              <w:bottom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87,243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153,844</w:t>
            </w:r>
          </w:p>
        </w:tc>
        <w:tc>
          <w:tcPr>
            <w:tcW w:w="12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CCEEFF"/>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175,632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297,718</w:t>
            </w:r>
          </w:p>
        </w:tc>
        <w:tc>
          <w:tcPr>
            <w:tcW w:w="0" w:type="dxa"/>
            <w:vAlign w:val="bottom"/>
          </w:tcPr>
          <w:p>
            <w:pPr>
              <w:spacing w:after="0"/>
              <w:rPr>
                <w:sz w:val="1"/>
                <w:szCs w:val="1"/>
                <w:color w:val="auto"/>
              </w:rPr>
            </w:pPr>
          </w:p>
        </w:tc>
      </w:tr>
      <w:tr>
        <w:trPr>
          <w:trHeight w:val="185"/>
        </w:trPr>
        <w:tc>
          <w:tcPr>
            <w:tcW w:w="4860" w:type="dxa"/>
            <w:vAlign w:val="bottom"/>
            <w:shd w:val="clear" w:color="auto" w:fill="CCEEFF"/>
          </w:tcPr>
          <w:p>
            <w:pPr>
              <w:ind w:left="280"/>
              <w:spacing w:after="0" w:line="185"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 OpCo</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76,800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156,689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486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attributable to Westlake Chemical</w:t>
            </w:r>
          </w:p>
        </w:tc>
        <w:tc>
          <w:tcPr>
            <w:tcW w:w="38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10,443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top w:val="single" w:sz="8" w:color="auto"/>
            </w:tcBorders>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18,943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4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Partners LP</w:t>
            </w:r>
          </w:p>
        </w:tc>
        <w:tc>
          <w:tcPr>
            <w:tcW w:w="38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40"/>
              <w:spacing w:after="0" w:line="257" w:lineRule="exact"/>
              <w:rPr>
                <w:sz w:val="20"/>
                <w:szCs w:val="20"/>
                <w:color w:val="auto"/>
              </w:rPr>
            </w:pPr>
            <w:r>
              <w:rPr>
                <w:rFonts w:ascii="Times New Roman" w:cs="Times New Roman" w:eastAsia="Times New Roman" w:hAnsi="Times New Roman"/>
                <w:sz w:val="18"/>
                <w:szCs w:val="18"/>
                <w:color w:val="auto"/>
              </w:rPr>
              <w:t xml:space="preserve">MLP distributable cash flow </w:t>
            </w:r>
            <w:r>
              <w:rPr>
                <w:rFonts w:ascii="Times New Roman" w:cs="Times New Roman" w:eastAsia="Times New Roman" w:hAnsi="Times New Roman"/>
                <w:sz w:val="25"/>
                <w:szCs w:val="25"/>
                <w:color w:val="auto"/>
                <w:vertAlign w:val="superscript"/>
              </w:rPr>
              <w:t>(2)</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9,235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18,196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860" w:type="dxa"/>
            <w:vAlign w:val="bottom"/>
          </w:tcPr>
          <w:p>
            <w:pPr>
              <w:ind w:left="40"/>
              <w:spacing w:after="0" w:line="278"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5"/>
                <w:szCs w:val="25"/>
                <w:color w:val="auto"/>
                <w:vertAlign w:val="superscript"/>
              </w:rPr>
              <w:t>(3)</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108,958</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262,046</w:t>
            </w:r>
          </w:p>
        </w:tc>
        <w:tc>
          <w:tcPr>
            <w:tcW w:w="120" w:type="dxa"/>
            <w:vAlign w:val="bottom"/>
          </w:tcPr>
          <w:p>
            <w:pPr>
              <w:spacing w:after="0"/>
              <w:rPr>
                <w:sz w:val="24"/>
                <w:szCs w:val="24"/>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218,993</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506,848</w:t>
            </w:r>
          </w:p>
        </w:tc>
        <w:tc>
          <w:tcPr>
            <w:tcW w:w="0" w:type="dxa"/>
            <w:vAlign w:val="bottom"/>
          </w:tcPr>
          <w:p>
            <w:pPr>
              <w:spacing w:after="0"/>
              <w:rPr>
                <w:sz w:val="1"/>
                <w:szCs w:val="1"/>
                <w:color w:val="auto"/>
              </w:rPr>
            </w:pPr>
          </w:p>
        </w:tc>
      </w:tr>
      <w:tr>
        <w:trPr>
          <w:trHeight w:val="234"/>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____________</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80" w:hanging="245"/>
        <w:spacing w:after="0"/>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the Predecessor's equity stake in a pipeline joint venture that was not contributed to the Partnership in connection with the IPO.</w:t>
      </w:r>
    </w:p>
    <w:p>
      <w:pPr>
        <w:spacing w:after="0" w:line="117" w:lineRule="exact"/>
        <w:rPr>
          <w:rFonts w:ascii="Times New Roman" w:cs="Times New Roman" w:eastAsia="Times New Roman" w:hAnsi="Times New Roman"/>
          <w:sz w:val="18"/>
          <w:szCs w:val="18"/>
          <w:color w:val="auto"/>
        </w:rPr>
      </w:pPr>
    </w:p>
    <w:p>
      <w:pPr>
        <w:ind w:left="280" w:hanging="245"/>
        <w:spacing w:after="0"/>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 GAAP financial measure. See the "Reconciliation of MLP Distributable Cash Flow to Net Income and Net Cash Provided by Operating Activities."</w:t>
      </w:r>
    </w:p>
    <w:p>
      <w:pPr>
        <w:spacing w:after="0" w:line="117" w:lineRule="exact"/>
        <w:rPr>
          <w:rFonts w:ascii="Times New Roman" w:cs="Times New Roman" w:eastAsia="Times New Roman" w:hAnsi="Times New Roman"/>
          <w:sz w:val="18"/>
          <w:szCs w:val="18"/>
          <w:color w:val="auto"/>
        </w:rPr>
      </w:pPr>
    </w:p>
    <w:p>
      <w:pPr>
        <w:ind w:left="280" w:hanging="245"/>
        <w:spacing w:after="0"/>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 GAAP financial measure. See the "Reconciliation of EBITDA to Net Income and Net Cash Provided by Operating Activities."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16"/>
                <w:szCs w:val="16"/>
                <w:color w:val="auto"/>
              </w:rPr>
            </w:pPr>
          </w:p>
        </w:tc>
        <w:tc>
          <w:tcPr>
            <w:tcW w:w="3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 2015</w:t>
            </w:r>
          </w:p>
        </w:tc>
        <w:tc>
          <w:tcPr>
            <w:tcW w:w="1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Six Months Ended June 30, 2015</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6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66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860" w:type="dxa"/>
            <w:vAlign w:val="bottom"/>
            <w:tcBorders>
              <w:top w:val="single" w:sz="8" w:color="CCEEFF"/>
            </w:tcBorders>
            <w:shd w:val="clear" w:color="auto" w:fill="CCEEFF"/>
          </w:tcPr>
          <w:p>
            <w:pPr>
              <w:ind w:left="40"/>
              <w:spacing w:after="0" w:line="206" w:lineRule="exact"/>
              <w:rPr>
                <w:sz w:val="20"/>
                <w:szCs w:val="20"/>
                <w:color w:val="auto"/>
              </w:rPr>
            </w:pPr>
            <w:r>
              <w:rPr>
                <w:rFonts w:ascii="Times New Roman" w:cs="Times New Roman" w:eastAsia="Times New Roman" w:hAnsi="Times New Roman"/>
                <w:sz w:val="18"/>
                <w:szCs w:val="18"/>
                <w:b w:val="1"/>
                <w:bCs w:val="1"/>
                <w:color w:val="auto"/>
              </w:rPr>
              <w:t>Product sales prices and volume percentage change</w:t>
            </w:r>
          </w:p>
        </w:tc>
        <w:tc>
          <w:tcPr>
            <w:tcW w:w="1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from prior year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387"/>
        </w:trPr>
        <w:tc>
          <w:tcPr>
            <w:tcW w:w="4860" w:type="dxa"/>
            <w:vAlign w:val="bottom"/>
          </w:tcPr>
          <w:p>
            <w:pPr>
              <w:spacing w:after="0"/>
              <w:rPr>
                <w:sz w:val="24"/>
                <w:szCs w:val="24"/>
                <w:color w:val="auto"/>
              </w:rPr>
            </w:pPr>
          </w:p>
        </w:tc>
        <w:tc>
          <w:tcPr>
            <w:tcW w:w="33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2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2"/>
        </w:trPr>
        <w:tc>
          <w:tcPr>
            <w:tcW w:w="486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70"/>
        </w:trPr>
        <w:tc>
          <w:tcPr>
            <w:tcW w:w="48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Average industry prices </w:t>
            </w:r>
            <w:r>
              <w:rPr>
                <w:rFonts w:ascii="Times New Roman" w:cs="Times New Roman" w:eastAsia="Times New Roman" w:hAnsi="Times New Roman"/>
                <w:sz w:val="25"/>
                <w:szCs w:val="25"/>
                <w:b w:val="1"/>
                <w:bCs w:val="1"/>
                <w:color w:val="auto"/>
                <w:vertAlign w:val="superscript"/>
              </w:rPr>
              <w:t>(1)</w:t>
            </w: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Ethane (cents/lb)</w:t>
            </w:r>
          </w:p>
        </w:tc>
        <w:tc>
          <w:tcPr>
            <w:tcW w:w="156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Propane (cents/lb)</w:t>
            </w:r>
          </w:p>
        </w:tc>
        <w:tc>
          <w:tcPr>
            <w:tcW w:w="156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15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1"/>
                <w:szCs w:val="21"/>
                <w:color w:val="auto"/>
              </w:rPr>
            </w:pPr>
          </w:p>
        </w:tc>
        <w:tc>
          <w:tcPr>
            <w:tcW w:w="154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1"/>
                <w:szCs w:val="21"/>
                <w:color w:val="auto"/>
              </w:rPr>
            </w:pPr>
          </w:p>
        </w:tc>
        <w:tc>
          <w:tcPr>
            <w:tcW w:w="15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Ethylene (cents/lb) </w:t>
            </w:r>
            <w:r>
              <w:rPr>
                <w:rFonts w:ascii="Times New Roman" w:cs="Times New Roman" w:eastAsia="Times New Roman" w:hAnsi="Times New Roman"/>
                <w:sz w:val="25"/>
                <w:szCs w:val="25"/>
                <w:color w:val="auto"/>
                <w:vertAlign w:val="superscript"/>
              </w:rPr>
              <w:t>(2)</w:t>
            </w:r>
          </w:p>
        </w:tc>
        <w:tc>
          <w:tcPr>
            <w:tcW w:w="15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pricing data was obtained from IHS Chemical. We have not independently verified the data.</w:t>
      </w:r>
    </w:p>
    <w:p>
      <w:pPr>
        <w:spacing w:after="0" w:line="63"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average North American spot prices of ethylene over the period as reported by IHS Chemical.</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60" w:type="dxa"/>
            <w:vAlign w:val="bottom"/>
          </w:tcPr>
          <w:p>
            <w:pPr>
              <w:spacing w:after="0"/>
              <w:rPr>
                <w:sz w:val="16"/>
                <w:szCs w:val="16"/>
                <w:color w:val="auto"/>
              </w:rPr>
            </w:pPr>
          </w:p>
        </w:tc>
        <w:tc>
          <w:tcPr>
            <w:tcW w:w="13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June 30, 2015</w:t>
            </w:r>
          </w:p>
        </w:tc>
      </w:tr>
      <w:tr>
        <w:trPr>
          <w:trHeight w:val="249"/>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MLP distributable cash flow</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9,235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18,196</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Distributable cash flow attributable to noncontrolling interest in OpCo</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68,908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152,732</w:t>
            </w: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22,515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30,801</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Contribution to turnaround reserves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14,098</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(40,195)</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87,243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175,632</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29,416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54,207</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7"/>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disposition of fixed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8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116,664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229,899</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EBITDA to Net Income and Net Cash Provided by Operating Activities</w:t>
      </w:r>
    </w:p>
    <w:p>
      <w:pPr>
        <w:spacing w:after="0" w:line="94"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EBITDA to net income and net cash provided by operating activities, the most directly comparable GAAP financial measures, for each of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6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Predecessor</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i w:val="1"/>
                <w:iCs w:val="1"/>
                <w:color w:val="auto"/>
              </w:rPr>
              <w:t>Predecessor</w:t>
            </w: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108,958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262,046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218,993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506,848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(162,152)</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(39,282)</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87,243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153,844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175,632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297,718</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29,416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54,207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72,872</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equity method investment, net of dividends</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6,813</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disposition of fixed assets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1,238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w:t>
            </w:r>
          </w:p>
        </w:tc>
      </w:tr>
      <w:tr>
        <w:trPr>
          <w:trHeight w:val="25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116,664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181,035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229,899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378,921</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94"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For the quarter ended June 30, 2015, net income was $87.2 million on net sales of $251.7 million. This represents a decrease in net income of $66.6 million as compared to the quarter ended June 30, 2014 net income of $153.8 million on net sales of $524.1 million. Net sales for the second quarter of 2015 decreased by $272.4 million as compared to net sales for the second quarter of 2014, mainly due to a lower average sales price of ethylene sold to Westlake resulting from the execution of the Ethylene Sales Agreement. Ethylene co-products average sales prices were also lower for the second quarter of 2015 as compared to the prior-year period, primarily due to the decline in market price of the co-products. Income from operations was $88.5 million for the second quarter of 2015 as compared to $240.4 million for the second quarter of 2014. Income from operations for the second quarter of 2015 as compared to the prior year period decreased mainly as result of the decline in ethylene and co-products market prices and the execution of the Ethylene Sales Agreement in connection with the IPO, partially offset by lower feedstock costs and increased ethylene production as a result of the completion of the feedstock conversion and ethylene expansion project at Calvert City Olefins.</w:t>
      </w:r>
    </w:p>
    <w:p>
      <w:pPr>
        <w:sectPr>
          <w:pgSz w:w="11900" w:h="16838" w:orient="portrait"/>
          <w:cols w:equalWidth="0" w:num="1">
            <w:col w:w="11420"/>
          </w:cols>
          <w:pgMar w:left="240" w:top="121"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six months ended June 30, 2015, net income was $175.6 million on net sales of $510.1 million. This represents a decrease in net income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$122.1 million as compared to the six months ended June 30, 2014 net income of $297.7 million on net sales of $1,084.1 million. Net sales for the six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June 30, 2015 decreased by $574.0 million as compared to net sales for the six months ended June 30, 2014, mainly due to a lower average sales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ethylene sold to Westlake resulting from the execution of the Ethylene Sales Agreement. Ethylene co-products average sales prices were also lower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six months of 2015 as compared to the prior-year period, primarily due to the decline in market price of the co-products. Income from operations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$178.8 million for the six months ended June 30, 2015 as compared to $464.9 million for the six months ended June 30, 2014. Income from operations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June 30, 2015 decreased as compared to the prior year period mainly as result of the decline in ethylene and co-products market prices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execution of the Ethylene Sales Agreement in connection with the IPO, partially offset by lower feedstock costs and increased ethylene production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of the completion of the feedstock conversion and ethylene expansion project at Calvert City Olefins.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2015 Compared with Second Quarter 2014</w:t>
      </w:r>
    </w:p>
    <w:p>
      <w:pPr>
        <w:spacing w:after="0" w:line="9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by $272.4 million, or 52.0%, to $251.7 million in the second quarter of 2015 from $524.1 million in the second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2014, primarily due to a lower average sales price of ethylene sold to Westlake resulting from the execution of the Ethylene Sales Agreement, lower volume of ethylene sales to Westlake due to slightly lower production during this quarter and lower volume of ethylene sold to third parties primarily due to retention by Westlake of the Predecessor's ethylene procurement and reselling activities in connection with the IPO. Further, ethylene co-products sales prices were also significantly lower for the second quarter of 2015 as compared to the prior-year period, primarily due to the decline in market prices of the co-products, which resulted in a decrease in sales to third parties. This decrease was partially offset by increased volume of co-product sales to third parties. Overall average sales price for the second quarter of 2015 decreased by 45.6% as compared to the second quarter of 2014. Overall sales volumes decreased by 6.4% as compared to the second quarter of 2014.</w:t>
      </w:r>
    </w:p>
    <w:p>
      <w:pPr>
        <w:spacing w:after="0" w:line="131"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margin percentage decreased to 37.5% for the second quarter of 2015 from 47.0% for the second quarter of 2014,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a reduction in margin for ethylene sold to Westlake resulting from the execution of the Ethylene Sales Agreement. The decrease was largely offset by a significant drop in feedstock prices and the completion of the Calvert City Olefins conversion and expansion project in April 2014. Overall, sales prices decreased an average of 45.6% for the second quarter of 2015 as compared to the second quarter of 2014.</w:t>
      </w:r>
    </w:p>
    <w:p>
      <w:pPr>
        <w:spacing w:after="0" w:line="126"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$0.2 million, or 3.2%, to $6.0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second quarter of 2015 as compared to $6.2 million in the second quarter of 2014. The decrease was mainly attributable to a decrease in the allocation from Westlake of labor costs mainly attributable to the Predecessor's operations retained by Westlake after the closing of the IPO, partially offset by incremental general and administrative expenses incurred by the Partnership subsequent to the IPO as a result of being a separate publicly-traded partnership.</w:t>
      </w:r>
    </w:p>
    <w:p>
      <w:pPr>
        <w:spacing w:after="0" w:line="126"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by $2.7 million to $1.4 million in the second quarter of 2015 from $4.1 million in the second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due to the lower average debt balance as well as lower average interest rate in the second quarter of 2015 as compared to the prior-year period. Lower average interest rate this quarter as compared to the prior year period was due to the repayment of a significant portion of the August 2013 Promissory Notes that bears a higher interest rate as compared to other outstanding debts.</w:t>
      </w:r>
    </w:p>
    <w:p>
      <w:pPr>
        <w:spacing w:after="0" w:line="126" w:lineRule="exact"/>
        <w:rPr>
          <w:sz w:val="20"/>
          <w:szCs w:val="20"/>
          <w:color w:val="auto"/>
        </w:rPr>
      </w:pPr>
    </w:p>
    <w:p>
      <w:pPr>
        <w:ind w:right="14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decreased by $1.4 million in the second quarter of 2015 from $1.4 million in the second quarter of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absence of income attributable to the Predecessor's equity stake in a natural gas liquids pipeline joint venture that was not contributed to us in connection with the IPO.</w:t>
      </w:r>
    </w:p>
    <w:p>
      <w:pPr>
        <w:spacing w:after="0" w:line="120" w:lineRule="exact"/>
        <w:rPr>
          <w:sz w:val="20"/>
          <w:szCs w:val="20"/>
          <w:color w:val="auto"/>
        </w:rPr>
      </w:pPr>
    </w:p>
    <w:p>
      <w:pPr>
        <w:jc w:val="both"/>
        <w:ind w:right="18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effective income tax rate was 0.0% for the second quarter of 2015. The effective income tax rate for the second quarter of 2015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comparable to the effective income tax rate for the prior-year period as the Partnership is not subject to federal income taxes subsequent to the IPO. The effective income tax rate was 35.3% for the second quarter of 2014. The effective income tax rate for the second quarter of 2014 was above the U.S. federal statutory rate of 35.0% primarily due to state income taxes, mostly offset by the domestic manufacturing deduction and state income tax credits.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2015 Compared with Six Months Ended June 30, 2014</w:t>
      </w:r>
    </w:p>
    <w:p>
      <w:pPr>
        <w:spacing w:after="0" w:line="92"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decreased by $574.0 million, or 52.9%, to 510.1 million in the six months ended June 30, 2015 from 1,084.1 million in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2014, primarily due to a lower average sales price of ethylene sold to Westlake resulting from the execution of the Ethylene Sales Agreement and lower volume of ethylene sold to third parties primarily due to retention by Westlake of the Predecessor's ethylene procurement and reselling activities in connection with the IPO, partially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offset by increased volume of ethylene sold to Westlake for the six months ended June 30, 2015 as compared to the prior-year period. Further, ethylene co-products sales prices were also significantly lower for the six months ended June 30, 2015 as compared to the prior-year period, primarily due to the decline in market prices of the co-products, which resulted in a decrease in sales to third parties. This decrease was partially offset by increased volume of co-product sales to third parties. Overall average sales price for the six months ended June 30, 2015 decreased by 44.1% as compared to the six months ended June 30, 2014. Overall sales volumes decreased by 8.8% as compared to the six months ended June 30, 2014.</w:t>
      </w:r>
    </w:p>
    <w:p>
      <w:pPr>
        <w:spacing w:after="0" w:line="12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margin percentage decreased to 37.4% for the six months ended June 30, 2015 from 44.2%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primarily due to a reduction in margin for ethylene sold to Westlake resulting from the execution of the Ethylene Sales Agreement. The decrease was largely offset by a significant drop in feedstock prices and the completion of the Calvert City Olefins conversion and expansion project in April 2014. Overall, sales prices decreased an average of 44.1% for the six months ended June 30, 2015 as compared to the six months ended June 30, 2014.</w:t>
      </w:r>
    </w:p>
    <w:p>
      <w:pPr>
        <w:spacing w:after="0" w:line="126"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Selling, general and administrative expenses decreased $1.9 million, or 13.7%, to $12.0 million in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2015 as compared to $13.9 million in the six months ended June 30, 2014. The decrease was mainly attributable to a decrease in the allocation from Westlake of labor costs mainly attributable to the Predecessor's operations retained by Westlake after the closing of the IPO, partially offset by incremental general and administrative expenses incurred by the Partnership subsequent to the IPO as a result of being a separate publicly-traded partnership.</w:t>
      </w:r>
    </w:p>
    <w:p>
      <w:pPr>
        <w:spacing w:after="0" w:line="108"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by $5.0 million to $2.7 million in the six months ended June 30, 2015 from $7.7 million in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2014, due to the lower average debt balance as well as lower average interest rate in the six months ended June 30, 2015 as compared to the prior-year period. Lower average interest rate this six-month period as compared to the prior year period was due to the repayment of a significant portion of the August 2013 Promissory Notes that bears a higher interest rate as compared to other outstanding debts.</w:t>
      </w:r>
    </w:p>
    <w:p>
      <w:pPr>
        <w:spacing w:after="0" w:line="126" w:lineRule="exact"/>
        <w:rPr>
          <w:sz w:val="20"/>
          <w:szCs w:val="20"/>
          <w:color w:val="auto"/>
        </w:rPr>
      </w:pPr>
    </w:p>
    <w:p>
      <w:pPr>
        <w:ind w:right="10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decreased by $2.6 million in the six months ended June 30, 2015 from $2.6 million in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2014, primarily due to the absence of income attributable to the Predecessor's equity stake in a natural gas liquids pipeline joint venture that was not contributed to us in connection with the IPO.</w:t>
      </w:r>
    </w:p>
    <w:p>
      <w:pPr>
        <w:spacing w:after="0" w:line="120" w:lineRule="exact"/>
        <w:rPr>
          <w:sz w:val="20"/>
          <w:szCs w:val="20"/>
          <w:color w:val="auto"/>
        </w:rPr>
      </w:pPr>
    </w:p>
    <w:p>
      <w:pPr>
        <w:jc w:val="both"/>
        <w:ind w:right="6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effective income tax rate was 0.2% for the six months ended June 30, 2015. The effective income tax rate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2015 is not comparable to the effective income tax rate for the prior-year period as the Partnership is not subject to federal income taxes subsequent to the IPO. The effective income tax rate was 35.3% for the six months ended June 30, 2014. The effective income tax rate for the six months ended June 30, 2014 was above the U.S. federal statutory rate of 35.0% primarily due to state income taxes, mostly offset by the domestic manufacturing deduction and state income tax credits.</w:t>
      </w:r>
    </w:p>
    <w:p>
      <w:pPr>
        <w:spacing w:after="0" w:line="205" w:lineRule="exact"/>
        <w:rPr>
          <w:sz w:val="20"/>
          <w:szCs w:val="20"/>
          <w:color w:val="auto"/>
        </w:rPr>
      </w:pPr>
    </w:p>
    <w:p>
      <w:pPr>
        <w:ind w:right="442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CASH FLOW DISCUSSION FOR THE SIX MONTHS ENDED JUNE 30, 2015 AND 2014 </w:t>
      </w:r>
      <w:r>
        <w:rPr>
          <w:rFonts w:ascii="Times New Roman" w:cs="Times New Roman" w:eastAsia="Times New Roman" w:hAnsi="Times New Roman"/>
          <w:sz w:val="18"/>
          <w:szCs w:val="18"/>
          <w:b w:val="1"/>
          <w:bCs w:val="1"/>
          <w:i w:val="1"/>
          <w:iCs w:val="1"/>
          <w:color w:val="auto"/>
        </w:rPr>
        <w:t>Operating Activities</w:t>
      </w:r>
    </w:p>
    <w:p>
      <w:pPr>
        <w:spacing w:after="0" w:line="1"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Operating activities provided cash of $229.9 million in the first six months of 2015 compared to cash provided by operating activities of $378.9 million in the first six months of 2014. The $149.0 million decrease in cash flows from operating activities was mainly due to a decrease in income from operations and an increase in the use of cash for working capital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cash used for investing activities during the first six months of 2015 was $95.5 million as compared to net cash used for investing activities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$106.5 million in the first six months of 2014. Capital expenditures were $95.5 million in the first six months of 2015 compared to $106.2 million in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of 2014. Capital expenditures in the first six months of 2014 were mainly incurred on the feedstock conversion and ethylene expansion project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Calvert City Olefins.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cash used for financing activities during the first six months of 2015 was $130.8 million as compared to net cash used for financing activities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$272.4 million in the first six months of 2014. The activity during the first six months of 2015 was primarily related to the repayment of $135.3 million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2013 Promissory Notes and the total distributions of $184.2 million to the unitholders and Westlake by the Partnership and OpCo for the quarters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2014 and March 31, 2015. These repayment and distributions were partially offset by the borrowing under the MLP Revolver to fund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an additional 2.7% limited partner interest in OpCo for $135.3 million and borrowings under the OpCo Revolver of $53.4</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million. The activity during the first six months of 2014 was mainly related to the Predecessor's $376.6 million distribution to Westlake, partially offset by borrowings of $104.2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94"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Historically, the Predecessor's principal sources of liquidity was cash from operations and funding from Westlake. As a participant in Westlake's centralized cash management system, the Predecessor's cash receipts were deposited in Westlake's or its affiliates' bank accounts and cash disbursements were made from those accounts. Accordingly, the Predecessor's combined financial statements reflected no cash balances as any cash flow generated from the Predecessor's operations was deemed to have been distributed to Westlake and reflected as a net distribution to Westlake in the Predecessor's combined statements of cash flows.</w:t>
      </w:r>
    </w:p>
    <w:p>
      <w:pPr>
        <w:spacing w:after="0" w:line="130"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In addition to the cash generated by its operations, the Predecessor also entered into certain financing arrangements with Westlake to satisfy its capital and operating expenditure requirements. The Predecessor separately recorded costs associated with financing its operations resulting from financing arrangements entered into with Westlake.</w:t>
      </w:r>
    </w:p>
    <w:p>
      <w:pPr>
        <w:spacing w:after="0" w:line="122"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22"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the IPO, we established separate bank accounts, but Westlake continues to provide treasury services on our behalf under the Services and Secondment Agreement. Our sources of liquidity include cash generated from operations, the OpCo Revolver, the MLP Revolver and, if necessary,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w:t>
      </w:r>
    </w:p>
    <w:p>
      <w:pPr>
        <w:spacing w:after="0" w:line="130"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In order to fund non-annual turnaround expenditures, we caused OpCo to use $55.4 million from the net proceeds of the IPO to fund its initial balance for turnaround activities. We intend to cause OpCo to reserve approximately $29.3 million during each twelve-month period for turnaround activities. Each of OpCo's processing facilities requires turnaround maintenance approximately every five years. By creating an initial balance and reserving additional cash annually, we intend to reduce the variability in OpCo's cash flow. The initial balance of turnaround reserve will account for the period that the processing facilities were under Westlake's ownership following the last major turnaround and prior to the entry into the Ethylene Sales Agreement. Westlake's purchase price for ethylene purchased under the Ethylene Sales Agreement includes a component (adjusted annually) designed to cover, over the long term, substantially all of OpCo's turnaround expenditures.</w:t>
      </w:r>
    </w:p>
    <w:p>
      <w:pPr>
        <w:spacing w:after="0" w:line="135"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Our cash is generated from cash distributions from OpCo. OpCo is a restricted subsidiary and guarantor under Westlake's credit facility and the indentures governing its senior notes.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12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On July 29, 2015, the board of directors of Westlake Chemical Partners GP LLC, our general partner, approved a quarterly distribution of $0.2910 per unit payable on August 27, 2015 to unitholders of record on August 13, 2015, which equates to approximately $7.9 million per quarter, or approximately $31.6 million per year in aggregate, based on the number of common and subordinated units outstanding on June 30, 2015. We do not have a legal or contractual obligation to pay distributions on a quarterly basis or any other basis at our minimum quarterly distribution rate or any other 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9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In April 2011, Westlake announced an expansion program to increase the ethylene production capacity of both Petro 1 and Petro 2 ethylene facilities in Lake Charles. The expansion of Petro 2 was completed in the first quarter of 2013 and increased ethylene production capacity by approximately 240 million pounds annually. We currently plan to upgrade and expand the capacity of Petro 1 during the first half of 2016. This project is currently estimated to cost in the range of $275.0 million to $335.0 million and is expected to add approximately 250 million pounds of ethylene capacity annually. As of June 30, 2015, we had incurred a total cost of approximately $114.4 million on this capital project.</w:t>
      </w:r>
    </w:p>
    <w:p>
      <w:pPr>
        <w:spacing w:after="0" w:line="130" w:lineRule="exact"/>
        <w:rPr>
          <w:sz w:val="20"/>
          <w:szCs w:val="20"/>
          <w:color w:val="auto"/>
        </w:rPr>
      </w:pPr>
    </w:p>
    <w:p>
      <w:pPr>
        <w:jc w:val="both"/>
        <w:ind w:right="1080" w:firstLine="432"/>
        <w:spacing w:after="0" w:line="282" w:lineRule="auto"/>
        <w:rPr>
          <w:sz w:val="20"/>
          <w:szCs w:val="20"/>
          <w:color w:val="auto"/>
        </w:rPr>
      </w:pPr>
      <w:r>
        <w:rPr>
          <w:rFonts w:ascii="Times New Roman" w:cs="Times New Roman" w:eastAsia="Times New Roman" w:hAnsi="Times New Roman"/>
          <w:sz w:val="18"/>
          <w:szCs w:val="18"/>
          <w:color w:val="auto"/>
        </w:rPr>
        <w:t>In April 2014, the Predecessor completed the feedstock conversion and ethylene expansion project at Calvert City Olefins that resulted in approximately 180 million pounds of additional annual capacity and also provided OpCo with 100% ethane feedstock capability at the facility.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Westlake has historically funded capital expenditures related to Lake Charles Olefins and Calvert City Olefins. During the period from January 1, 2014 through August 3, 2014, Westlake loaned the Predecessor a principal amount of approximately $121.1 million, all of which was used for capital expenditures. During the period from August 4, 2014 through December 31, 2014 and during the six months ended June 30, 2015, Westlake loaned OpCo $60.5 million and $53.4 million, respectively, all of which was used for capital expenditures. Capital expenditures for 2015 are expected to be approximately $233.0 million, of which $95.5 million was spent during the six months ended June 30, 2015. We expect that Westlake will loan additional cash to OpCo to fund its expansion capital expenditures in the future, but Westlake is under no obligation to do so.</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94" w:lineRule="exact"/>
        <w:rPr>
          <w:sz w:val="20"/>
          <w:szCs w:val="20"/>
          <w:color w:val="auto"/>
        </w:rPr>
      </w:pPr>
    </w:p>
    <w:p>
      <w:pPr>
        <w:ind w:right="20" w:firstLine="392"/>
        <w:spacing w:after="0" w:line="255" w:lineRule="auto"/>
        <w:rPr>
          <w:sz w:val="20"/>
          <w:szCs w:val="20"/>
          <w:color w:val="auto"/>
        </w:rPr>
      </w:pPr>
      <w:r>
        <w:rPr>
          <w:rFonts w:ascii="Times New Roman" w:cs="Times New Roman" w:eastAsia="Times New Roman" w:hAnsi="Times New Roman"/>
          <w:sz w:val="18"/>
          <w:szCs w:val="18"/>
          <w:color w:val="auto"/>
        </w:rPr>
        <w:t>OpCo assumed $246.1 million of indebtedness under three intercompany promissory notes incurred by Westlake on behalf of the Predecessor (the "August 2013 Promissory Notes") in connection with the closing of the IPO. Using proceeds from the IPO, OpCo repaid $78.9 million of the outstanding principal amount of the August 2013 Promissory Notes during 2014. During the six months ended June 30, 2015, OpCo repaid $135.3 million of the outstanding principal amount of the remaining August 2013 Promissory Notes. As of June 30, 2015, $31.8 million of the principal amount of the August 2013 Promissory Notes was still outstanding. The August 2013 Promissory Notes have a ten-year term and bear interest at the prime rate plus a 1.5% margin, which is accrued in arrears quarterly. OpCo has the right at any time to prepay the August 2013 Promissory Notes, in whole or in part, without any premium or penalty. The August 2013 Promissory Notes mature in August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OpCo Revolver</w:t>
      </w:r>
    </w:p>
    <w:p>
      <w:pPr>
        <w:spacing w:after="0" w:line="92" w:lineRule="exact"/>
        <w:rPr>
          <w:sz w:val="20"/>
          <w:szCs w:val="20"/>
          <w:color w:val="auto"/>
        </w:rPr>
      </w:pPr>
    </w:p>
    <w:p>
      <w:pPr>
        <w:ind w:right="80" w:firstLine="392"/>
        <w:spacing w:after="0" w:line="266" w:lineRule="auto"/>
        <w:rPr>
          <w:sz w:val="20"/>
          <w:szCs w:val="20"/>
          <w:color w:val="auto"/>
        </w:rPr>
      </w:pPr>
      <w:r>
        <w:rPr>
          <w:rFonts w:ascii="Times New Roman" w:cs="Times New Roman" w:eastAsia="Times New Roman" w:hAnsi="Times New Roman"/>
          <w:sz w:val="18"/>
          <w:szCs w:val="18"/>
          <w:color w:val="auto"/>
        </w:rPr>
        <w:t>In connection with the IPO, OpCo entered into a $600.0 million revolving credit facility with Westlake (OpCo Revolver") that may be used to fund growth projects and working capital needs. As of June 30, 2015, outstanding borrowings under the OpCo Revolver totaled $113.9 million and bore interest at the LIBOR rate plus 3.0%, which is accrued in arrears quarterly. The OpCo Revolver matures in 2019.</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MLP Revolver</w:t>
      </w:r>
    </w:p>
    <w:p>
      <w:pPr>
        <w:spacing w:after="0" w:line="9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April 2015 we entered into a $300.0 million senior, unsecured revolving credit agreement with Westlake Chemical Finance Corporation, an affiliate of Westlake ("MLP Revolver"). The MLP Revolver is scheduled to mature on April 29, 2018. Borrowings under the MLP Revolver bear interest at LIBOR plus a spread ranging from 2.0% to 3.0% (depending on our consolidated leverage ratio), payable quarterly.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June 30, 2015, there were $135.3 million principal amount of borrowings outstanding under the MLP Revolver. We intend to use the MLP Revolver to purchase additional limited partnership interests in OpCo in the future, in the event OpCo desires to sell such additional interests to 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5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ethane that we are able to process, which could be adversely affected by, among other things, operating difficulties;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ethylene that we are able to sell;</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are able to sell ethylene;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Westlake, including our expectations regarding any additional volumes of ethylene Westlake may take in excess of its minimum commitment under the Ethylene Sales Agreement and the possibility of obtaining additional financing from Westlake;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sources of feedstock purchases;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 and availability of electricity;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prevailing economic conditions;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ground, grade or water conditions;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inclement or hazardous weather conditions, including flooding, and the physical impacts of climate change;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hazards;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accidents;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(or the interpretation thereof);</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acquire or maintain necessary permits;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necessary production equipment or replacement parts;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 or failures;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 delivery of raw materials;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collecting receivables;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our customers to take delivery;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 and availability of transportation;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explosions or other accidents;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funds and access capital markets;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factors discussed elsewhere in this report;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proposed regulations by the U.S. Treasury Department and the IRS on our status as a partnership for U.S. federal income tax purposes.</w:t>
      </w:r>
    </w:p>
    <w:p>
      <w:pPr>
        <w:spacing w:after="0" w:line="171"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in "Risk Factors" in the 2014 Form 10-K and as discussed in Part II "Other Information", Item 1A "Risk Factors" within this Quarterly Report on Form 10-Q.</w:t>
      </w:r>
    </w:p>
    <w:p>
      <w:pPr>
        <w:spacing w:after="0" w:line="13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94"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A substantial portion of the Predecessor's and the Partnership's products and raw materials are commodities whose prices fluctuate as market supply and demand fundamentals change. Accordingly, the Predecessor's and our product margins and level of profitability tend to fluctuate with changes in the business cycle. The Predecessor tried to protect against such instability through various business strategies. These strategies included ethylene feedstock flexibility and the use of derivative instruments in certain instances to reduce price volatility risk on feedstocks. In connection with the IPO, Westlake retained the Predecessor's open derivative positions. Since the IPO, the Partnership has not entered into any derivative transaction. As such, as of June 30, 2015, we had no open derivative positions.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are exposed to interest rate risk with respect to our variable rate debt. At June 30, 2015, we had variable rate debt of $281.0 million outstanding, all of which was owed to wholly owned subsidiaries of Westlake, $31.8 million of which accrues interest at a variable rate of prime plus 150 basis points, $113.9 million of which accrues interest at a variable rate of LIBOR plus 300 basis points and the remaining $135.3 million of which accrues interest at a variable rate of LIBOR plus 200 basis points. Historically, neither the Partnership nor the Predecessor engaged in hedging of variable rate debt. The weighted average variable interest rate of our variable rate debt as of June 30, 2015 was 2.97%. We will continue to be subject to interest rate risk with respect to our variable rate debt as well as the risk of higher interest cost if and when these debts are refinanced. An increase in our average interest rate by 1% would increase our annual interest expense by approximately $2.8 million, based on the June 30, 2015 debt balance.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4"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Senior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 and Changes in Internal Control Over Financial Reporting</w:t>
      </w:r>
    </w:p>
    <w:p>
      <w:pPr>
        <w:spacing w:after="0" w:line="94"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The SEC, as required by Section 404 of the Sarbanes-Oxley Act, adopted rules that generally require every registrant that files reports with the SEC to include a management report on such registrant's internal control over financial reporting in its annual report. In addition, our independent registered public accounting firm must attest to our internal control over financial reporting. Our first annual report on Form 10-K did not include a report of management's assessment regarding internal control over financial reporting or an attestation report of our independent registered public accounting firm due to a transition period established by SEC rules applicable to new public companies. We are required to provide an assessment of the effectiveness of our internal control over financial reporting and comply with the auditor attestation requirement of Section 404 of the Sarbanes Oxley-Act as of December 31, 2015. There were no changes in our internal control over financial reporting that occurred during the three months ended June 30, 2015 that have materially affected, or are reasonably likely to materially affect, our internal control over financial reporting.</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4"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2014 Form 10-K, filed on March 9, 2015, contained a description of various legal proceedings in which we are involved, including environmental proceedings. See Note 14 to the unaudited combined and consolidated financial statements within this Quarterly Report on Form 10-Q for a description of certain of those proceedings, which information is incorporated by reference herein. In addition, under the Omnibus Agreement, Westlake has agreed to indemnify the Partnership for certain environmental and other liabilities relating to OpCo's processing facilities and related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For a discussion of risk factors, please read Item IA, "Risk Factors" in the 2014 Form 10-K. There have been no material changes from those risk factors, except as discussed below:</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tax treatment depends on our status as a partnership for U.S. federal income tax purposes. Proposed regulations made public by the U.S. Treasury Department and the IRS on May 5, 2015 may make it difficult or impossible for us to maintain our status as a partnership after a ten-year transition period.</w:t>
      </w:r>
    </w:p>
    <w:p>
      <w:pPr>
        <w:spacing w:after="0" w:line="40" w:lineRule="exact"/>
        <w:rPr>
          <w:sz w:val="20"/>
          <w:szCs w:val="20"/>
          <w:color w:val="auto"/>
        </w:rPr>
      </w:pPr>
    </w:p>
    <w:p>
      <w:pPr>
        <w:jc w:val="both"/>
        <w:ind w:right="20" w:firstLine="392"/>
        <w:spacing w:after="0" w:line="261" w:lineRule="auto"/>
        <w:rPr>
          <w:sz w:val="20"/>
          <w:szCs w:val="20"/>
          <w:color w:val="auto"/>
        </w:rPr>
      </w:pPr>
      <w:r>
        <w:rPr>
          <w:rFonts w:ascii="Times New Roman" w:cs="Times New Roman" w:eastAsia="Times New Roman" w:hAnsi="Times New Roman"/>
          <w:sz w:val="18"/>
          <w:szCs w:val="18"/>
          <w:color w:val="auto"/>
        </w:rPr>
        <w:t>Despite the fact that we are organized as a limited partnership under Delaware law, we would be treated as a corporation for U.S. federal income tax purposes unless we satisfy a “qualifying income” requirement (the “Qualifying Income Exception”) under Section 7704 of the Internal Revenue Code of 1986, as amended (the “Code”). Failing to meet the Qualifying Income Exception would cause us to be treated as a corporation for U.S. federal income tax purposes or otherwise subject us to taxation as an entity.</w:t>
      </w:r>
    </w:p>
    <w:p>
      <w:pPr>
        <w:spacing w:after="0" w:line="126"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8"/>
          <w:szCs w:val="18"/>
          <w:color w:val="auto"/>
        </w:rPr>
        <w:t>Prior to our initial public offering, we requested and obtained a favorable private letter ruling from the IRS to the effect that the production, transportation, storage and marketing of ethylene and its co-products constitutes “qualifying income” within the meaning of the Code.</w:t>
      </w:r>
    </w:p>
    <w:p>
      <w:pPr>
        <w:spacing w:after="0" w:line="108"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On May 5, 2015, the U.S. Treasury Department and the IRS issued proposed regulations (the “Proposed Regulations”) regarding qualifying income under Section 7704(d)(1)(E) of the Code. The Proposed Regulations provide industry-specific rules regarding the Qualifying Income Exception, including whether an activity constitutes the processing or refining of a natural resource, which limit the extent to which the refining of products derived from crude oil and natural gas constitutes qualifying income. In the event that an activity does not satisfy the standards set forth in the final regulations, the Proposed Regulations include a proposed ten-year transition period for partnerships, like us, who already received a private letter ruling that the income from that activity was qualifying income. If the Proposed Regulations become final in their current form, such final regulations would make it difficult or impossible for us to satisfy the Qualifying Income Exception after the proposed ten-year transition period.</w:t>
      </w:r>
    </w:p>
    <w:p>
      <w:pPr>
        <w:spacing w:after="0" w:line="135"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The U.S. Treasury Department and the IRS have requested comments from industry participants regarding the standards set forth in the Proposed Regulations. We are participating in the comment process, and look forward to continued dialogue with the IRS and the Treasury Department regarding our private letter ruling and the appropriate meaning of “processing and refining” natural gas liquids. In the event that we do not satisfy the standards set forth in the final regulations, the final regulations will likely provide the proposed ten-year transition period. During the transition period, we may continue to rely on our private letter ruling, allowing us to maintain our treatment as a partnership. If we were not able to satisfy the standards of the final regulations after the transition period, we would then be treated as a corporation for U.S. federal income tax purposes for taxable periods after the transition period.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Westlake may be unable or unwilling to satisfy its obligations under the MLP Revolver, which may limit our ability to fund acquisitions.</w:t>
      </w:r>
    </w:p>
    <w:p>
      <w:pPr>
        <w:spacing w:after="0" w:line="94" w:lineRule="exact"/>
        <w:rPr>
          <w:sz w:val="20"/>
          <w:szCs w:val="20"/>
          <w:color w:val="auto"/>
        </w:rPr>
      </w:pPr>
    </w:p>
    <w:p>
      <w:pPr>
        <w:jc w:val="both"/>
        <w:ind w:right="380" w:firstLine="405"/>
        <w:spacing w:after="0" w:line="272" w:lineRule="auto"/>
        <w:rPr>
          <w:sz w:val="20"/>
          <w:szCs w:val="20"/>
          <w:color w:val="auto"/>
        </w:rPr>
      </w:pPr>
      <w:r>
        <w:rPr>
          <w:rFonts w:ascii="Times New Roman" w:cs="Times New Roman" w:eastAsia="Times New Roman" w:hAnsi="Times New Roman"/>
          <w:sz w:val="17"/>
          <w:szCs w:val="17"/>
          <w:color w:val="auto"/>
        </w:rPr>
        <w:t>We expect to utilize the MLP Revolver in future acquisitions, including any potential purchases of additional interests in OpCo. Westlake Chemical Finance Corporation ("Finance Corp."), a wholly owned subsidiary of Westlake, is the sole lender under the MLP Revolver. Finance Corp. has no assets, other than our obligation to pay principal and interest under the MLP Revolver, and Westlake has no obligation to provide Finance Corp. with capital.</w:t>
      </w:r>
    </w:p>
    <w:p>
      <w:pPr>
        <w:spacing w:after="0" w:line="2"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18"/>
          <w:szCs w:val="18"/>
          <w:color w:val="auto"/>
        </w:rPr>
        <w:t>Westlake may be unable or unwilling to make capital contributions to Finance Corp. to enable Finance Corp. to satisfy its obligations under the MLP Revolver because of restrictions under Westlake's indenture and other debt obligations or because of general market conditions. If Westlake is unable or unwilling to make capital contributions to Finance Corp., Westlake may not provide us potential opportunities to purchase additional interests in OpCo or other assets that it may otherwise have provided us, or may condition any such opportunities on us obtaining alternative financing.</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680" w:type="dxa"/>
            <w:vAlign w:val="bottom"/>
          </w:tcPr>
          <w:p>
            <w:pPr>
              <w:spacing w:after="0"/>
              <w:rPr>
                <w:sz w:val="13"/>
                <w:szCs w:val="13"/>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r>
      <w:tr>
        <w:trPr>
          <w:trHeight w:val="367"/>
        </w:trPr>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6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Unsecured Revolving Credit Agreement by and among Westlake Chemical Partners GP LLC and Westlake Chemical Finance</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Corporation, dated as of April 29, 2015 (incorporated by reference to Exhibit 10.1 to Westlake Chemical Partners LP's Current Report on</w:t>
            </w:r>
          </w:p>
        </w:tc>
      </w:tr>
      <w:tr>
        <w:trPr>
          <w:trHeight w:val="234"/>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8-K filed on April 30, 2015, File No. 1-36567)</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13a – 14(a) / 15d – 14(a) Certification (Principal Executive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13a – 14(a) / 15d – 14(a) Certification (Principal Financial Officer)</w:t>
            </w:r>
          </w:p>
        </w:tc>
      </w:tr>
      <w:tr>
        <w:trPr>
          <w:trHeight w:val="392"/>
        </w:trPr>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6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9"/>
              </w:rPr>
              <w:t>_____________</w:t>
            </w:r>
          </w:p>
        </w:tc>
        <w:tc>
          <w:tcPr>
            <w:tcW w:w="700" w:type="dxa"/>
            <w:vAlign w:val="bottom"/>
          </w:tcPr>
          <w:p>
            <w:pPr>
              <w:spacing w:after="0"/>
              <w:rPr>
                <w:sz w:val="21"/>
                <w:szCs w:val="21"/>
                <w:color w:val="auto"/>
              </w:rPr>
            </w:pPr>
          </w:p>
        </w:tc>
        <w:tc>
          <w:tcPr>
            <w:tcW w:w="9180" w:type="dxa"/>
            <w:vAlign w:val="bottom"/>
          </w:tcPr>
          <w:p>
            <w:pPr>
              <w:spacing w:after="0"/>
              <w:rPr>
                <w:sz w:val="21"/>
                <w:szCs w:val="21"/>
                <w:color w:val="auto"/>
              </w:rPr>
            </w:pPr>
          </w:p>
        </w:tc>
      </w:tr>
    </w:tbl>
    <w:p>
      <w:pPr>
        <w:spacing w:after="0" w:line="36"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00"/>
          </w:cols>
          <w:pgMar w:left="240" w:top="121" w:right="3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WESTLAKE CHEMICAL PARTNERS LP</w:t>
      </w:r>
    </w:p>
    <w:p>
      <w:pPr>
        <w:spacing w:after="0" w:line="337" w:lineRule="exact"/>
        <w:rPr>
          <w:sz w:val="20"/>
          <w:szCs w:val="20"/>
          <w:color w:val="auto"/>
        </w:rPr>
      </w:pPr>
    </w:p>
    <w:p>
      <w:pPr>
        <w:ind w:left="40"/>
        <w:spacing w:after="0"/>
        <w:tabs>
          <w:tab w:leader="none" w:pos="600" w:val="left"/>
          <w:tab w:leader="none" w:pos="6540" w:val="left"/>
          <w:tab w:leader="none" w:pos="8500" w:val="left"/>
          <w:tab w:leader="none" w:pos="8860" w:val="left"/>
        </w:tabs>
        <w:rPr>
          <w:sz w:val="20"/>
          <w:szCs w:val="20"/>
          <w:color w:val="auto"/>
        </w:rPr>
      </w:pPr>
      <w:r>
        <w:rPr>
          <w:rFonts w:ascii="Times New Roman" w:cs="Times New Roman" w:eastAsia="Times New Roman" w:hAnsi="Times New Roman"/>
          <w:sz w:val="18"/>
          <w:szCs w:val="18"/>
          <w:color w:val="auto"/>
        </w:rPr>
        <w:t>Date:</w:t>
        <w:tab/>
        <w:t>August 5,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w:t>
      </w:r>
      <w:r>
        <w:rPr>
          <w:rFonts w:ascii="Times New Roman" w:cs="Times New Roman" w:eastAsia="Times New Roman" w:hAnsi="Times New Roman"/>
          <w:sz w:val="13"/>
          <w:szCs w:val="13"/>
          <w:color w:val="auto"/>
        </w:rPr>
        <w:t>LBERT</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34290</wp:posOffset>
            </wp:positionV>
            <wp:extent cx="274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8"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730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spacing w:after="0" w:line="1"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54" w:lineRule="exact"/>
        <w:rPr>
          <w:sz w:val="20"/>
          <w:szCs w:val="20"/>
          <w:color w:val="auto"/>
        </w:rPr>
      </w:pPr>
    </w:p>
    <w:p>
      <w:pPr>
        <w:ind w:left="40"/>
        <w:spacing w:after="0"/>
        <w:tabs>
          <w:tab w:leader="none" w:pos="600" w:val="left"/>
          <w:tab w:leader="none" w:pos="6540" w:val="left"/>
          <w:tab w:leader="none" w:pos="8300" w:val="left"/>
          <w:tab w:leader="none" w:pos="8660" w:val="left"/>
        </w:tabs>
        <w:rPr>
          <w:sz w:val="20"/>
          <w:szCs w:val="20"/>
          <w:color w:val="auto"/>
        </w:rPr>
      </w:pPr>
      <w:r>
        <w:rPr>
          <w:rFonts w:ascii="Times New Roman" w:cs="Times New Roman" w:eastAsia="Times New Roman" w:hAnsi="Times New Roman"/>
          <w:sz w:val="18"/>
          <w:szCs w:val="18"/>
          <w:color w:val="auto"/>
        </w:rPr>
        <w:t>Date:</w:t>
        <w:tab/>
        <w:t>August 5,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34290</wp:posOffset>
            </wp:positionV>
            <wp:extent cx="274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8"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Senior Vice President, Chief Financial Officer,</w:t>
      </w:r>
    </w:p>
    <w:p>
      <w:pPr>
        <w:jc w:val="center"/>
        <w:ind w:left="7300"/>
        <w:spacing w:after="0" w:line="229" w:lineRule="auto"/>
        <w:rPr>
          <w:sz w:val="20"/>
          <w:szCs w:val="20"/>
          <w:color w:val="auto"/>
        </w:rPr>
      </w:pPr>
      <w:r>
        <w:rPr>
          <w:rFonts w:ascii="Times New Roman" w:cs="Times New Roman" w:eastAsia="Times New Roman" w:hAnsi="Times New Roman"/>
          <w:sz w:val="14"/>
          <w:szCs w:val="14"/>
          <w:b w:val="1"/>
          <w:bCs w:val="1"/>
          <w:color w:val="auto"/>
        </w:rPr>
        <w:t>Treasurer and Director of</w:t>
      </w:r>
    </w:p>
    <w:p>
      <w:pPr>
        <w:jc w:val="center"/>
        <w:ind w:left="7300"/>
        <w:spacing w:after="0" w:line="222"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4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00"/>
          </w:cols>
          <w:pgMar w:left="240" w:top="121" w:right="7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4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5"/>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6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r>
      <w:tr>
        <w:trPr>
          <w:trHeight w:val="367"/>
        </w:trPr>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6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Unsecured Revolving Credit Agreement by and among Westlake Chemical Partners GP LLC and Westlake Chemical Finance</w:t>
            </w:r>
          </w:p>
        </w:tc>
      </w:tr>
      <w:tr>
        <w:trPr>
          <w:trHeight w:val="216"/>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Corporation, dated as of April 29, 2015 (incorporated by reference to Exhibit 10.1 to Westlake Chemical Partners LP's Current Report on</w:t>
            </w:r>
          </w:p>
        </w:tc>
      </w:tr>
      <w:tr>
        <w:trPr>
          <w:trHeight w:val="234"/>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8-K filed on April 30, 2015, File No. 1-36567)</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13a – 14(a) / 15d – 14(a) Certification (Principal Executive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13a – 14(a) / 15d – 14(a) Certification (Principal Financial Officer)</w:t>
            </w:r>
          </w:p>
        </w:tc>
      </w:tr>
      <w:tr>
        <w:trPr>
          <w:trHeight w:val="392"/>
        </w:trPr>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68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9"/>
              </w:rPr>
              <w:t>_____________</w:t>
            </w:r>
          </w:p>
        </w:tc>
        <w:tc>
          <w:tcPr>
            <w:tcW w:w="440" w:type="dxa"/>
            <w:vAlign w:val="bottom"/>
          </w:tcPr>
          <w:p>
            <w:pPr>
              <w:spacing w:after="0"/>
              <w:rPr>
                <w:sz w:val="21"/>
                <w:szCs w:val="21"/>
                <w:color w:val="auto"/>
              </w:rPr>
            </w:pPr>
          </w:p>
        </w:tc>
        <w:tc>
          <w:tcPr>
            <w:tcW w:w="9440" w:type="dxa"/>
            <w:vAlign w:val="bottom"/>
          </w:tcPr>
          <w:p>
            <w:pPr>
              <w:spacing w:after="0"/>
              <w:rPr>
                <w:sz w:val="21"/>
                <w:szCs w:val="21"/>
                <w:color w:val="auto"/>
              </w:rPr>
            </w:pPr>
          </w:p>
        </w:tc>
      </w:tr>
    </w:tbl>
    <w:p>
      <w:pPr>
        <w:spacing w:after="0" w:line="36"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00"/>
          </w:cols>
          <w:pgMar w:left="240" w:top="121" w:right="35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Albert Chao, certify that:</w:t>
      </w:r>
    </w:p>
    <w:p>
      <w:pPr>
        <w:spacing w:after="0" w:line="171" w:lineRule="exact"/>
        <w:rPr>
          <w:sz w:val="20"/>
          <w:szCs w:val="20"/>
          <w:color w:val="auto"/>
        </w:rPr>
      </w:pPr>
    </w:p>
    <w:p>
      <w:pPr>
        <w:ind w:left="720" w:hanging="685"/>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w:t>
      </w:r>
    </w:p>
    <w:p>
      <w:pPr>
        <w:spacing w:after="0" w:line="198" w:lineRule="exact"/>
        <w:rPr>
          <w:rFonts w:ascii="Times New Roman" w:cs="Times New Roman" w:eastAsia="Times New Roman" w:hAnsi="Times New Roman"/>
          <w:sz w:val="18"/>
          <w:szCs w:val="18"/>
          <w:color w:val="auto"/>
        </w:rPr>
      </w:pPr>
    </w:p>
    <w:p>
      <w:pPr>
        <w:jc w:val="both"/>
        <w:ind w:left="720" w:right="220" w:hanging="685"/>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720" w:right="180" w:hanging="685"/>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720" w:right="440" w:hanging="685"/>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4" w:lineRule="exact"/>
        <w:rPr>
          <w:rFonts w:ascii="Times New Roman" w:cs="Times New Roman" w:eastAsia="Times New Roman" w:hAnsi="Times New Roman"/>
          <w:sz w:val="18"/>
          <w:szCs w:val="18"/>
          <w:color w:val="auto"/>
        </w:rPr>
      </w:pPr>
    </w:p>
    <w:p>
      <w:pPr>
        <w:ind w:left="1420" w:right="180" w:hanging="696"/>
        <w:spacing w:after="0" w:line="266" w:lineRule="auto"/>
        <w:tabs>
          <w:tab w:leader="none" w:pos="14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ind w:left="1420" w:right="280" w:hanging="696"/>
        <w:spacing w:after="0" w:line="313" w:lineRule="auto"/>
        <w:tabs>
          <w:tab w:leader="none" w:pos="14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7"/>
          <w:szCs w:val="17"/>
          <w:color w:val="auto"/>
        </w:rPr>
      </w:pPr>
    </w:p>
    <w:p>
      <w:pPr>
        <w:ind w:left="1420" w:right="360" w:hanging="696"/>
        <w:spacing w:after="0" w:line="266" w:lineRule="auto"/>
        <w:tabs>
          <w:tab w:leader="none" w:pos="14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720" w:right="140" w:hanging="685"/>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420" w:right="580" w:hanging="696"/>
        <w:spacing w:after="0" w:line="282" w:lineRule="auto"/>
        <w:tabs>
          <w:tab w:leader="none" w:pos="14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420" w:right="280" w:hanging="696"/>
        <w:spacing w:after="0" w:line="282" w:lineRule="auto"/>
        <w:tabs>
          <w:tab w:leader="none" w:pos="14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40"/>
        <w:spacing w:after="0"/>
        <w:tabs>
          <w:tab w:leader="none" w:pos="700" w:val="left"/>
          <w:tab w:leader="none" w:pos="8440" w:val="left"/>
          <w:tab w:leader="none" w:pos="8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5, 2015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A</w:t>
      </w:r>
      <w:r>
        <w:rPr>
          <w:rFonts w:ascii="Times New Roman" w:cs="Times New Roman" w:eastAsia="Times New Roman" w:hAnsi="Times New Roman"/>
          <w:sz w:val="14"/>
          <w:szCs w:val="14"/>
          <w:color w:val="auto"/>
        </w:rPr>
        <w:t>LBERT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34290</wp:posOffset>
            </wp:positionV>
            <wp:extent cx="2813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4"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42"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720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spacing w:after="0" w:line="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420"/>
          </w:cols>
          <w:pgMar w:left="240" w:top="576"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171" w:lineRule="exact"/>
        <w:rPr>
          <w:sz w:val="20"/>
          <w:szCs w:val="20"/>
          <w:color w:val="auto"/>
        </w:rPr>
      </w:pPr>
    </w:p>
    <w:p>
      <w:pPr>
        <w:ind w:left="720" w:hanging="685"/>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Chemical Partners LP;</w:t>
      </w:r>
    </w:p>
    <w:p>
      <w:pPr>
        <w:spacing w:after="0" w:line="198" w:lineRule="exact"/>
        <w:rPr>
          <w:rFonts w:ascii="Times New Roman" w:cs="Times New Roman" w:eastAsia="Times New Roman" w:hAnsi="Times New Roman"/>
          <w:sz w:val="18"/>
          <w:szCs w:val="18"/>
          <w:color w:val="auto"/>
        </w:rPr>
      </w:pPr>
    </w:p>
    <w:p>
      <w:pPr>
        <w:jc w:val="both"/>
        <w:ind w:left="720" w:right="220" w:hanging="685"/>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720" w:right="180" w:hanging="685"/>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720" w:right="440" w:hanging="685"/>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4" w:lineRule="exact"/>
        <w:rPr>
          <w:rFonts w:ascii="Times New Roman" w:cs="Times New Roman" w:eastAsia="Times New Roman" w:hAnsi="Times New Roman"/>
          <w:sz w:val="18"/>
          <w:szCs w:val="18"/>
          <w:color w:val="auto"/>
        </w:rPr>
      </w:pPr>
    </w:p>
    <w:p>
      <w:pPr>
        <w:ind w:left="1420" w:right="180" w:hanging="696"/>
        <w:spacing w:after="0" w:line="266" w:lineRule="auto"/>
        <w:tabs>
          <w:tab w:leader="none" w:pos="14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ind w:left="1420" w:right="280" w:hanging="696"/>
        <w:spacing w:after="0" w:line="313" w:lineRule="auto"/>
        <w:tabs>
          <w:tab w:leader="none" w:pos="142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7"/>
          <w:szCs w:val="17"/>
          <w:color w:val="auto"/>
        </w:rPr>
      </w:pPr>
    </w:p>
    <w:p>
      <w:pPr>
        <w:ind w:left="1420" w:right="360" w:hanging="696"/>
        <w:spacing w:after="0" w:line="266" w:lineRule="auto"/>
        <w:tabs>
          <w:tab w:leader="none" w:pos="14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720" w:right="140" w:hanging="685"/>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420" w:right="580" w:hanging="696"/>
        <w:spacing w:after="0" w:line="282" w:lineRule="auto"/>
        <w:tabs>
          <w:tab w:leader="none" w:pos="14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420" w:right="280" w:hanging="696"/>
        <w:spacing w:after="0" w:line="282" w:lineRule="auto"/>
        <w:tabs>
          <w:tab w:leader="none" w:pos="14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40"/>
        <w:spacing w:after="0"/>
        <w:tabs>
          <w:tab w:leader="none" w:pos="600" w:val="left"/>
          <w:tab w:leader="none" w:pos="8380" w:val="left"/>
        </w:tabs>
        <w:rPr>
          <w:sz w:val="20"/>
          <w:szCs w:val="20"/>
          <w:color w:val="auto"/>
        </w:rPr>
      </w:pPr>
      <w:r>
        <w:rPr>
          <w:rFonts w:ascii="Times New Roman" w:cs="Times New Roman" w:eastAsia="Times New Roman" w:hAnsi="Times New Roman"/>
          <w:sz w:val="18"/>
          <w:szCs w:val="18"/>
          <w:color w:val="auto"/>
        </w:rPr>
        <w:t>Date:</w:t>
        <w:tab/>
        <w:t>August 5, 2015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4"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4"/>
          <w:szCs w:val="14"/>
          <w:b w:val="1"/>
          <w:bCs w:val="1"/>
          <w:color w:val="auto"/>
        </w:rPr>
        <w:t>Senior Vice President, Chief Financial Officer Treasurer and Director</w:t>
      </w:r>
    </w:p>
    <w:p>
      <w:pPr>
        <w:jc w:val="center"/>
        <w:ind w:left="7080"/>
        <w:spacing w:after="0" w:line="229" w:lineRule="auto"/>
        <w:rPr>
          <w:sz w:val="20"/>
          <w:szCs w:val="20"/>
          <w:color w:val="auto"/>
        </w:rPr>
      </w:pPr>
      <w:r>
        <w:rPr>
          <w:rFonts w:ascii="Times New Roman" w:cs="Times New Roman" w:eastAsia="Times New Roman" w:hAnsi="Times New Roman"/>
          <w:sz w:val="14"/>
          <w:szCs w:val="14"/>
          <w:b w:val="1"/>
          <w:bCs w:val="1"/>
          <w:color w:val="auto"/>
        </w:rPr>
        <w:t>of</w:t>
      </w:r>
    </w:p>
    <w:p>
      <w:pPr>
        <w:jc w:val="center"/>
        <w:ind w:left="7080"/>
        <w:spacing w:after="0" w:line="222"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420"/>
          </w:cols>
          <w:pgMar w:left="240" w:top="576"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Westlake Chemical Partners LP (the "Partnership") on Form 10-Q for the fiscal quarter ended June 30, 2015 as filed with the Securities and Exchange Commission on the date hereof (the "Report"), I, Albert Chao, President, Chief Executive Officer and Director of the Partnership, and I, M. Steven Bender, Senior Vice President, Chief Financial Officer, Treasurer and Director of the Partnership, certify, to the best of our knowledge, pursuant to 18 U.S.C. §1350, as adopted pursuant to §906 of the Sarbanes-Oxley Act of 2002, that:</w:t>
      </w:r>
    </w:p>
    <w:p>
      <w:pPr>
        <w:spacing w:after="0" w:line="72" w:lineRule="exact"/>
        <w:rPr>
          <w:sz w:val="20"/>
          <w:szCs w:val="20"/>
          <w:color w:val="auto"/>
        </w:rPr>
      </w:pPr>
    </w:p>
    <w:p>
      <w:pPr>
        <w:ind w:left="540" w:hanging="316"/>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295" w:lineRule="exact"/>
        <w:rPr>
          <w:sz w:val="20"/>
          <w:szCs w:val="20"/>
          <w:color w:val="auto"/>
        </w:rPr>
      </w:pPr>
    </w:p>
    <w:p>
      <w:pPr>
        <w:ind w:left="40"/>
        <w:spacing w:after="0"/>
        <w:tabs>
          <w:tab w:leader="none" w:pos="600" w:val="left"/>
          <w:tab w:leader="none" w:pos="8380" w:val="left"/>
          <w:tab w:leader="none" w:pos="8740" w:val="left"/>
        </w:tabs>
        <w:rPr>
          <w:sz w:val="20"/>
          <w:szCs w:val="20"/>
          <w:color w:val="auto"/>
        </w:rPr>
      </w:pPr>
      <w:r>
        <w:rPr>
          <w:rFonts w:ascii="Times New Roman" w:cs="Times New Roman" w:eastAsia="Times New Roman" w:hAnsi="Times New Roman"/>
          <w:sz w:val="18"/>
          <w:szCs w:val="18"/>
          <w:color w:val="auto"/>
        </w:rPr>
        <w:t>Date:</w:t>
        <w:tab/>
        <w:t>August 5, 2015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A</w:t>
      </w:r>
      <w:r>
        <w:rPr>
          <w:rFonts w:ascii="Times New Roman" w:cs="Times New Roman" w:eastAsia="Times New Roman" w:hAnsi="Times New Roman"/>
          <w:sz w:val="14"/>
          <w:szCs w:val="14"/>
          <w:color w:val="auto"/>
        </w:rPr>
        <w:t>LBERT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4"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4"/>
          <w:szCs w:val="14"/>
          <w:b w:val="1"/>
          <w:bCs w:val="1"/>
          <w:color w:val="auto"/>
        </w:rPr>
        <w:t>Albert Chao</w:t>
      </w:r>
    </w:p>
    <w:p>
      <w:pPr>
        <w:spacing w:after="0" w:line="4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President, Chief Executive Officer and Director of</w:t>
      </w:r>
    </w:p>
    <w:p>
      <w:pPr>
        <w:jc w:val="center"/>
        <w:ind w:left="7080"/>
        <w:spacing w:after="0" w:line="229"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spacing w:after="0" w:line="1"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81" w:lineRule="exact"/>
        <w:rPr>
          <w:sz w:val="20"/>
          <w:szCs w:val="20"/>
          <w:color w:val="auto"/>
        </w:rPr>
      </w:pPr>
    </w:p>
    <w:p>
      <w:pPr>
        <w:ind w:left="40"/>
        <w:spacing w:after="0"/>
        <w:tabs>
          <w:tab w:leader="none" w:pos="600" w:val="left"/>
          <w:tab w:leader="none" w:pos="8180" w:val="left"/>
          <w:tab w:leader="none" w:pos="8540" w:val="left"/>
        </w:tabs>
        <w:rPr>
          <w:sz w:val="20"/>
          <w:szCs w:val="20"/>
          <w:color w:val="auto"/>
        </w:rPr>
      </w:pPr>
      <w:r>
        <w:rPr>
          <w:rFonts w:ascii="Times New Roman" w:cs="Times New Roman" w:eastAsia="Times New Roman" w:hAnsi="Times New Roman"/>
          <w:sz w:val="18"/>
          <w:szCs w:val="18"/>
          <w:color w:val="auto"/>
        </w:rPr>
        <w:t>Date:</w:t>
        <w:tab/>
        <w:t>August 5, 2015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34290</wp:posOffset>
            </wp:positionV>
            <wp:extent cx="2889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4"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42"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Senior Vice President, Chief Financial Officer,</w:t>
      </w:r>
    </w:p>
    <w:p>
      <w:pPr>
        <w:jc w:val="center"/>
        <w:ind w:left="7080"/>
        <w:spacing w:after="0" w:line="229" w:lineRule="auto"/>
        <w:rPr>
          <w:sz w:val="20"/>
          <w:szCs w:val="20"/>
          <w:color w:val="auto"/>
        </w:rPr>
      </w:pPr>
      <w:r>
        <w:rPr>
          <w:rFonts w:ascii="Times New Roman" w:cs="Times New Roman" w:eastAsia="Times New Roman" w:hAnsi="Times New Roman"/>
          <w:sz w:val="14"/>
          <w:szCs w:val="14"/>
          <w:b w:val="1"/>
          <w:bCs w:val="1"/>
          <w:color w:val="auto"/>
        </w:rPr>
        <w:t>Treasurer and Director of</w:t>
      </w:r>
    </w:p>
    <w:p>
      <w:pPr>
        <w:jc w:val="center"/>
        <w:ind w:left="7080"/>
        <w:spacing w:after="0" w:line="222" w:lineRule="auto"/>
        <w:rPr>
          <w:sz w:val="20"/>
          <w:szCs w:val="20"/>
          <w:color w:val="auto"/>
        </w:rPr>
      </w:pPr>
      <w:r>
        <w:rPr>
          <w:rFonts w:ascii="Times New Roman" w:cs="Times New Roman" w:eastAsia="Times New Roman" w:hAnsi="Times New Roman"/>
          <w:sz w:val="14"/>
          <w:szCs w:val="14"/>
          <w:b w:val="1"/>
          <w:bCs w:val="1"/>
          <w:color w:val="auto"/>
        </w:rPr>
        <w:t>Westlake Chemical Partners GP LLC</w:t>
      </w:r>
    </w:p>
    <w:p>
      <w:pPr>
        <w:jc w:val="center"/>
        <w:ind w:left="708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12"/>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2020-01-24T04:01:55Z</dcterms:created>
  <dcterms:modified xsi:type="dcterms:W3CDTF">2020-01-24T04:01:55Z</dcterms:modified>
</cp:coreProperties>
</file>