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March 4, 2026</w:t>
      </w:r>
    </w:p>
    <w:p>
      <w:pPr>
        <w:jc w:val="right"/>
        <w:ind w:right="379"/>
        <w:spacing w:after="0"/>
        <w:rPr>
          <w:sz w:val="20"/>
          <w:szCs w:val="20"/>
          <w:color w:val="auto"/>
        </w:rPr>
      </w:pPr>
      <w:r>
        <w:rPr>
          <w:rFonts w:ascii="Times New Roman" w:cs="Times New Roman" w:eastAsia="Times New Roman" w:hAnsi="Times New Roman"/>
          <w:sz w:val="12"/>
          <w:szCs w:val="12"/>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wp:posOffset>
            </wp:positionH>
            <wp:positionV relativeFrom="paragraph">
              <wp:posOffset>37465</wp:posOffset>
            </wp:positionV>
            <wp:extent cx="535876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70485</wp:posOffset>
            </wp:positionV>
            <wp:extent cx="53587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172720</wp:posOffset>
            </wp:positionV>
            <wp:extent cx="11226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173355</wp:posOffset>
            </wp:positionV>
            <wp:extent cx="1122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Westlake Chemical Partners LP</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WLKP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175895</wp:posOffset>
            </wp:positionV>
            <wp:extent cx="11226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tbl>
      <w:tblPr>
        <w:tblLayout w:type="fixed"/>
        <w:tblInd w:w="1700" w:type="dxa"/>
        <w:tblCellMar>
          <w:top w:w="0" w:type="dxa"/>
          <w:left w:w="0" w:type="dxa"/>
          <w:bottom w:w="0" w:type="dxa"/>
          <w:right w:w="0" w:type="dxa"/>
        </w:tblCellMar>
      </w:tblPr>
      <w:tr>
        <w:trPr>
          <w:trHeight w:val="138"/>
        </w:trPr>
        <w:tc>
          <w:tcPr>
            <w:tcW w:w="2980" w:type="dxa"/>
            <w:vAlign w:val="bottom"/>
          </w:tcPr>
          <w:p>
            <w:pPr>
              <w:jc w:val="center"/>
              <w:ind w:right="1483"/>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420" w:type="dxa"/>
            <w:vAlign w:val="bottom"/>
          </w:tcPr>
          <w:p>
            <w:pPr>
              <w:jc w:val="center"/>
              <w:ind w:left="1523"/>
              <w:spacing w:after="0"/>
              <w:rPr>
                <w:sz w:val="20"/>
                <w:szCs w:val="20"/>
                <w:color w:val="auto"/>
              </w:rPr>
            </w:pPr>
            <w:r>
              <w:rPr>
                <w:rFonts w:ascii="Times New Roman" w:cs="Times New Roman" w:eastAsia="Times New Roman" w:hAnsi="Times New Roman"/>
                <w:sz w:val="12"/>
                <w:szCs w:val="12"/>
                <w:b w:val="1"/>
                <w:bCs w:val="1"/>
                <w:color w:val="auto"/>
                <w:w w:val="96"/>
              </w:rPr>
              <w:t>32-0436529</w:t>
            </w:r>
          </w:p>
        </w:tc>
      </w:tr>
      <w:tr>
        <w:trPr>
          <w:trHeight w:val="120"/>
        </w:trPr>
        <w:tc>
          <w:tcPr>
            <w:tcW w:w="2980" w:type="dxa"/>
            <w:vAlign w:val="bottom"/>
          </w:tcPr>
          <w:p>
            <w:pPr>
              <w:jc w:val="center"/>
              <w:ind w:right="1483"/>
              <w:spacing w:after="0" w:line="120" w:lineRule="exact"/>
              <w:rPr>
                <w:sz w:val="20"/>
                <w:szCs w:val="20"/>
                <w:color w:val="auto"/>
              </w:rPr>
            </w:pPr>
            <w:r>
              <w:rPr>
                <w:rFonts w:ascii="Times New Roman" w:cs="Times New Roman" w:eastAsia="Times New Roman" w:hAnsi="Times New Roman"/>
                <w:sz w:val="12"/>
                <w:szCs w:val="12"/>
                <w:b w:val="1"/>
                <w:bCs w:val="1"/>
                <w:color w:val="auto"/>
                <w:w w:val="98"/>
              </w:rPr>
              <w:t>Delaware</w:t>
            </w:r>
          </w:p>
        </w:tc>
        <w:tc>
          <w:tcPr>
            <w:tcW w:w="2420" w:type="dxa"/>
            <w:vAlign w:val="bottom"/>
          </w:tcPr>
          <w:p>
            <w:pPr>
              <w:jc w:val="center"/>
              <w:ind w:left="1523"/>
              <w:spacing w:after="0" w:line="120" w:lineRule="exact"/>
              <w:rPr>
                <w:sz w:val="20"/>
                <w:szCs w:val="20"/>
                <w:color w:val="auto"/>
              </w:rPr>
            </w:pPr>
            <w:r>
              <w:rPr>
                <w:rFonts w:ascii="Times New Roman" w:cs="Times New Roman" w:eastAsia="Times New Roman" w:hAnsi="Times New Roman"/>
                <w:sz w:val="12"/>
                <w:szCs w:val="12"/>
                <w:b w:val="1"/>
                <w:bCs w:val="1"/>
                <w:color w:val="auto"/>
                <w:w w:val="96"/>
              </w:rPr>
              <w:t>81-5451451</w:t>
            </w:r>
          </w:p>
        </w:tc>
      </w:tr>
      <w:tr>
        <w:trPr>
          <w:trHeight w:val="114"/>
        </w:trPr>
        <w:tc>
          <w:tcPr>
            <w:tcW w:w="2980" w:type="dxa"/>
            <w:vAlign w:val="bottom"/>
          </w:tcPr>
          <w:p>
            <w:pPr>
              <w:jc w:val="center"/>
              <w:ind w:right="1503"/>
              <w:spacing w:after="0" w:line="114"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420" w:type="dxa"/>
            <w:vAlign w:val="bottom"/>
          </w:tcPr>
          <w:p>
            <w:pPr>
              <w:jc w:val="center"/>
              <w:ind w:left="1523"/>
              <w:spacing w:after="0" w:line="114"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4"/>
        </w:trPr>
        <w:tc>
          <w:tcPr>
            <w:tcW w:w="2980" w:type="dxa"/>
            <w:vAlign w:val="bottom"/>
          </w:tcPr>
          <w:p>
            <w:pPr>
              <w:jc w:val="center"/>
              <w:ind w:right="14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420" w:type="dxa"/>
            <w:vAlign w:val="bottom"/>
          </w:tcPr>
          <w:p>
            <w:pPr>
              <w:jc w:val="center"/>
              <w:ind w:left="150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2801 Post Oak Boulevard, Suite 600</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Houston, Texas 77056</w:t>
      </w:r>
    </w:p>
    <w:p>
      <w:pPr>
        <w:jc w:val="center"/>
        <w:ind w:right="19"/>
        <w:spacing w:after="0" w:line="211" w:lineRule="auto"/>
        <w:rPr>
          <w:sz w:val="20"/>
          <w:szCs w:val="20"/>
          <w:color w:val="auto"/>
        </w:rPr>
      </w:pPr>
      <w:r>
        <w:rPr>
          <w:rFonts w:ascii="Times New Roman" w:cs="Times New Roman" w:eastAsia="Times New Roman" w:hAnsi="Times New Roman"/>
          <w:sz w:val="12"/>
          <w:szCs w:val="12"/>
          <w:b w:val="1"/>
          <w:bCs w:val="1"/>
          <w:color w:val="auto"/>
        </w:rPr>
        <w:t>(713) 585-2900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172085</wp:posOffset>
            </wp:positionV>
            <wp:extent cx="11226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 Benjamin Ederington</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Executive Vice President, Legal and External Affairs</w:t>
      </w:r>
    </w:p>
    <w:p>
      <w:pPr>
        <w:jc w:val="center"/>
        <w:ind w:right="19"/>
        <w:spacing w:after="0" w:line="215" w:lineRule="auto"/>
        <w:rPr>
          <w:sz w:val="20"/>
          <w:szCs w:val="20"/>
          <w:color w:val="auto"/>
        </w:rPr>
      </w:pPr>
      <w:r>
        <w:rPr>
          <w:rFonts w:ascii="Times New Roman" w:cs="Times New Roman" w:eastAsia="Times New Roman" w:hAnsi="Times New Roman"/>
          <w:sz w:val="12"/>
          <w:szCs w:val="12"/>
          <w:b w:val="1"/>
          <w:bCs w:val="1"/>
          <w:color w:val="auto"/>
        </w:rPr>
        <w:t>2801 Post Oak Boulevard, Suite 600</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Houston, Texas 77056</w:t>
      </w:r>
    </w:p>
    <w:p>
      <w:pPr>
        <w:jc w:val="center"/>
        <w:ind w:right="19"/>
        <w:spacing w:after="0" w:line="212" w:lineRule="auto"/>
        <w:rPr>
          <w:sz w:val="20"/>
          <w:szCs w:val="20"/>
          <w:color w:val="auto"/>
        </w:rPr>
      </w:pPr>
      <w:r>
        <w:rPr>
          <w:rFonts w:ascii="Times New Roman" w:cs="Times New Roman" w:eastAsia="Times New Roman" w:hAnsi="Times New Roman"/>
          <w:sz w:val="12"/>
          <w:szCs w:val="12"/>
          <w:b w:val="1"/>
          <w:bCs w:val="1"/>
          <w:color w:val="auto"/>
        </w:rPr>
        <w:t>(713) 585-2900</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165735</wp:posOffset>
            </wp:positionV>
            <wp:extent cx="11226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Ryan J. Maierson</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Nick S. Dhesi</w:t>
      </w:r>
    </w:p>
    <w:p>
      <w:pPr>
        <w:jc w:val="center"/>
        <w:ind w:right="19"/>
        <w:spacing w:after="0" w:line="215" w:lineRule="auto"/>
        <w:rPr>
          <w:sz w:val="20"/>
          <w:szCs w:val="20"/>
          <w:color w:val="auto"/>
        </w:rPr>
      </w:pPr>
      <w:r>
        <w:rPr>
          <w:rFonts w:ascii="Times New Roman" w:cs="Times New Roman" w:eastAsia="Times New Roman" w:hAnsi="Times New Roman"/>
          <w:sz w:val="12"/>
          <w:szCs w:val="12"/>
          <w:b w:val="1"/>
          <w:bCs w:val="1"/>
          <w:color w:val="auto"/>
        </w:rPr>
        <w:t>Clayton M. Heery</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Latham &amp; Watkins LLP</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811 Main Street, Suite 3700</w:t>
      </w:r>
    </w:p>
    <w:p>
      <w:pPr>
        <w:jc w:val="center"/>
        <w:ind w:right="19"/>
        <w:spacing w:after="0" w:line="216" w:lineRule="auto"/>
        <w:rPr>
          <w:sz w:val="20"/>
          <w:szCs w:val="20"/>
          <w:color w:val="auto"/>
        </w:rPr>
      </w:pPr>
      <w:r>
        <w:rPr>
          <w:rFonts w:ascii="Times New Roman" w:cs="Times New Roman" w:eastAsia="Times New Roman" w:hAnsi="Times New Roman"/>
          <w:sz w:val="12"/>
          <w:szCs w:val="12"/>
          <w:b w:val="1"/>
          <w:bCs w:val="1"/>
          <w:color w:val="auto"/>
        </w:rPr>
        <w:t>Houston, Texas 77002</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162560</wp:posOffset>
            </wp:positionV>
            <wp:extent cx="11226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138" w:lineRule="exact"/>
        <w:rPr>
          <w:sz w:val="24"/>
          <w:szCs w:val="24"/>
          <w:color w:val="auto"/>
        </w:rPr>
      </w:pPr>
    </w:p>
    <w:p>
      <w:pPr>
        <w:ind w:left="62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188" w:lineRule="exact"/>
        <w:rPr>
          <w:sz w:val="24"/>
          <w:szCs w:val="24"/>
          <w:color w:val="auto"/>
        </w:rPr>
      </w:pPr>
    </w:p>
    <w:p>
      <w:pPr>
        <w:jc w:val="both"/>
        <w:ind w:left="280" w:right="499" w:firstLine="337"/>
        <w:spacing w:after="0" w:line="153"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30" w:lineRule="exact"/>
        <w:rPr>
          <w:sz w:val="24"/>
          <w:szCs w:val="24"/>
          <w:color w:val="auto"/>
        </w:rPr>
      </w:pPr>
    </w:p>
    <w:p>
      <w:pPr>
        <w:ind w:left="280" w:right="459" w:firstLine="337"/>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0" w:lineRule="exact"/>
        <w:rPr>
          <w:sz w:val="24"/>
          <w:szCs w:val="24"/>
          <w:color w:val="auto"/>
        </w:rPr>
      </w:pPr>
    </w:p>
    <w:p>
      <w:pPr>
        <w:ind w:left="280" w:right="399" w:firstLine="337"/>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0" w:lineRule="exact"/>
        <w:rPr>
          <w:sz w:val="24"/>
          <w:szCs w:val="24"/>
          <w:color w:val="auto"/>
        </w:rPr>
      </w:pPr>
    </w:p>
    <w:p>
      <w:pPr>
        <w:ind w:left="280" w:right="859" w:firstLine="337"/>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30" w:lineRule="exact"/>
        <w:rPr>
          <w:sz w:val="24"/>
          <w:szCs w:val="24"/>
          <w:color w:val="auto"/>
        </w:rPr>
      </w:pPr>
    </w:p>
    <w:p>
      <w:pPr>
        <w:ind w:left="280" w:right="399" w:firstLine="337"/>
        <w:spacing w:after="0" w:line="153"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47" w:lineRule="exact"/>
        <w:rPr>
          <w:sz w:val="24"/>
          <w:szCs w:val="24"/>
          <w:color w:val="auto"/>
        </w:rPr>
      </w:pPr>
    </w:p>
    <w:p>
      <w:pPr>
        <w:jc w:val="both"/>
        <w:ind w:left="280" w:right="459" w:firstLine="337"/>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280" w:type="dxa"/>
        <w:tblCellMar>
          <w:top w:w="0" w:type="dxa"/>
          <w:left w:w="0" w:type="dxa"/>
          <w:bottom w:w="0" w:type="dxa"/>
          <w:right w:w="0" w:type="dxa"/>
        </w:tblCellMar>
      </w:tblPr>
      <w:tr>
        <w:trPr>
          <w:trHeight w:val="197"/>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04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04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28"/>
        </w:trPr>
        <w:tc>
          <w:tcPr>
            <w:tcW w:w="12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4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162560</wp:posOffset>
            </wp:positionV>
            <wp:extent cx="11226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9" w:lineRule="exact"/>
        <w:rPr>
          <w:sz w:val="24"/>
          <w:szCs w:val="24"/>
          <w:color w:val="auto"/>
        </w:rPr>
      </w:pPr>
    </w:p>
    <w:p>
      <w:pPr>
        <w:ind w:left="280" w:right="699" w:firstLine="337"/>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2298700</wp:posOffset>
            </wp:positionH>
            <wp:positionV relativeFrom="paragraph">
              <wp:posOffset>156210</wp:posOffset>
            </wp:positionV>
            <wp:extent cx="11226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7" w:lineRule="exact"/>
        <w:rPr>
          <w:sz w:val="24"/>
          <w:szCs w:val="24"/>
          <w:color w:val="auto"/>
        </w:rPr>
      </w:pPr>
    </w:p>
    <w:p>
      <w:pPr>
        <w:jc w:val="both"/>
        <w:ind w:left="280" w:right="479" w:firstLine="337"/>
        <w:spacing w:after="0" w:line="228" w:lineRule="auto"/>
        <w:rPr>
          <w:sz w:val="20"/>
          <w:szCs w:val="20"/>
          <w:color w:val="auto"/>
        </w:rPr>
      </w:pPr>
      <w:r>
        <w:rPr>
          <w:rFonts w:ascii="Times New Roman" w:cs="Times New Roman" w:eastAsia="Times New Roman" w:hAnsi="Times New Roman"/>
          <w:sz w:val="12"/>
          <w:szCs w:val="12"/>
          <w:b w:val="1"/>
          <w:bCs w:val="1"/>
          <w:color w:val="auto"/>
        </w:rPr>
        <w:t>Each registrant hereby amends the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wp:posOffset>
            </wp:positionH>
            <wp:positionV relativeFrom="paragraph">
              <wp:posOffset>57150</wp:posOffset>
            </wp:positionV>
            <wp:extent cx="535876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90170</wp:posOffset>
            </wp:positionV>
            <wp:extent cx="535876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EXPLANATORY NOTE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This registration statement consists of two prospectuses, covering the registration of:</w:t>
      </w:r>
    </w:p>
    <w:p>
      <w:pPr>
        <w:spacing w:after="0" w:line="98" w:lineRule="exact"/>
        <w:rPr>
          <w:sz w:val="20"/>
          <w:szCs w:val="20"/>
          <w:color w:val="auto"/>
        </w:rPr>
      </w:pPr>
    </w:p>
    <w:p>
      <w:pPr>
        <w:ind w:left="1020" w:right="639" w:hanging="322"/>
        <w:spacing w:after="0" w:line="259"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a maximum aggregate offering price of $500,000,000 of (i) common units representing limited partner interests in Westlake Chemical Partners LP, (ii) other classes of units representing limited partner interests in Westlake Chemical Partners LP and (iii) debt securities issued by Westlake Chemical Partners LP; and</w:t>
      </w:r>
    </w:p>
    <w:p>
      <w:pPr>
        <w:spacing w:after="0" w:line="68"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1,401,869 common units originally issued in a private placement pursuant to the Common Unit Purchase Agreement (as defined herein) by certain parties thereto that may be sold in one or more secondary offerings by the selling unitholder named in such prospectus.</w:t>
      </w:r>
    </w:p>
    <w:p>
      <w:pPr>
        <w:sectPr>
          <w:pgSz w:w="11900" w:h="16838" w:orient="portrait"/>
          <w:cols w:equalWidth="0" w:num="1">
            <w:col w:w="9019"/>
          </w:cols>
          <w:pgMar w:left="1440" w:top="237" w:right="1440" w:bottom="1440" w:gutter="0" w:footer="0" w:header="0"/>
        </w:sectPr>
      </w:pPr>
    </w:p>
    <w:bookmarkStart w:id="2" w:name="page3"/>
    <w:bookmarkEnd w:id="2"/>
    <w:tbl>
      <w:tblPr>
        <w:tblLayout w:type="fixed"/>
        <w:tblInd w:w="280" w:type="dxa"/>
        <w:tblCellMar>
          <w:top w:w="0" w:type="dxa"/>
          <w:left w:w="0" w:type="dxa"/>
          <w:bottom w:w="0" w:type="dxa"/>
          <w:right w:w="0" w:type="dxa"/>
        </w:tblCellMar>
      </w:tblPr>
      <w:tr>
        <w:trPr>
          <w:trHeight w:val="160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this prospectus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offer to sell these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permitted.</w:t>
            </w:r>
          </w:p>
        </w:tc>
      </w:tr>
      <w:tr>
        <w:trPr>
          <w:trHeight w:val="737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The information in this prospectus is not complete and may be changed. Securities may not be sold pursuant to</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registration statement filed with the Securities and Exchange Commission is effective. This prospectus is not an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securities, and it is not soliciting an offer to buy these securities in any jurisdiction where the offer or sale is not</w:t>
            </w: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FF4338"/>
        </w:rPr>
        <w:t>Subject to completion, dated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-235585</wp:posOffset>
            </wp:positionV>
            <wp:extent cx="720280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131445</wp:posOffset>
            </wp:positionV>
            <wp:extent cx="2515235" cy="466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523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5"/>
          <w:szCs w:val="25"/>
          <w:b w:val="1"/>
          <w:bCs w:val="1"/>
          <w:color w:val="auto"/>
        </w:rPr>
        <w:t>Westlake Chemical Partners LP</w:t>
      </w:r>
    </w:p>
    <w:p>
      <w:pPr>
        <w:spacing w:after="0" w:line="1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WLKP Finance Corp.</w:t>
      </w:r>
    </w:p>
    <w:p>
      <w:pPr>
        <w:spacing w:after="0" w:line="94"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$500,000,000</w:t>
      </w:r>
    </w:p>
    <w:p>
      <w:pPr>
        <w:spacing w:after="0" w:line="3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Common Units Representing Limited Partner Interests</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Other Classes of Units Representing Limited Partner Interests</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173990</wp:posOffset>
            </wp:positionV>
            <wp:extent cx="9525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979" w:firstLine="284"/>
        <w:spacing w:after="0" w:line="251" w:lineRule="auto"/>
        <w:rPr>
          <w:sz w:val="20"/>
          <w:szCs w:val="20"/>
          <w:color w:val="auto"/>
        </w:rPr>
      </w:pPr>
      <w:r>
        <w:rPr>
          <w:rFonts w:ascii="Times New Roman" w:cs="Times New Roman" w:eastAsia="Times New Roman" w:hAnsi="Times New Roman"/>
          <w:sz w:val="14"/>
          <w:szCs w:val="14"/>
          <w:color w:val="auto"/>
        </w:rPr>
        <w:t>We may from time to time, in one or more offerings, offer and sell (i) common units representing limited partner interests in Westlake Chemical Partners LP (“common units”), (ii) other classes of units representing limited partner interests in Westlake Chemical Partners LP (“other units”) and (iii) debt securities as described in this prospectus (“debt securities”). The debt securities will be issued by Westlake Chemical Partners LP. WLKP Finance Corp. may act as co-issuer of the debt securities. We refer to the common units, the debt securities and the other units collectively as the “securities.” The aggregate initial offering price of the securities sold by us under this prospectus will not exceed $500,000,000.</w:t>
      </w:r>
    </w:p>
    <w:p>
      <w:pPr>
        <w:spacing w:after="0" w:line="148" w:lineRule="exact"/>
        <w:rPr>
          <w:sz w:val="20"/>
          <w:szCs w:val="20"/>
          <w:color w:val="auto"/>
        </w:rPr>
      </w:pPr>
    </w:p>
    <w:p>
      <w:pPr>
        <w:ind w:right="1059" w:firstLine="284"/>
        <w:spacing w:after="0" w:line="251" w:lineRule="auto"/>
        <w:rPr>
          <w:sz w:val="20"/>
          <w:szCs w:val="20"/>
          <w:color w:val="auto"/>
        </w:rPr>
      </w:pPr>
      <w:r>
        <w:rPr>
          <w:rFonts w:ascii="Times New Roman" w:cs="Times New Roman" w:eastAsia="Times New Roman" w:hAnsi="Times New Roman"/>
          <w:sz w:val="14"/>
          <w:szCs w:val="14"/>
          <w:color w:val="auto"/>
        </w:rPr>
        <w:t>We may offer and sell the securities to or through one or more underwriters, dealers or agents, or directly to investors, in amounts, at prices and on terms to be determined by market conditions and other factors at the time of the offering. This prospectus describes only the general terms of the securities and the general manner in which we will offer the securities. The specific terms of any securities we offer will, if not included in this prospectus or information incorporated by reference herein, be included in a supplement to this prospectus. The prospectus supplement may describe the specific manner in which we will offer the securities and also may add, update or change information contained in this prospectus.</w:t>
      </w:r>
    </w:p>
    <w:p>
      <w:pPr>
        <w:spacing w:after="0" w:line="148" w:lineRule="exact"/>
        <w:rPr>
          <w:sz w:val="20"/>
          <w:szCs w:val="20"/>
          <w:color w:val="auto"/>
        </w:rPr>
      </w:pPr>
    </w:p>
    <w:p>
      <w:pPr>
        <w:ind w:right="1099" w:firstLine="284"/>
        <w:spacing w:after="0" w:line="253" w:lineRule="auto"/>
        <w:rPr>
          <w:sz w:val="20"/>
          <w:szCs w:val="20"/>
          <w:color w:val="auto"/>
        </w:rPr>
      </w:pPr>
      <w:r>
        <w:rPr>
          <w:rFonts w:ascii="Times New Roman" w:cs="Times New Roman" w:eastAsia="Times New Roman" w:hAnsi="Times New Roman"/>
          <w:sz w:val="14"/>
          <w:szCs w:val="14"/>
          <w:color w:val="auto"/>
        </w:rPr>
        <w:t>You should read this prospectus and any applicable prospectus supplement and the documents incorporated by reference herein or therein carefully before you invest in any of our securities. You should also read the documents we have referred you to in the “Where You Can Find More Information” section of this prospectus for information about us, including our financial statements. This prospectus may not be used to consummate sales of our securities unless it is accompanied by a prospectus supplement.</w:t>
      </w:r>
    </w:p>
    <w:p>
      <w:pPr>
        <w:spacing w:after="0" w:line="144" w:lineRule="exact"/>
        <w:rPr>
          <w:sz w:val="20"/>
          <w:szCs w:val="20"/>
          <w:color w:val="auto"/>
        </w:rPr>
      </w:pPr>
    </w:p>
    <w:p>
      <w:pPr>
        <w:jc w:val="both"/>
        <w:ind w:right="979" w:firstLine="284"/>
        <w:spacing w:after="0" w:line="259" w:lineRule="auto"/>
        <w:rPr>
          <w:sz w:val="20"/>
          <w:szCs w:val="20"/>
          <w:color w:val="auto"/>
        </w:rPr>
      </w:pPr>
      <w:r>
        <w:rPr>
          <w:rFonts w:ascii="Times New Roman" w:cs="Times New Roman" w:eastAsia="Times New Roman" w:hAnsi="Times New Roman"/>
          <w:sz w:val="14"/>
          <w:szCs w:val="14"/>
          <w:color w:val="auto"/>
        </w:rPr>
        <w:t>Our common units are listed on the New York Stock Exchange (the “NYSE”) under the symbol “WLKP.” The last reported sales price of our common units on the NYSE on March 3, 2026 was $22.01 per unit. We will provide information in the related prospectus supplement for the trading market, if any, for any other securities that may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163195</wp:posOffset>
            </wp:positionV>
            <wp:extent cx="9525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388" w:lineRule="exact"/>
        <w:rPr>
          <w:sz w:val="20"/>
          <w:szCs w:val="20"/>
          <w:color w:val="auto"/>
        </w:rPr>
      </w:pPr>
    </w:p>
    <w:p>
      <w:pPr>
        <w:ind w:right="1059" w:firstLine="284"/>
        <w:spacing w:after="0" w:line="243"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carefully consider the risks relating to investing in our securities and each of the other risk factors described under “</w:t>
      </w:r>
      <w:r>
        <w:rPr>
          <w:rFonts w:ascii="Times New Roman" w:cs="Times New Roman" w:eastAsia="Times New Roman" w:hAnsi="Times New Roman"/>
          <w:sz w:val="17"/>
          <w:szCs w:val="17"/>
          <w:b w:val="1"/>
          <w:bCs w:val="1"/>
          <w:u w:val="single" w:color="auto"/>
          <w:color w:val="0000EE"/>
        </w:rPr>
        <w:t>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0000EE"/>
        </w:rPr>
        <w:t>Factors</w:t>
      </w:r>
      <w:r>
        <w:rPr>
          <w:rFonts w:ascii="Times New Roman" w:cs="Times New Roman" w:eastAsia="Times New Roman" w:hAnsi="Times New Roman"/>
          <w:sz w:val="17"/>
          <w:szCs w:val="17"/>
          <w:b w:val="1"/>
          <w:bCs w:val="1"/>
          <w:color w:val="000000"/>
        </w:rPr>
        <w:t>” on page 2 of this prospectus before you make an investment in our securities.</w:t>
      </w:r>
    </w:p>
    <w:p>
      <w:pPr>
        <w:spacing w:after="0" w:line="138" w:lineRule="exact"/>
        <w:rPr>
          <w:sz w:val="20"/>
          <w:szCs w:val="20"/>
          <w:color w:val="auto"/>
        </w:rPr>
      </w:pPr>
    </w:p>
    <w:p>
      <w:pPr>
        <w:jc w:val="both"/>
        <w:ind w:right="1019" w:firstLine="284"/>
        <w:spacing w:after="0" w:line="26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168275</wp:posOffset>
            </wp:positionV>
            <wp:extent cx="9525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720" w:space="220"/>
            <w:col w:w="8079"/>
          </w:cols>
          <w:pgMar w:left="1440" w:top="254" w:right="1440" w:bottom="1440" w:gutter="0" w:footer="0" w:header="0"/>
        </w:sectPr>
      </w:pPr>
    </w:p>
    <w:bookmarkStart w:id="3" w:name="page4"/>
    <w:bookmarkEnd w:id="3"/>
    <w:tbl>
      <w:tblPr>
        <w:tblLayout w:type="fixed"/>
        <w:tblInd w:w="28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80" w:type="dxa"/>
            <w:vAlign w:val="bottom"/>
          </w:tcPr>
          <w:p>
            <w:pPr>
              <w:spacing w:after="0"/>
              <w:rPr>
                <w:sz w:val="15"/>
                <w:szCs w:val="15"/>
                <w:color w:val="auto"/>
              </w:rPr>
            </w:pPr>
          </w:p>
        </w:tc>
      </w:tr>
      <w:tr>
        <w:trPr>
          <w:trHeight w:val="403"/>
        </w:trPr>
        <w:tc>
          <w:tcPr>
            <w:tcW w:w="662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8"/>
        </w:trPr>
        <w:tc>
          <w:tcPr>
            <w:tcW w:w="2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4420" w:type="dxa"/>
            <w:vAlign w:val="bottom"/>
            <w:gridSpan w:val="5"/>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iii</w:t>
            </w:r>
          </w:p>
        </w:tc>
      </w:tr>
      <w:tr>
        <w:trPr>
          <w:trHeight w:val="228"/>
        </w:trPr>
        <w:tc>
          <w:tcPr>
            <w:tcW w:w="662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iv</w:t>
            </w:r>
          </w:p>
        </w:tc>
      </w:tr>
      <w:tr>
        <w:trPr>
          <w:trHeight w:val="228"/>
        </w:trPr>
        <w:tc>
          <w:tcPr>
            <w:tcW w:w="34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Who We Are</w:t>
            </w:r>
          </w:p>
        </w:tc>
        <w:tc>
          <w:tcPr>
            <w:tcW w:w="3160" w:type="dxa"/>
            <w:vAlign w:val="bottom"/>
            <w:gridSpan w:val="3"/>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8"/>
        </w:trPr>
        <w:tc>
          <w:tcPr>
            <w:tcW w:w="7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9"/>
                <w:szCs w:val="19"/>
                <w:color w:val="auto"/>
              </w:rPr>
            </w:pPr>
          </w:p>
        </w:tc>
        <w:tc>
          <w:tcPr>
            <w:tcW w:w="5900" w:type="dxa"/>
            <w:vAlign w:val="bottom"/>
            <w:gridSpan w:val="13"/>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8"/>
        </w:trPr>
        <w:tc>
          <w:tcPr>
            <w:tcW w:w="662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8"/>
        </w:trPr>
        <w:tc>
          <w:tcPr>
            <w:tcW w:w="2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8"/>
              </w:rPr>
              <w:t>Description of Common Units and Preferred Units</w:t>
            </w:r>
          </w:p>
        </w:tc>
        <w:tc>
          <w:tcPr>
            <w:tcW w:w="3820" w:type="dxa"/>
            <w:vAlign w:val="bottom"/>
            <w:gridSpan w:val="4"/>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8"/>
        </w:trPr>
        <w:tc>
          <w:tcPr>
            <w:tcW w:w="20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7"/>
              </w:rPr>
              <w:t>Description of Partnership Securities</w:t>
            </w:r>
          </w:p>
        </w:tc>
        <w:tc>
          <w:tcPr>
            <w:tcW w:w="4580" w:type="dxa"/>
            <w:vAlign w:val="bottom"/>
            <w:gridSpan w:val="6"/>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8"/>
        </w:trPr>
        <w:tc>
          <w:tcPr>
            <w:tcW w:w="1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Description of Debt Securities</w:t>
            </w:r>
          </w:p>
        </w:tc>
        <w:tc>
          <w:tcPr>
            <w:tcW w:w="4940" w:type="dxa"/>
            <w:vAlign w:val="bottom"/>
            <w:gridSpan w:val="8"/>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8"/>
        </w:trPr>
        <w:tc>
          <w:tcPr>
            <w:tcW w:w="66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MATERIAL U. S. FEDERAL INCOME TAX CONSEQUENCES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8"/>
        </w:trPr>
        <w:tc>
          <w:tcPr>
            <w:tcW w:w="364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7"/>
              </w:rPr>
              <w:t>Material U.S. Tax Consequences of Ownership of Debt Securities</w:t>
            </w:r>
          </w:p>
        </w:tc>
        <w:tc>
          <w:tcPr>
            <w:tcW w:w="220" w:type="dxa"/>
            <w:vAlign w:val="bottom"/>
            <w:tcBorders>
              <w:top w:val="single" w:sz="8" w:color="0000EE"/>
            </w:tcBorders>
          </w:tcPr>
          <w:p>
            <w:pPr>
              <w:spacing w:after="0"/>
              <w:rPr>
                <w:sz w:val="19"/>
                <w:szCs w:val="19"/>
                <w:color w:val="auto"/>
              </w:rPr>
            </w:pPr>
          </w:p>
        </w:tc>
        <w:tc>
          <w:tcPr>
            <w:tcW w:w="27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28"/>
        </w:trPr>
        <w:tc>
          <w:tcPr>
            <w:tcW w:w="662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Certain ERISA Considerations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28"/>
        </w:trPr>
        <w:tc>
          <w:tcPr>
            <w:tcW w:w="11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600" w:type="dxa"/>
            <w:vAlign w:val="bottom"/>
            <w:tcBorders>
              <w:top w:val="single" w:sz="8" w:color="0000EE"/>
            </w:tcBorders>
            <w:gridSpan w:val="3"/>
          </w:tcPr>
          <w:p>
            <w:pPr>
              <w:spacing w:after="0"/>
              <w:rPr>
                <w:sz w:val="19"/>
                <w:szCs w:val="19"/>
                <w:color w:val="auto"/>
              </w:rPr>
            </w:pPr>
          </w:p>
        </w:tc>
        <w:tc>
          <w:tcPr>
            <w:tcW w:w="4920" w:type="dxa"/>
            <w:vAlign w:val="bottom"/>
            <w:gridSpan w:val="7"/>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28"/>
        </w:trPr>
        <w:tc>
          <w:tcPr>
            <w:tcW w:w="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Legal Matters</w:t>
            </w:r>
          </w:p>
        </w:tc>
        <w:tc>
          <w:tcPr>
            <w:tcW w:w="5840" w:type="dxa"/>
            <w:vAlign w:val="bottom"/>
            <w:gridSpan w:val="12"/>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28"/>
        </w:trPr>
        <w:tc>
          <w:tcPr>
            <w:tcW w:w="662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Experts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column">
              <wp:posOffset>2298700</wp:posOffset>
            </wp:positionH>
            <wp:positionV relativeFrom="paragraph">
              <wp:posOffset>184150</wp:posOffset>
            </wp:positionV>
            <wp:extent cx="112268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80" w:right="359"/>
        <w:spacing w:after="0" w:line="253" w:lineRule="auto"/>
        <w:rPr>
          <w:sz w:val="20"/>
          <w:szCs w:val="20"/>
          <w:color w:val="auto"/>
        </w:rPr>
      </w:pPr>
      <w:r>
        <w:rPr>
          <w:rFonts w:ascii="Times New Roman" w:cs="Times New Roman" w:eastAsia="Times New Roman" w:hAnsi="Times New Roman"/>
          <w:sz w:val="14"/>
          <w:szCs w:val="14"/>
          <w:b w:val="1"/>
          <w:bCs w:val="1"/>
          <w:color w:val="auto"/>
        </w:rPr>
        <w:t>In making your investment decision, you should rely only on the information contained in this prospectus, any prospectus supplement and the documents we have incorporated by reference in this prospectus. We have not authorized anyone else to give you different information. We are not offering the securities in any state where the offer is not permitted. You should not assume that the information in this prospectus or any prospectus supplement is accurate as of any date other than the date on the front of such documents. We will disclose any material changes in our affairs in an amendment to this prospectus, a prospectus supplement or a future filing with the SEC incorporated by reference in this prospectus.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7"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w:t>
      </w:r>
    </w:p>
    <w:p>
      <w:pPr>
        <w:spacing w:after="0" w:line="174"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using a “shelf” registration process. Under this shelf registration process, we may over time, in one or more offerings, offer and sell up to $500,000,000 in total aggregate offering price of any combination of the securities described in this prospectus. This prospectus provides you with a general description of Westlake Chemical Partners LP and the securities that are registered hereunder and may be offered under this prospectus. Each time we sell any securities offered by this prospectus, we will provide a prospectus supplement containing specific information about the terms of that offering and the securities being offered to the extent such information is not already disclosed in this prospectus. A prospectus supplement may also add to, update or change information in this prospectus. Before you invest in our securities, you should carefully read this prospectus, any prospectus supplement, the additional information described under “Where You Can Find More Information” and any additional information that you may need to make your investment decision.</w:t>
      </w:r>
    </w:p>
    <w:p>
      <w:pPr>
        <w:spacing w:after="0" w:line="148" w:lineRule="exact"/>
        <w:rPr>
          <w:sz w:val="20"/>
          <w:szCs w:val="20"/>
          <w:color w:val="auto"/>
        </w:rPr>
      </w:pPr>
    </w:p>
    <w:p>
      <w:pPr>
        <w:ind w:left="280" w:right="299" w:firstLine="337"/>
        <w:spacing w:after="0" w:line="269" w:lineRule="auto"/>
        <w:rPr>
          <w:sz w:val="20"/>
          <w:szCs w:val="20"/>
          <w:color w:val="auto"/>
        </w:rPr>
      </w:pPr>
      <w:r>
        <w:rPr>
          <w:rFonts w:ascii="Times New Roman" w:cs="Times New Roman" w:eastAsia="Times New Roman" w:hAnsi="Times New Roman"/>
          <w:sz w:val="13"/>
          <w:szCs w:val="13"/>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34" w:lineRule="exact"/>
        <w:rPr>
          <w:sz w:val="20"/>
          <w:szCs w:val="20"/>
          <w:color w:val="auto"/>
        </w:rPr>
      </w:pPr>
    </w:p>
    <w:p>
      <w:pPr>
        <w:ind w:left="280" w:right="479" w:firstLine="337"/>
        <w:spacing w:after="0" w:line="253" w:lineRule="auto"/>
        <w:rPr>
          <w:sz w:val="20"/>
          <w:szCs w:val="20"/>
          <w:color w:val="auto"/>
        </w:rPr>
      </w:pPr>
      <w:r>
        <w:rPr>
          <w:rFonts w:ascii="Times New Roman" w:cs="Times New Roman" w:eastAsia="Times New Roman" w:hAnsi="Times New Roman"/>
          <w:sz w:val="14"/>
          <w:szCs w:val="14"/>
          <w:color w:val="auto"/>
        </w:rPr>
        <w:t>Unless the context otherwise requires, references in this prospectus to the “Partnership,” “we” “our,” “us” or like terms refer to “Westlake Chemical Partners LP” and, unless otherwise specified, Westlake Chemical OpCo LP and Westlake Chemical OpCo GP LLC. References in this prospectus to our “general partner” refer to Westlake Chemical Partners GP LLC. References to “OpCo” refer to Westlake Chemical OpCo LP and its subsidiaries. References to “Westlake” refer collectively to Westlake Corporation and its consolidated subsidiaries, other than us, our general partner, OpCo and its subsidiaries, and Westlake Chemical OpCo GP LLC, OpCo’s general partner.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7"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WHERE YOU CAN FIND MORE INFORMATION</w:t>
      </w:r>
    </w:p>
    <w:p>
      <w:pPr>
        <w:spacing w:after="0" w:line="174" w:lineRule="exact"/>
        <w:rPr>
          <w:sz w:val="20"/>
          <w:szCs w:val="20"/>
          <w:color w:val="auto"/>
        </w:rPr>
      </w:pPr>
    </w:p>
    <w:p>
      <w:pPr>
        <w:ind w:left="280" w:right="379" w:firstLine="337"/>
        <w:spacing w:after="0" w:line="253" w:lineRule="auto"/>
        <w:rPr>
          <w:sz w:val="20"/>
          <w:szCs w:val="20"/>
          <w:color w:val="auto"/>
        </w:rPr>
      </w:pPr>
      <w:r>
        <w:rPr>
          <w:rFonts w:ascii="Times New Roman" w:cs="Times New Roman" w:eastAsia="Times New Roman" w:hAnsi="Times New Roman"/>
          <w:sz w:val="14"/>
          <w:szCs w:val="14"/>
          <w:color w:val="auto"/>
        </w:rPr>
        <w:t xml:space="preserve">We file annual, quarterly and other reports and other information with the SEC. Our filings with the SEC are available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which contains reports, proxy and information statements, and other information regarding issuers that file electronically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SEC. You can also obtain information about us at the offices of the New York Stock Exchange, 20 Broad Street, New York, New York 10005, or on our website at </w:t>
      </w:r>
      <w:r>
        <w:rPr>
          <w:rFonts w:ascii="Times New Roman" w:cs="Times New Roman" w:eastAsia="Times New Roman" w:hAnsi="Times New Roman"/>
          <w:sz w:val="14"/>
          <w:szCs w:val="14"/>
          <w:i w:val="1"/>
          <w:iCs w:val="1"/>
          <w:color w:val="auto"/>
        </w:rPr>
        <w:t>http://www.wlkpartners.com</w:t>
      </w:r>
      <w:r>
        <w:rPr>
          <w:rFonts w:ascii="Times New Roman" w:cs="Times New Roman" w:eastAsia="Times New Roman" w:hAnsi="Times New Roman"/>
          <w:sz w:val="14"/>
          <w:szCs w:val="14"/>
          <w:color w:val="auto"/>
        </w:rPr>
        <w:t>. Information on our website or any other website is not incorporated by reference into this prospectus and does not constitute a part of this prospectus unless specifically so designated and filed with the SEC.</w:t>
      </w:r>
    </w:p>
    <w:p>
      <w:pPr>
        <w:spacing w:after="0" w:line="144" w:lineRule="exact"/>
        <w:rPr>
          <w:sz w:val="20"/>
          <w:szCs w:val="20"/>
          <w:color w:val="auto"/>
        </w:rPr>
      </w:pPr>
    </w:p>
    <w:p>
      <w:pPr>
        <w:ind w:left="280" w:right="419" w:firstLine="337"/>
        <w:spacing w:after="0" w:line="253" w:lineRule="auto"/>
        <w:rPr>
          <w:sz w:val="20"/>
          <w:szCs w:val="20"/>
          <w:color w:val="auto"/>
        </w:rPr>
      </w:pPr>
      <w:r>
        <w:rPr>
          <w:rFonts w:ascii="Times New Roman" w:cs="Times New Roman" w:eastAsia="Times New Roman" w:hAnsi="Times New Roman"/>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that we file later with the SEC will automatically supersede this information. You should not assume that the information in this prospectus is current as of any date other than the date on the front page of this prospectus.</w:t>
      </w:r>
    </w:p>
    <w:p>
      <w:pPr>
        <w:spacing w:after="0" w:line="144"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filings we make with the SEC under Sections 13(a), 13(c), 14 or 15(d) of the Securities Exchange Act of 1934, as amended (the “Exchange Act”) (excluding any information furnished and not filed with the SEC), including all such documents that we may file with the SEC after the date on which the registration statement that includes this prospectus was initially filed with the SEC and prior to the effectiveness of this registration statement, are incorporated by reference in this prospectus until the termination of all offerings under this registration statement:</w:t>
      </w:r>
    </w:p>
    <w:p>
      <w:pPr>
        <w:spacing w:after="0" w:line="72" w:lineRule="exact"/>
        <w:rPr>
          <w:sz w:val="20"/>
          <w:szCs w:val="20"/>
          <w:color w:val="auto"/>
        </w:rPr>
      </w:pPr>
    </w:p>
    <w:p>
      <w:pPr>
        <w:ind w:left="1020" w:hanging="322"/>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4, 2026;</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31">
        <w:r>
          <w:rPr>
            <w:rFonts w:ascii="Times New Roman" w:cs="Times New Roman" w:eastAsia="Times New Roman" w:hAnsi="Times New Roman"/>
            <w:sz w:val="14"/>
            <w:szCs w:val="14"/>
            <w:u w:val="single" w:color="auto"/>
            <w:color w:val="0000EE"/>
          </w:rPr>
          <w:t>Form 8-K</w:t>
        </w:r>
      </w:hyperlink>
      <w:r>
        <w:rPr>
          <w:rFonts w:ascii="Times New Roman" w:cs="Times New Roman" w:eastAsia="Times New Roman" w:hAnsi="Times New Roman"/>
          <w:sz w:val="14"/>
          <w:szCs w:val="14"/>
          <w:color w:val="auto"/>
        </w:rPr>
        <w:t>, filed with the SEC on February 23, 2026; and</w:t>
      </w:r>
    </w:p>
    <w:p>
      <w:pPr>
        <w:spacing w:after="0" w:line="97" w:lineRule="exact"/>
        <w:rPr>
          <w:rFonts w:ascii="Times New Roman" w:cs="Times New Roman" w:eastAsia="Times New Roman" w:hAnsi="Times New Roman"/>
          <w:sz w:val="14"/>
          <w:szCs w:val="14"/>
          <w:color w:val="auto"/>
        </w:rPr>
      </w:pPr>
    </w:p>
    <w:p>
      <w:pPr>
        <w:ind w:left="1020" w:right="399" w:hanging="322"/>
        <w:spacing w:after="0" w:line="259" w:lineRule="auto"/>
        <w:tabs>
          <w:tab w:leader="none" w:pos="10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units in our Registration Statement on </w:t>
      </w:r>
      <w:hyperlink r:id="rId32">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(Registration No. 001-36567) filed on July 24, 2014, and any amendment or report filed with the SEC for the purpose of updating the description, including </w:t>
      </w:r>
      <w:hyperlink r:id="rId33">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the Company’s Annual Report on Form 10-K for the fiscal year ended December 31, 2019, filed with the SEC on February 28, 2020.</w:t>
      </w:r>
    </w:p>
    <w:p>
      <w:pPr>
        <w:spacing w:after="0" w:line="141" w:lineRule="exact"/>
        <w:rPr>
          <w:rFonts w:ascii="Times New Roman" w:cs="Times New Roman" w:eastAsia="Times New Roman" w:hAnsi="Times New Roman"/>
          <w:sz w:val="14"/>
          <w:szCs w:val="1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You may request a copy of any document incorporated by reference to this prospectus, at no cost, by writing or calling us at the following:</w:t>
      </w:r>
    </w:p>
    <w:p>
      <w:pPr>
        <w:spacing w:after="0" w:line="8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Westlake Chemical Partners LP</w:t>
      </w:r>
    </w:p>
    <w:p>
      <w:pPr>
        <w:spacing w:after="0" w:line="2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2801 Post Oak Boulevard, Suite 600</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Houston, Texas 77056</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(713) 585-2900</w:t>
      </w:r>
    </w:p>
    <w:p>
      <w:pPr>
        <w:spacing w:after="0" w:line="157" w:lineRule="exact"/>
        <w:rPr>
          <w:rFonts w:ascii="Times New Roman" w:cs="Times New Roman" w:eastAsia="Times New Roman" w:hAnsi="Times New Roman"/>
          <w:sz w:val="14"/>
          <w:szCs w:val="14"/>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7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7"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CAUTIONARY STATEMENT REGARDING FORWARD-LOOKING STATEMENTS</w:t>
      </w:r>
    </w:p>
    <w:p>
      <w:pPr>
        <w:spacing w:after="0" w:line="174"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Certain of the statements included in or incorporated by reference into this prospectus or any accompanying prospectus supplement are forward-looking statements. All such statements, other than statements of historical facts, that address activities, events or developments that we expect, project, believe or anticipate will or may occur in the future are forward-looking statements, including, without limitation, statements regarding our plans, strategies, prospects and expectations concerning our business, results of operations and financial conditions. Forward-looking statements can be identified by the use of words such as “believes,” “intends,” “may,” “should,” “could,” “anticipates,” “expects,” “will” or comparable terminology, or by discussions of strategies or trends. These forward-looking statements are based on our current expectations and beliefs concerning future developments and their potential effect on us. Although we believe that the expectations reflected in such forward-looking statements are reasonable, we cannot give any assurances that these expectations will prove to be correct. All comments concerning our expectations for future revenues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Known material factors that could cause our actual results to differ from those in these forward-looking statements are described below and in “Risk Factors” in this prospectus or any prospectus supplement. Forward-looking statements relate to matters such as:</w:t>
      </w:r>
    </w:p>
    <w:p>
      <w:pPr>
        <w:spacing w:after="0" w:line="82" w:lineRule="exact"/>
        <w:rPr>
          <w:sz w:val="20"/>
          <w:szCs w:val="20"/>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ultimate timing, outcome and results of our strategies and plans;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ethane that we are able to process, which could be adversely affected by, among other things, operating difficulties;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of ethylene that we are able to sell;</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we are able to sell ethylene;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market outlook, including prices and margins in third-party ethylene and co-products sales;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widespread outbreak of an illness or any other communicable disease, or any other public health crisis;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ongoing supply chain constraints caused by the conflicts in the Middle East and between Russia and Ukraine;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whom we will sell ethylene and on what basis;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of ethylene that Westlake may purchase, in addition to the minimum commitment under the Ethylene Sales Agreement;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funding and results of capital expenditures;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intended quarterly distributions and the manner of making such distributions;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liquidity needs;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and amount of capital expenditures;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At-the-Market program and the use of any net proceeds from any sales under that program;</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OpCo’s ability to extend our credit agreements with Westlake;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loans from Westlake to OpCo to fund OpCo’s expansion capital expenditures in the future;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mitigation of exposure to commodity price fluctuations;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turnaround activities and the variability of OpCo’s cash flow;</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any Buyer Deficiency Fee and Shortfall under the Ethylene Sales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37" w:right="1440" w:bottom="1440" w:gutter="0" w:footer="0" w:header="0"/>
        </w:sectPr>
      </w:pPr>
    </w:p>
    <w:bookmarkStart w:id="7" w:name="page8"/>
    <w:bookmarkEnd w:id="7"/>
    <w:p>
      <w:pPr>
        <w:ind w:left="1020" w:right="319" w:hanging="322"/>
        <w:spacing w:after="0" w:line="259"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8"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receive indemnification from Westlake for environmental and other losses;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pending legal proceedings; and</w:t>
      </w:r>
    </w:p>
    <w:p>
      <w:pPr>
        <w:spacing w:after="0" w:line="97" w:lineRule="exact"/>
        <w:rPr>
          <w:rFonts w:ascii="Times New Roman" w:cs="Times New Roman" w:eastAsia="Times New Roman" w:hAnsi="Times New Roman"/>
          <w:sz w:val="14"/>
          <w:szCs w:val="14"/>
          <w:color w:val="auto"/>
        </w:rPr>
      </w:pPr>
    </w:p>
    <w:p>
      <w:pPr>
        <w:jc w:val="both"/>
        <w:ind w:left="1020" w:right="579" w:hanging="322"/>
        <w:spacing w:after="0" w:line="259" w:lineRule="auto"/>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below, in “Risk Factors” and in “Management’s Discussion and Analysis of Financial Condition and Results of Operations” included in our most recent annual report on Form 10-K and our quarterly reports on Form 10-Q that are incorporated by reference herein and in our current reports on Form 8-K that are incorporated by reference herein.</w:t>
      </w:r>
    </w:p>
    <w:p>
      <w:pPr>
        <w:spacing w:after="0" w:line="141" w:lineRule="exact"/>
        <w:rPr>
          <w:sz w:val="20"/>
          <w:szCs w:val="20"/>
          <w:color w:val="auto"/>
        </w:rPr>
      </w:pPr>
    </w:p>
    <w:p>
      <w:pPr>
        <w:ind w:left="280" w:right="339" w:firstLine="337"/>
        <w:spacing w:after="0" w:line="249" w:lineRule="auto"/>
        <w:rPr>
          <w:sz w:val="20"/>
          <w:szCs w:val="20"/>
          <w:color w:val="auto"/>
        </w:rPr>
      </w:pPr>
      <w:r>
        <w:rPr>
          <w:rFonts w:ascii="Times New Roman" w:cs="Times New Roman" w:eastAsia="Times New Roman" w:hAnsi="Times New Roman"/>
          <w:sz w:val="14"/>
          <w:szCs w:val="14"/>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Forward-looking statements speak only as of the date of this prospectus or, in the case of forward-looking statements contained in any document incorporated by reference, the date of such document, and, except as required by applicable law, we expressly disclaim any obligation or undertaking to update these statements after the date they are made to reflect any change in our expectations or beliefs, any change in events, conditions or circumstances on which any forward-looking statement is based or otherwise. All forward-looking statements included in this prospectus, any prospectus supplement and the documents we incorporate by reference herein and therein are expressly qualified in their entirety by these cautionary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24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WHO WE ARE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are a Delaware limited partnership formed by Westlake to operate, acquire and develop ethylene production facilities and related assets.</w:t>
      </w:r>
    </w:p>
    <w:p>
      <w:pPr>
        <w:spacing w:after="0" w:line="170" w:lineRule="exact"/>
        <w:rPr>
          <w:sz w:val="20"/>
          <w:szCs w:val="20"/>
          <w:color w:val="auto"/>
        </w:rPr>
      </w:pPr>
    </w:p>
    <w:p>
      <w:pPr>
        <w:ind w:left="280" w:right="359" w:firstLine="337"/>
        <w:spacing w:after="0" w:line="275" w:lineRule="auto"/>
        <w:rPr>
          <w:sz w:val="20"/>
          <w:szCs w:val="20"/>
          <w:color w:val="auto"/>
        </w:rPr>
      </w:pPr>
      <w:r>
        <w:rPr>
          <w:rFonts w:ascii="Times New Roman" w:cs="Times New Roman" w:eastAsia="Times New Roman" w:hAnsi="Times New Roman"/>
          <w:sz w:val="13"/>
          <w:szCs w:val="13"/>
          <w:color w:val="auto"/>
        </w:rPr>
        <w:t>Currently, our sole revenue generating asset is our 22.8% limited partner interest in OpCo, a limited partnership formed by Westlake and us in anticipation of our initial public offering in August 2014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at Westlake’s Lake Charles, Louisiana site, (2) one ethylene production facility at Westlake’s Calvert City, Kentucky site; and (3) a 200-mile common carrier ethylene pipeline that runs from Mont Belvieu, Texas to Westlake’s Longview, Texas facility.</w:t>
      </w:r>
    </w:p>
    <w:p>
      <w:pPr>
        <w:spacing w:after="0" w:line="131" w:lineRule="exact"/>
        <w:rPr>
          <w:sz w:val="20"/>
          <w:szCs w:val="20"/>
          <w:color w:val="auto"/>
        </w:rPr>
      </w:pPr>
    </w:p>
    <w:p>
      <w:pPr>
        <w:ind w:left="280" w:right="599" w:firstLine="337"/>
        <w:spacing w:after="0" w:line="273" w:lineRule="auto"/>
        <w:rPr>
          <w:sz w:val="20"/>
          <w:szCs w:val="20"/>
          <w:color w:val="auto"/>
        </w:rPr>
      </w:pPr>
      <w:r>
        <w:rPr>
          <w:rFonts w:ascii="Times New Roman" w:cs="Times New Roman" w:eastAsia="Times New Roman" w:hAnsi="Times New Roman"/>
          <w:sz w:val="14"/>
          <w:szCs w:val="14"/>
          <w:color w:val="auto"/>
        </w:rPr>
        <w:t>Our principal executive offices are located at 2801 Post Oak Boulevard, Suite 600, Houston, Texas 77056, and our telephone number is (713) 585-2900.</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7"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4" w:lineRule="exact"/>
        <w:rPr>
          <w:sz w:val="20"/>
          <w:szCs w:val="20"/>
          <w:color w:val="auto"/>
        </w:rPr>
      </w:pPr>
    </w:p>
    <w:p>
      <w:pPr>
        <w:ind w:left="280" w:right="319" w:firstLine="337"/>
        <w:spacing w:after="0" w:line="270" w:lineRule="auto"/>
        <w:rPr>
          <w:sz w:val="20"/>
          <w:szCs w:val="20"/>
          <w:color w:val="auto"/>
        </w:rPr>
      </w:pPr>
      <w:r>
        <w:rPr>
          <w:rFonts w:ascii="Times New Roman" w:cs="Times New Roman" w:eastAsia="Times New Roman" w:hAnsi="Times New Roman"/>
          <w:sz w:val="13"/>
          <w:szCs w:val="13"/>
          <w:color w:val="auto"/>
        </w:rPr>
        <w:t>An investment in our securities involves a significant degree of risk. Before you invest in our securities you should carefully consider the risk factors and all of the other information included in this prospectus and any prospectus supplement, and the documents we have incorporated by reference, including those in our most recent Annual Report on Form 10-K as updated by our quarterly and other reports and documents we file with the SEC after the date of this prospectus, in evaluating an investment in the securities. If any of these risks were actually to occur, our business, financial condition or results of operations could be materially adversely affected. In that case, our ability to make distributions to our unitholders or pay interest on, or the principal of, any debt securities, may be reduced. When we offer and sell any securities pursuant to a prospectus supplement, we may include additional risk factors relevant to such securities in the prospectus supplement. There may be other unknown or unpredictable economic, business, competitive, regulatory or other factors that could have material adverse effects on our future results. Past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securities to decline, resulting in a loss of all or part of your investment. Also, please read “Cautionary Statement Regarding Forward-Looking Statements.”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4" w:lineRule="exact"/>
        <w:rPr>
          <w:sz w:val="20"/>
          <w:szCs w:val="20"/>
          <w:color w:val="auto"/>
        </w:rPr>
      </w:pPr>
    </w:p>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we intend to use the net proceeds we receive from the sale of the securities offered by this prospectus and any prospectus supplement for general partnership purposes, which may include repayment of indebtedness, the financing of capital expenditures, future acquisitions and additions to our working capital.</w:t>
      </w:r>
    </w:p>
    <w:p>
      <w:pPr>
        <w:spacing w:after="0" w:line="141"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Any specific allocation of the net proceeds of an offering of securities to a specific purpose will be determined at the time of the offering and will be described in the applicable prospectus supplement.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7"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COMMON UNITS AND PREFERRED UNITS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Common Units</w:t>
      </w:r>
    </w:p>
    <w:p>
      <w:pPr>
        <w:spacing w:after="0" w:line="91" w:lineRule="exact"/>
        <w:rPr>
          <w:sz w:val="20"/>
          <w:szCs w:val="20"/>
          <w:color w:val="auto"/>
        </w:rPr>
      </w:pPr>
    </w:p>
    <w:p>
      <w:pPr>
        <w:ind w:left="280" w:right="439" w:firstLine="337"/>
        <w:spacing w:after="0" w:line="255" w:lineRule="auto"/>
        <w:rPr>
          <w:sz w:val="20"/>
          <w:szCs w:val="20"/>
          <w:color w:val="auto"/>
        </w:rPr>
      </w:pPr>
      <w:r>
        <w:rPr>
          <w:rFonts w:ascii="Times New Roman" w:cs="Times New Roman" w:eastAsia="Times New Roman" w:hAnsi="Times New Roman"/>
          <w:sz w:val="14"/>
          <w:szCs w:val="14"/>
          <w:color w:val="auto"/>
        </w:rPr>
        <w:t>Please see our registration statement on Form 8-A (File No. 001-36567) filed on July 24, 2014, and any amendment or report filed with the SEC for the purpose of updating the description, including Exhibit 4.1 of the Company’s Annual Report on Form 10-K for the fiscal year ended December 31, 2019, filed with the SEC on February 28, 2020, which is incorporated by reference herein, for a description of our common units, our cash distribution policy and our partnership agreement.</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Preferred Units</w:t>
      </w:r>
    </w:p>
    <w:p>
      <w:pPr>
        <w:spacing w:after="0" w:line="91" w:lineRule="exact"/>
        <w:rPr>
          <w:sz w:val="20"/>
          <w:szCs w:val="20"/>
          <w:color w:val="auto"/>
        </w:rPr>
      </w:pPr>
    </w:p>
    <w:p>
      <w:pPr>
        <w:ind w:left="280" w:right="499" w:firstLine="337"/>
        <w:spacing w:after="0" w:line="281" w:lineRule="auto"/>
        <w:rPr>
          <w:sz w:val="20"/>
          <w:szCs w:val="20"/>
          <w:color w:val="auto"/>
        </w:rPr>
      </w:pPr>
      <w:r>
        <w:rPr>
          <w:rFonts w:ascii="Times New Roman" w:cs="Times New Roman" w:eastAsia="Times New Roman" w:hAnsi="Times New Roman"/>
          <w:sz w:val="13"/>
          <w:szCs w:val="13"/>
          <w:color w:val="auto"/>
        </w:rPr>
        <w:t>Our partnership agreement authorizes us to issue an unlimited number of additional limited partner interests and other equity securities for the consideration and with the designations, preferences, rights, powers and duties established by our general partner without the approval of any of our limited partners. In accordance with Delaware law and the provisions of our partnership agreement, we may issue additional partnership interests that have special voting rights to which our common units are not entitled. As of the date of this prospectus, we have no preferred units outstanding.</w:t>
      </w:r>
    </w:p>
    <w:p>
      <w:pPr>
        <w:spacing w:after="0" w:line="127" w:lineRule="exact"/>
        <w:rPr>
          <w:sz w:val="20"/>
          <w:szCs w:val="20"/>
          <w:color w:val="auto"/>
        </w:rPr>
      </w:pPr>
    </w:p>
    <w:p>
      <w:pPr>
        <w:ind w:left="280" w:right="659" w:firstLine="337"/>
        <w:spacing w:after="0" w:line="273" w:lineRule="auto"/>
        <w:rPr>
          <w:sz w:val="20"/>
          <w:szCs w:val="20"/>
          <w:color w:val="auto"/>
        </w:rPr>
      </w:pPr>
      <w:r>
        <w:rPr>
          <w:rFonts w:ascii="Times New Roman" w:cs="Times New Roman" w:eastAsia="Times New Roman" w:hAnsi="Times New Roman"/>
          <w:sz w:val="14"/>
          <w:szCs w:val="14"/>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58" w:lineRule="exact"/>
        <w:rPr>
          <w:sz w:val="20"/>
          <w:szCs w:val="20"/>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liquidation preference of the preferred units and the number of preferred units offered;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preferred units will be issued;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or exchange provisions of the preferred units;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sinking fund provisions of the preferred units;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rights of the preferred units, if any;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additional material U.S. federal income tax consequences regarding the preferred units;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rights, preferences, privileges, limitations and restrictions of the preferred units.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7"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PARTNERSHIP SECURITIES</w:t>
      </w:r>
    </w:p>
    <w:p>
      <w:pPr>
        <w:spacing w:after="0" w:line="174" w:lineRule="exact"/>
        <w:rPr>
          <w:sz w:val="20"/>
          <w:szCs w:val="20"/>
          <w:color w:val="auto"/>
        </w:rPr>
      </w:pPr>
    </w:p>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t>Our partnership agreement authorizes us to issue an unlimited number of additional limited partner interests and other equity securities for the consideration and on the terms and conditions established by our general partner without the approval of any limited partners.</w:t>
      </w:r>
    </w:p>
    <w:p>
      <w:pPr>
        <w:spacing w:after="0" w:line="130" w:lineRule="exact"/>
        <w:rPr>
          <w:sz w:val="20"/>
          <w:szCs w:val="20"/>
          <w:color w:val="auto"/>
        </w:rPr>
      </w:pPr>
    </w:p>
    <w:p>
      <w:pPr>
        <w:ind w:left="280" w:right="679" w:firstLine="337"/>
        <w:spacing w:after="0" w:line="273" w:lineRule="auto"/>
        <w:rPr>
          <w:sz w:val="20"/>
          <w:szCs w:val="20"/>
          <w:color w:val="auto"/>
        </w:rPr>
      </w:pPr>
      <w:r>
        <w:rPr>
          <w:rFonts w:ascii="Times New Roman" w:cs="Times New Roman" w:eastAsia="Times New Roman" w:hAnsi="Times New Roman"/>
          <w:sz w:val="14"/>
          <w:szCs w:val="14"/>
          <w:color w:val="auto"/>
        </w:rPr>
        <w:t>In accordance with Delaware law and the provisions of our partnership agreement, we also may issue additional partnership interests that, if approved by our general partner, have special voting rights to which the common units are not entitled.</w:t>
      </w:r>
    </w:p>
    <w:p>
      <w:pPr>
        <w:spacing w:after="0" w:line="130" w:lineRule="exact"/>
        <w:rPr>
          <w:sz w:val="20"/>
          <w:szCs w:val="20"/>
          <w:color w:val="auto"/>
        </w:rPr>
      </w:pPr>
    </w:p>
    <w:p>
      <w:pPr>
        <w:ind w:left="280" w:right="319" w:firstLine="337"/>
        <w:spacing w:after="0" w:line="281" w:lineRule="auto"/>
        <w:rPr>
          <w:sz w:val="20"/>
          <w:szCs w:val="20"/>
          <w:color w:val="auto"/>
        </w:rPr>
      </w:pPr>
      <w:r>
        <w:rPr>
          <w:rFonts w:ascii="Times New Roman" w:cs="Times New Roman" w:eastAsia="Times New Roman" w:hAnsi="Times New Roman"/>
          <w:sz w:val="13"/>
          <w:szCs w:val="13"/>
          <w:color w:val="auto"/>
        </w:rPr>
        <w:t>The following is a description of the general terms and provisions of our partnership securities. The particular terms of any series of partnership securities will be described in the applicable prospectus supplement and the amendment to our partnership agreement, if necessary, relating to that series of partnership securities, which will be filed as an exhibit to or incorporated by reference into this prospectus at or before the time of issuance of any such series of partnership securities. If so indicated in a prospectus supplement, the terms of any such series may differ from the terms set forth below.</w:t>
      </w:r>
    </w:p>
    <w:p>
      <w:pPr>
        <w:spacing w:after="0" w:line="127" w:lineRule="exact"/>
        <w:rPr>
          <w:sz w:val="20"/>
          <w:szCs w:val="20"/>
          <w:color w:val="auto"/>
        </w:rPr>
      </w:pPr>
    </w:p>
    <w:p>
      <w:pPr>
        <w:ind w:left="280" w:right="719" w:firstLine="337"/>
        <w:spacing w:after="0" w:line="273" w:lineRule="auto"/>
        <w:rPr>
          <w:sz w:val="20"/>
          <w:szCs w:val="20"/>
          <w:color w:val="auto"/>
        </w:rPr>
      </w:pPr>
      <w:r>
        <w:rPr>
          <w:rFonts w:ascii="Times New Roman" w:cs="Times New Roman" w:eastAsia="Times New Roman" w:hAnsi="Times New Roman"/>
          <w:sz w:val="14"/>
          <w:szCs w:val="14"/>
          <w:color w:val="auto"/>
        </w:rPr>
        <w:t>Our general partner is authorized to approve the issuance of one or more series of partnership securities without further authorization of the limited partners and to fix the number of securities, the designations, rights, privileges, restrictions and conditions of any such series.</w:t>
      </w:r>
    </w:p>
    <w:p>
      <w:pPr>
        <w:spacing w:after="0" w:line="130" w:lineRule="exact"/>
        <w:rPr>
          <w:sz w:val="20"/>
          <w:szCs w:val="20"/>
          <w:color w:val="auto"/>
        </w:rPr>
      </w:pPr>
    </w:p>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The applicable prospectus supplement will set forth the number of securities, particular designation, relative rights and preferences and the limitations of any series of partnership securities in respect of which this prospectus is delivered. The particular terms of any such series may include the following:</w:t>
      </w:r>
    </w:p>
    <w:p>
      <w:pPr>
        <w:spacing w:after="0" w:line="68" w:lineRule="exact"/>
        <w:rPr>
          <w:sz w:val="20"/>
          <w:szCs w:val="20"/>
          <w:color w:val="auto"/>
        </w:rPr>
      </w:pPr>
    </w:p>
    <w:p>
      <w:pPr>
        <w:ind w:left="1020" w:hanging="322"/>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if any, of securities to constitute the series and the designation and ranking thereof;</w:t>
      </w:r>
    </w:p>
    <w:p>
      <w:pPr>
        <w:spacing w:after="0" w:line="97" w:lineRule="exact"/>
        <w:rPr>
          <w:rFonts w:ascii="Times New Roman" w:cs="Times New Roman" w:eastAsia="Times New Roman" w:hAnsi="Times New Roman"/>
          <w:sz w:val="14"/>
          <w:szCs w:val="14"/>
          <w:color w:val="auto"/>
        </w:rPr>
      </w:pPr>
    </w:p>
    <w:p>
      <w:pPr>
        <w:ind w:left="1020" w:right="319" w:hanging="322"/>
        <w:spacing w:after="0" w:line="259"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rate, if any, on securities of the series, whether such rate is fixed or variable or both, the dates from which distributions will begin to accrue or accumulate, whether distributions will be cumulative and whether such distributions will be paid in cash, securities or otherwise;</w:t>
      </w:r>
    </w:p>
    <w:p>
      <w:pPr>
        <w:spacing w:after="0" w:line="68" w:lineRule="exact"/>
        <w:rPr>
          <w:rFonts w:ascii="Times New Roman" w:cs="Times New Roman" w:eastAsia="Times New Roman" w:hAnsi="Times New Roman"/>
          <w:sz w:val="14"/>
          <w:szCs w:val="14"/>
          <w:color w:val="auto"/>
        </w:rPr>
      </w:pPr>
    </w:p>
    <w:p>
      <w:pPr>
        <w:jc w:val="both"/>
        <w:ind w:left="1020" w:right="639" w:hanging="322"/>
        <w:spacing w:after="0" w:line="259"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securities of the series will be redeemable and, if so, the price and the terms and conditions on which the securities of the series may be redeemed, including the time during which securities of the series may be redeemed and any accumulated distributions thereof that the holders of the securities of the series will be entitled to receive upon the redemption thereof;</w:t>
      </w:r>
    </w:p>
    <w:p>
      <w:pPr>
        <w:spacing w:after="0" w:line="68"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if any, applicable to securities of the series;</w:t>
      </w:r>
    </w:p>
    <w:p>
      <w:pPr>
        <w:spacing w:after="0" w:line="97" w:lineRule="exact"/>
        <w:rPr>
          <w:rFonts w:ascii="Times New Roman" w:cs="Times New Roman" w:eastAsia="Times New Roman" w:hAnsi="Times New Roman"/>
          <w:sz w:val="14"/>
          <w:szCs w:val="14"/>
          <w:color w:val="auto"/>
        </w:rPr>
      </w:pPr>
    </w:p>
    <w:p>
      <w:pPr>
        <w:ind w:left="1020" w:right="339" w:hanging="322"/>
        <w:spacing w:after="0" w:line="259"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on which the securities of the series will be convertible into, or exchangeable for, securities of any other class or classes of partnership securities, including the price or prices or the rate or rates of conversion or exchange and the method, is any, of adjusting the same; and</w:t>
      </w:r>
    </w:p>
    <w:p>
      <w:pPr>
        <w:spacing w:after="0" w:line="68"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securities of the series.</w:t>
      </w:r>
    </w:p>
    <w:p>
      <w:pPr>
        <w:spacing w:after="0" w:line="170" w:lineRule="exact"/>
        <w:rPr>
          <w:sz w:val="20"/>
          <w:szCs w:val="20"/>
          <w:color w:val="auto"/>
        </w:rPr>
      </w:pPr>
    </w:p>
    <w:p>
      <w:pPr>
        <w:ind w:left="280" w:right="339" w:firstLine="337"/>
        <w:spacing w:after="0" w:line="255" w:lineRule="auto"/>
        <w:rPr>
          <w:sz w:val="20"/>
          <w:szCs w:val="20"/>
          <w:color w:val="auto"/>
        </w:rPr>
      </w:pPr>
      <w:r>
        <w:rPr>
          <w:rFonts w:ascii="Times New Roman" w:cs="Times New Roman" w:eastAsia="Times New Roman" w:hAnsi="Times New Roman"/>
          <w:sz w:val="14"/>
          <w:szCs w:val="14"/>
          <w:color w:val="auto"/>
        </w:rPr>
        <w:t>Partnership securities will be fully paid and, except as provided under Delaware law, non-assessable when issued upon full payment of the purchase price therefor. The prospectus supplement will contain, if applicable, a description of the material U.S. federal income tax consequences relating to the purchase and ownership of the series of partnership securities offered thereby. The transfer agent, registrar and distributions disbursement agent for the partnership securities will be designated in the applicable prospectus supplement.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7"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DEBT SECURITIES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Westlake Chemical Partners LP may issue senior debt securities in one or more series, and WLKP Finance Corp. may be a co-issuer of one or more series of debt securities. WLKP Finance Corp. is 100% owned by Westlake Chemical Partners LP, and has no assets or current operations and has been formed for the sole purpose of acting as co-issuer of debt securities. Its activities are limited to co-issuing debt securities and engaging in other activities incidental thereto. Any debt securities co-issued by Westlake Chemical Partners LP and WLKP Finance Corp. will be issued jointly and severally. When used in this section “Description of Debt Securities,” the terms “we,” “us,” “our” and “issuers” refer jointly to Westlake Chemical Partners LP and WLKP Finance Corp. if the latter is a co-issuer of the series of debt securities and otherwise only to the former, and the terms “WLKP” and “WLKP Finance” refer strictly to Westlake Chemical Partners LP and WLKP Finance Corp., respectively.</w:t>
      </w:r>
    </w:p>
    <w:p>
      <w:pPr>
        <w:spacing w:after="0" w:line="145" w:lineRule="exact"/>
        <w:rPr>
          <w:sz w:val="20"/>
          <w:szCs w:val="20"/>
          <w:color w:val="auto"/>
        </w:rPr>
      </w:pPr>
    </w:p>
    <w:p>
      <w:pPr>
        <w:jc w:val="both"/>
        <w:ind w:left="280" w:right="339" w:firstLine="337"/>
        <w:spacing w:after="0" w:line="255" w:lineRule="auto"/>
        <w:rPr>
          <w:sz w:val="20"/>
          <w:szCs w:val="20"/>
          <w:color w:val="auto"/>
        </w:rPr>
      </w:pPr>
      <w:r>
        <w:rPr>
          <w:rFonts w:ascii="Times New Roman" w:cs="Times New Roman" w:eastAsia="Times New Roman" w:hAnsi="Times New Roman"/>
          <w:sz w:val="14"/>
          <w:szCs w:val="14"/>
          <w:color w:val="auto"/>
        </w:rPr>
        <w:t>If we offer debt securities, we will issue them in one or more series under an indenture among each issuer and a trustee (the “Trustee”). A form of the indenture is filed as an exhibit to the registration statement of which this prospectus is a part. We have not restated the indenture in its entirety in this description. You should read the relevant indenture because it, and not this description, controls your rights as holders of the debt securities. Capitalized terms used in the summary have the meanings specified in the indenture.</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Specific Terms of Each Series of Debt Securities in the Prospectus Supplement</w:t>
      </w:r>
    </w:p>
    <w:p>
      <w:pPr>
        <w:spacing w:after="0" w:line="91" w:lineRule="exact"/>
        <w:rPr>
          <w:sz w:val="20"/>
          <w:szCs w:val="20"/>
          <w:color w:val="auto"/>
        </w:rPr>
      </w:pPr>
    </w:p>
    <w:p>
      <w:pPr>
        <w:ind w:left="280" w:right="719" w:firstLine="337"/>
        <w:spacing w:after="0" w:line="273" w:lineRule="auto"/>
        <w:rPr>
          <w:sz w:val="20"/>
          <w:szCs w:val="20"/>
          <w:color w:val="auto"/>
        </w:rPr>
      </w:pPr>
      <w:r>
        <w:rPr>
          <w:rFonts w:ascii="Times New Roman" w:cs="Times New Roman" w:eastAsia="Times New Roman" w:hAnsi="Times New Roman"/>
          <w:sz w:val="14"/>
          <w:szCs w:val="14"/>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8" w:lineRule="exact"/>
        <w:rPr>
          <w:sz w:val="20"/>
          <w:szCs w:val="20"/>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WLKP Finance will be a co-issuer;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if any, that are pledged as security for the payment of the debt securities;</w:t>
      </w:r>
    </w:p>
    <w:p>
      <w:pPr>
        <w:spacing w:after="0" w:line="97" w:lineRule="exact"/>
        <w:rPr>
          <w:rFonts w:ascii="Times New Roman" w:cs="Times New Roman" w:eastAsia="Times New Roman" w:hAnsi="Times New Roman"/>
          <w:sz w:val="14"/>
          <w:szCs w:val="14"/>
          <w:color w:val="auto"/>
        </w:rPr>
      </w:pPr>
    </w:p>
    <w:p>
      <w:pPr>
        <w:ind w:left="1020" w:right="819" w:hanging="322"/>
        <w:spacing w:after="0" w:line="273"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individual certificates to each holder in registered form, or in the form of temporary or permanent global securities held by a depository on behalf of holders;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we will issue the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that will be payable if the maturity of the debt securities is accelerated;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 in which the debt securities will be payable, if not U.S. dollars;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principal of the debt securities will be payable;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that the debt securities will bear and the interest payment dates for the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or exchange provisions;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repurchase or redeem the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to or additional events of default or covenants;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70" w:lineRule="exact"/>
        <w:rPr>
          <w:sz w:val="20"/>
          <w:szCs w:val="20"/>
          <w:color w:val="auto"/>
        </w:rPr>
      </w:pPr>
    </w:p>
    <w:p>
      <w:pPr>
        <w:ind w:left="280" w:right="359" w:firstLine="337"/>
        <w:spacing w:after="0" w:line="273" w:lineRule="auto"/>
        <w:rPr>
          <w:sz w:val="20"/>
          <w:szCs w:val="20"/>
          <w:color w:val="auto"/>
        </w:rPr>
      </w:pPr>
      <w:r>
        <w:rPr>
          <w:rFonts w:ascii="Times New Roman" w:cs="Times New Roman" w:eastAsia="Times New Roman" w:hAnsi="Times New Roman"/>
          <w:sz w:val="14"/>
          <w:szCs w:val="14"/>
          <w:color w:val="auto"/>
        </w:rPr>
        <w:t>We may offer and sell debt securities, including original issue discount debt securities, at a substantial discount below their principal amount. The prospectus supplement will describe the material U.S. federal income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7" w:right="1440" w:bottom="1440" w:gutter="0" w:footer="0" w:header="0"/>
        </w:sectPr>
      </w:pPr>
    </w:p>
    <w:bookmarkStart w:id="14" w:name="page15"/>
    <w:bookmarkEnd w:id="14"/>
    <w:p>
      <w:pPr>
        <w:ind w:left="280" w:right="55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 consequences applicable to those securities. In addition, the prospectus supplement may describe certain special U.S. federal income tax or other considerations applicable to any debt securities that are denominated in a currency other than U.S. dollars.</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Consolidation, Merger or Asset Sale</w:t>
      </w:r>
    </w:p>
    <w:p>
      <w:pPr>
        <w:spacing w:after="0" w:line="91"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The indenture will, in general, allow each issuer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left="280" w:right="599" w:firstLine="337"/>
        <w:spacing w:after="0" w:line="273" w:lineRule="auto"/>
        <w:rPr>
          <w:sz w:val="20"/>
          <w:szCs w:val="20"/>
          <w:color w:val="auto"/>
        </w:rPr>
      </w:pPr>
      <w:r>
        <w:rPr>
          <w:rFonts w:ascii="Times New Roman" w:cs="Times New Roman" w:eastAsia="Times New Roman" w:hAnsi="Times New Roman"/>
          <w:sz w:val="14"/>
          <w:szCs w:val="14"/>
          <w:color w:val="auto"/>
        </w:rPr>
        <w:t>However, the indenture will impose certain requirements with respect to any consolidation or merger with or into an entity, or any sale, lease, transfer or other disposition of all or substantially all of an issuer’s assets, including:</w:t>
      </w:r>
    </w:p>
    <w:p>
      <w:pPr>
        <w:spacing w:after="0" w:line="58" w:lineRule="exact"/>
        <w:rPr>
          <w:sz w:val="20"/>
          <w:szCs w:val="20"/>
          <w:color w:val="auto"/>
        </w:rPr>
      </w:pPr>
    </w:p>
    <w:p>
      <w:pPr>
        <w:ind w:left="1020" w:right="519" w:hanging="322"/>
        <w:spacing w:after="0" w:line="273"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be organized under the laws of the United States, any state or the District of Columbia (and with respect to WLKP Finance, the remaining or acquiring entity must be a corporation so long as WLKP is not a corporation);</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or acquiring entity must assume the issuer’s obligations under the indenture; and</w:t>
      </w:r>
    </w:p>
    <w:p>
      <w:pPr>
        <w:spacing w:after="0" w:line="97" w:lineRule="exact"/>
        <w:rPr>
          <w:rFonts w:ascii="Times New Roman" w:cs="Times New Roman" w:eastAsia="Times New Roman" w:hAnsi="Times New Roman"/>
          <w:sz w:val="14"/>
          <w:szCs w:val="14"/>
          <w:color w:val="auto"/>
        </w:rPr>
      </w:pPr>
    </w:p>
    <w:p>
      <w:pPr>
        <w:ind w:left="1020" w:right="499" w:hanging="322"/>
        <w:spacing w:after="0" w:line="273"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(as defined under “—Events of Default, Remedies and Notice”) may exist.</w:t>
      </w:r>
    </w:p>
    <w:p>
      <w:pPr>
        <w:spacing w:after="0" w:line="130" w:lineRule="exact"/>
        <w:rPr>
          <w:sz w:val="20"/>
          <w:szCs w:val="20"/>
          <w:color w:val="auto"/>
        </w:rPr>
      </w:pPr>
    </w:p>
    <w:p>
      <w:pPr>
        <w:jc w:val="both"/>
        <w:ind w:left="280" w:right="499" w:firstLine="337"/>
        <w:spacing w:after="0" w:line="259" w:lineRule="auto"/>
        <w:rPr>
          <w:sz w:val="20"/>
          <w:szCs w:val="20"/>
          <w:color w:val="auto"/>
        </w:rPr>
      </w:pPr>
      <w:r>
        <w:rPr>
          <w:rFonts w:ascii="Times New Roman" w:cs="Times New Roman" w:eastAsia="Times New Roman" w:hAnsi="Times New Roman"/>
          <w:sz w:val="14"/>
          <w:szCs w:val="14"/>
          <w:color w:val="auto"/>
        </w:rPr>
        <w:t>The remaining or acquiring entity will be substituted for the issuer in the indenture with the same effect as if it had been an original party to the indenture, and the issuer will be relieved from any further obligations under the indenture, except in the case of a lease of all or substantially all of its assets.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1" w:lineRule="exact"/>
        <w:rPr>
          <w:sz w:val="20"/>
          <w:szCs w:val="20"/>
          <w:color w:val="auto"/>
        </w:rPr>
      </w:pPr>
    </w:p>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Modification of Indenture</w:t>
      </w:r>
    </w:p>
    <w:p>
      <w:pPr>
        <w:spacing w:after="0" w:line="91" w:lineRule="exact"/>
        <w:rPr>
          <w:sz w:val="20"/>
          <w:szCs w:val="20"/>
          <w:color w:val="auto"/>
        </w:rPr>
      </w:pPr>
    </w:p>
    <w:p>
      <w:pPr>
        <w:jc w:val="both"/>
        <w:ind w:left="280" w:right="439" w:firstLine="337"/>
        <w:spacing w:after="0" w:line="281" w:lineRule="auto"/>
        <w:rPr>
          <w:sz w:val="20"/>
          <w:szCs w:val="20"/>
          <w:color w:val="auto"/>
        </w:rPr>
      </w:pPr>
      <w:r>
        <w:rPr>
          <w:rFonts w:ascii="Times New Roman" w:cs="Times New Roman" w:eastAsia="Times New Roman" w:hAnsi="Times New Roman"/>
          <w:sz w:val="13"/>
          <w:szCs w:val="13"/>
          <w:color w:val="auto"/>
        </w:rPr>
        <w:t>We may supplement or amend the indenture if the holders of a majority in aggregate principal amount of the outstanding debt securities of each series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However, without the consent of each outstanding debt security affected, no modification of the indenture or waiver may:</w:t>
      </w:r>
    </w:p>
    <w:p>
      <w:pPr>
        <w:spacing w:after="0" w:line="55" w:lineRule="exact"/>
        <w:rPr>
          <w:sz w:val="20"/>
          <w:szCs w:val="20"/>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extend the fixed maturity of any debt security;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premium payable upon redemption or change any redemption date with respect to the redemption of the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on any debt security;</w:t>
      </w:r>
    </w:p>
    <w:p>
      <w:pPr>
        <w:spacing w:after="0" w:line="97"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past Default or an Event of Default in the payment of principal of or premium, if any, or interest on the debt securities or in respect of an indenture provision that cannot be modified without the consent of each affected holder;</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permitted under the indenture, release any security that may have been granted with respect to the debt securities;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15" w:name="page16"/>
    <w:bookmarkEnd w:id="15"/>
    <w:p>
      <w:pPr>
        <w:ind w:left="1020" w:hanging="32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make any debt security payable in currency other than that stated in the debt securities;</w:t>
      </w:r>
    </w:p>
    <w:p>
      <w:pPr>
        <w:spacing w:after="0" w:line="97" w:lineRule="exact"/>
        <w:rPr>
          <w:rFonts w:ascii="Times New Roman" w:cs="Times New Roman" w:eastAsia="Times New Roman" w:hAnsi="Times New Roman"/>
          <w:sz w:val="14"/>
          <w:szCs w:val="14"/>
          <w:color w:val="auto"/>
        </w:rPr>
      </w:pPr>
    </w:p>
    <w:p>
      <w:pPr>
        <w:ind w:left="1020" w:right="69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of any holder to receive any payment on its debt securities on or after the due date therefor or to institute suit for the enforcement of any such payment;</w:t>
      </w:r>
    </w:p>
    <w:p>
      <w:pPr>
        <w:spacing w:after="0" w:line="57" w:lineRule="exact"/>
        <w:rPr>
          <w:rFonts w:ascii="Times New Roman" w:cs="Times New Roman" w:eastAsia="Times New Roman" w:hAnsi="Times New Roman"/>
          <w:sz w:val="14"/>
          <w:szCs w:val="14"/>
          <w:color w:val="auto"/>
        </w:rPr>
      </w:pPr>
    </w:p>
    <w:p>
      <w:pPr>
        <w:ind w:left="1020" w:right="659" w:hanging="322"/>
        <w:spacing w:after="0" w:line="273" w:lineRule="auto"/>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redemption payment with respect to any debt security (except as may be permitted in the case of a particular series of debt securities); or</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preceding amendment, supplement and waiver provisions (except to increase any percentage set forth therein).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may supplement or amend the indenture without the consent of any holders of the debt securities in certain circumstances, including:</w:t>
      </w:r>
    </w:p>
    <w:p>
      <w:pPr>
        <w:spacing w:after="0" w:line="98" w:lineRule="exact"/>
        <w:rPr>
          <w:sz w:val="20"/>
          <w:szCs w:val="20"/>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of terms of any series of debt securities;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notes in addition to or in place of certificated notes;</w:t>
      </w:r>
    </w:p>
    <w:p>
      <w:pPr>
        <w:spacing w:after="0" w:line="97" w:lineRule="exact"/>
        <w:rPr>
          <w:rFonts w:ascii="Times New Roman" w:cs="Times New Roman" w:eastAsia="Times New Roman" w:hAnsi="Times New Roman"/>
          <w:sz w:val="14"/>
          <w:szCs w:val="14"/>
          <w:color w:val="auto"/>
        </w:rPr>
      </w:pPr>
    </w:p>
    <w:p>
      <w:pPr>
        <w:ind w:left="1020" w:right="399" w:hanging="322"/>
        <w:spacing w:after="0" w:line="273"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assumption of an issuer’s obligations to holders of debt securities in the case of a merger or consolidation or disposition of all or substantially all of such issuer’s assets;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under the indenture of any holder of debt securities;</w:t>
      </w:r>
    </w:p>
    <w:p>
      <w:pPr>
        <w:spacing w:after="0" w:line="97" w:lineRule="exact"/>
        <w:rPr>
          <w:rFonts w:ascii="Times New Roman" w:cs="Times New Roman" w:eastAsia="Times New Roman" w:hAnsi="Times New Roman"/>
          <w:sz w:val="14"/>
          <w:szCs w:val="14"/>
          <w:color w:val="auto"/>
        </w:rPr>
      </w:pPr>
    </w:p>
    <w:p>
      <w:pPr>
        <w:ind w:left="1020" w:right="479" w:hanging="322"/>
        <w:spacing w:after="0" w:line="273" w:lineRule="auto"/>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of 1939, as amended (the “Trust Indenture Act”);</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or provide for the acceptance of appointment under the indenture of a successor Trustee;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(as defined below) with respect to any series of debt securities;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Events of Default, Remedies and Notice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when used in the indenture, will mean any of the following with respect to the debt securities of any series:</w:t>
      </w:r>
    </w:p>
    <w:p>
      <w:pPr>
        <w:spacing w:after="0" w:line="102" w:lineRule="exact"/>
        <w:rPr>
          <w:sz w:val="20"/>
          <w:szCs w:val="20"/>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the principal of or any premium on any debt security of that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within 60 days of the due date, interest on any debt security of that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when due any sinking fund payment with respect to any debt securities of that series;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on the part of an issuer to comply with the covenant described under “—Consolidation, Merger or Asset Sale”;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covenant in the indenture that continues for 30 days after written notice is given to the issuers;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an issuer of that series;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under the terms of the debt securities of that series.</w:t>
      </w:r>
    </w:p>
    <w:p>
      <w:pPr>
        <w:spacing w:after="0" w:line="170" w:lineRule="exact"/>
        <w:rPr>
          <w:sz w:val="20"/>
          <w:szCs w:val="20"/>
          <w:color w:val="auto"/>
        </w:rPr>
      </w:pPr>
    </w:p>
    <w:p>
      <w:pPr>
        <w:ind w:left="280" w:right="519" w:firstLine="337"/>
        <w:spacing w:after="0" w:line="255"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will not necessarily constitute an Event of Default for any other series of debt securities issued under the indenture. The Trustee may withhold notice to the holders of debt securities of any default (except in the payment of principal, premium, if any, or interest) if it considers such withholding of notice to be in the best interests of the holders; provided that no such notice may be given with respect to any action taken, and reported publicly, more than two years prior to such notice of default.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16" w:name="page17"/>
    <w:bookmarkEnd w:id="16"/>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an Event of Default described in the sixth bullet point above occurs, the entire principal of, and accrued interest on, all debt securities then outstanding will be due and payable immediately, without any declaration or other act on the part of the Trustee or any holders. If any other Event of Default for any series of debt securities occurs and continues, the Trustee or the holders of at least 30%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48" w:lineRule="exact"/>
        <w:rPr>
          <w:sz w:val="20"/>
          <w:szCs w:val="20"/>
          <w:color w:val="auto"/>
        </w:rPr>
      </w:pPr>
    </w:p>
    <w:p>
      <w:pPr>
        <w:ind w:left="280" w:right="339" w:firstLine="337"/>
        <w:spacing w:after="0" w:line="281" w:lineRule="auto"/>
        <w:rPr>
          <w:sz w:val="20"/>
          <w:szCs w:val="20"/>
          <w:color w:val="auto"/>
        </w:rPr>
      </w:pPr>
      <w:r>
        <w:rPr>
          <w:rFonts w:ascii="Times New Roman" w:cs="Times New Roman" w:eastAsia="Times New Roman" w:hAnsi="Times New Roman"/>
          <w:sz w:val="13"/>
          <w:szCs w:val="13"/>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 Limit on Amount of Debt Securities</w:t>
      </w:r>
    </w:p>
    <w:p>
      <w:pPr>
        <w:spacing w:after="0" w:line="91" w:lineRule="exact"/>
        <w:rPr>
          <w:sz w:val="20"/>
          <w:szCs w:val="20"/>
          <w:color w:val="auto"/>
        </w:rPr>
      </w:pPr>
    </w:p>
    <w:p>
      <w:pPr>
        <w:ind w:left="280" w:right="759" w:firstLine="337"/>
        <w:spacing w:after="0" w:line="273" w:lineRule="auto"/>
        <w:rPr>
          <w:sz w:val="20"/>
          <w:szCs w:val="20"/>
          <w:color w:val="auto"/>
        </w:rPr>
      </w:pPr>
      <w:r>
        <w:rPr>
          <w:rFonts w:ascii="Times New Roman" w:cs="Times New Roman" w:eastAsia="Times New Roman" w:hAnsi="Times New Roman"/>
          <w:sz w:val="14"/>
          <w:szCs w:val="14"/>
          <w:color w:val="auto"/>
        </w:rPr>
        <w:t>The indenture will not limit the amount of debt securities that we may issue, unless we indicate otherwise in a prospectus supplement. The indenture will allow us to issue debt securities of any series up to the aggregate principal amount that we authorize.</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Registration of Notes</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will issue debt securities of a series only in registered form, without coupons.</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Minimum Denominations</w:t>
      </w:r>
    </w:p>
    <w:p>
      <w:pPr>
        <w:spacing w:after="0" w:line="91" w:lineRule="exact"/>
        <w:rPr>
          <w:sz w:val="20"/>
          <w:szCs w:val="20"/>
          <w:color w:val="auto"/>
        </w:rPr>
      </w:pPr>
    </w:p>
    <w:p>
      <w:pPr>
        <w:ind w:left="280" w:right="299" w:firstLine="337"/>
        <w:spacing w:after="0" w:line="273" w:lineRule="auto"/>
        <w:rPr>
          <w:sz w:val="20"/>
          <w:szCs w:val="20"/>
          <w:color w:val="auto"/>
        </w:rPr>
      </w:pPr>
      <w:r>
        <w:rPr>
          <w:rFonts w:ascii="Times New Roman" w:cs="Times New Roman" w:eastAsia="Times New Roman" w:hAnsi="Times New Roman"/>
          <w:sz w:val="14"/>
          <w:szCs w:val="14"/>
          <w:color w:val="auto"/>
        </w:rPr>
        <w:t>Unless the prospectus supplement states otherwise, the debt securities will be issued only in principal amounts of $1,000 each or integral multiples of $1,000.</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 Personal Liability; Certain Waivers and Limitations</w:t>
      </w:r>
    </w:p>
    <w:p>
      <w:pPr>
        <w:spacing w:after="0" w:line="91"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None of the past, present or future partners, incorporators, managers, members, directors, officers, employees, unitholders or stockholders of either issuer or the general partner of WLKP, as such, will have any liability for the obligations of the issuers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The only payment provisions, representations and warranties, covenants, events of default, guarantee provisions and other obligations applicable to the issuers are those expressly set forth in the Indenture and, by acceptance of any debt security, each holder waives and expressly disclaims to the maximum extent permitted by applicable law any implied covenant and other similar provision that may exist in law or in equity and that may be applicable to the issuers and each holder agrees that it will not participate in any cause of action with respect to, alleging the existing or breach of, or seeking to enforce any such implied covenant or similar provision. In addition, the “integrated transaction doctrine” any similar legal doctrine or theory is expressly waived by each holder by acceptance of any debt security. Without limiting the foregoing, each holder agrees by acceptance of any debt security that (a) any series of related transactions shall be permitted by the indenture if each individual transaction would be permitted, and (b) any series of related transactions that are consummate substantially concurrently may be deemed to be consummated in any order determined by the issuers that complies with the indenture with permissibility of each transaction evaluated in light of such order.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17" w:name="page18"/>
    <w:bookmarkEnd w:id="17"/>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Payment and Transfer</w:t>
      </w:r>
    </w:p>
    <w:p>
      <w:pPr>
        <w:spacing w:after="0" w:line="91"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The Trustee will initially act as paying agent and registrar under the indenture. The issuers may change the paying agent or registrar without prior notice to the holders of debt securities, and the issuers or any of their subsidiaries may act as paying agent or registrar.</w:t>
      </w:r>
    </w:p>
    <w:p>
      <w:pPr>
        <w:spacing w:after="0" w:line="130" w:lineRule="exact"/>
        <w:rPr>
          <w:sz w:val="20"/>
          <w:szCs w:val="20"/>
          <w:color w:val="auto"/>
        </w:rPr>
      </w:pPr>
    </w:p>
    <w:p>
      <w:pPr>
        <w:ind w:left="280" w:right="719" w:firstLine="337"/>
        <w:spacing w:after="0" w:line="289" w:lineRule="auto"/>
        <w:rPr>
          <w:sz w:val="20"/>
          <w:szCs w:val="20"/>
          <w:color w:val="auto"/>
        </w:rPr>
      </w:pPr>
      <w:r>
        <w:rPr>
          <w:rFonts w:ascii="Times New Roman" w:cs="Times New Roman" w:eastAsia="Times New Roman" w:hAnsi="Times New Roman"/>
          <w:sz w:val="13"/>
          <w:szCs w:val="13"/>
          <w:color w:val="auto"/>
        </w:rPr>
        <w:t>If a holder of debt securities has given wire transfer instructions to the issuers, the issuers will make all payments on the debt securities in accordance with those instructions. All other payments on any debt securities not in a global form will be made at the corporate trust office of the Trustee, unless the issuers elect to make interest payments by check mailed to the holders at their addresses set forth in the debt security register.</w:t>
      </w:r>
    </w:p>
    <w:p>
      <w:pPr>
        <w:spacing w:after="0" w:line="122" w:lineRule="exact"/>
        <w:rPr>
          <w:sz w:val="20"/>
          <w:szCs w:val="20"/>
          <w:color w:val="auto"/>
        </w:rPr>
      </w:pPr>
    </w:p>
    <w:p>
      <w:pPr>
        <w:jc w:val="both"/>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Exchange, Registration and Transfer</w:t>
      </w:r>
    </w:p>
    <w:p>
      <w:pPr>
        <w:spacing w:after="0" w:line="91"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will not be required:</w:t>
      </w:r>
    </w:p>
    <w:p>
      <w:pPr>
        <w:spacing w:after="0" w:line="98" w:lineRule="exact"/>
        <w:rPr>
          <w:sz w:val="20"/>
          <w:szCs w:val="20"/>
          <w:color w:val="auto"/>
        </w:rPr>
      </w:pPr>
    </w:p>
    <w:p>
      <w:pPr>
        <w:ind w:left="1020" w:right="419" w:hanging="322"/>
        <w:spacing w:after="0" w:line="273"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register the transfer of, or exchange debt securities of a series either during a period of 15 days prior to the mailing of a notice of redemption of debt securities of that series; or</w:t>
      </w:r>
    </w:p>
    <w:p>
      <w:pPr>
        <w:spacing w:after="0" w:line="57" w:lineRule="exact"/>
        <w:rPr>
          <w:rFonts w:ascii="Times New Roman" w:cs="Times New Roman" w:eastAsia="Times New Roman" w:hAnsi="Times New Roman"/>
          <w:sz w:val="14"/>
          <w:szCs w:val="14"/>
          <w:color w:val="auto"/>
        </w:rPr>
      </w:pPr>
    </w:p>
    <w:p>
      <w:pPr>
        <w:ind w:left="1020" w:right="439" w:hanging="322"/>
        <w:spacing w:after="0" w:line="273"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register the transfer of or exchange any debt security called for redemption, except the unredeemed portion of any debt security we are redeeming in part.</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1" w:lineRule="exact"/>
        <w:rPr>
          <w:sz w:val="20"/>
          <w:szCs w:val="20"/>
          <w:color w:val="auto"/>
        </w:rPr>
      </w:pPr>
    </w:p>
    <w:p>
      <w:pPr>
        <w:ind w:left="280" w:right="419" w:firstLine="337"/>
        <w:spacing w:after="0" w:line="259" w:lineRule="auto"/>
        <w:rPr>
          <w:sz w:val="20"/>
          <w:szCs w:val="20"/>
          <w:color w:val="auto"/>
        </w:rPr>
      </w:pPr>
      <w:r>
        <w:rPr>
          <w:rFonts w:ascii="Times New Roman" w:cs="Times New Roman" w:eastAsia="Times New Roman" w:hAnsi="Times New Roman"/>
          <w:sz w:val="14"/>
          <w:szCs w:val="14"/>
          <w:color w:val="auto"/>
        </w:rPr>
        <w:t>The debt securities will rank equally in right of payment with all of our other senior and unsubordinated debt. The debt securities will be effectively subordinated, however, to all of our secured debt to the extent of the value of the collateral for that debt. We will disclose the amount of our secured debt in the prospectus supplement.</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Book Entry, Delivery and Form</w:t>
      </w:r>
    </w:p>
    <w:p>
      <w:pPr>
        <w:spacing w:after="0" w:line="9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The debt securities of a particular series may be issued in whole or in part in the form of one or more global certificates that will be deposited with the Trustee as custodian for The Depository Trust Company, New York, New York (“DTC”) and registered in the name of DTC’s nominee, Cede &amp; Co.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48" w:lineRule="exact"/>
        <w:rPr>
          <w:sz w:val="20"/>
          <w:szCs w:val="20"/>
          <w:color w:val="auto"/>
        </w:rPr>
      </w:pPr>
    </w:p>
    <w:p>
      <w:pPr>
        <w:ind w:left="280" w:right="639" w:firstLine="337"/>
        <w:spacing w:after="0" w:line="273" w:lineRule="auto"/>
        <w:rPr>
          <w:sz w:val="20"/>
          <w:szCs w:val="20"/>
          <w:color w:val="auto"/>
        </w:rPr>
      </w:pPr>
      <w:r>
        <w:rPr>
          <w:rFonts w:ascii="Times New Roman" w:cs="Times New Roman" w:eastAsia="Times New Roman" w:hAnsi="Times New Roman"/>
          <w:sz w:val="14"/>
          <w:szCs w:val="14"/>
          <w:color w:val="auto"/>
        </w:rPr>
        <w:t>Beneficial interests in global debt securities will be shown on, and transfers of beneficial interests in global debt securities will be made only through, records maintained by DTC and its participants.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7" w:right="1440" w:bottom="1440" w:gutter="0" w:footer="0" w:header="0"/>
        </w:sectPr>
      </w:pPr>
    </w:p>
    <w:bookmarkStart w:id="18" w:name="page19"/>
    <w:bookmarkEnd w:id="18"/>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as amended.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45" w:lineRule="exact"/>
        <w:rPr>
          <w:sz w:val="20"/>
          <w:szCs w:val="20"/>
          <w:color w:val="auto"/>
        </w:rPr>
      </w:pPr>
    </w:p>
    <w:p>
      <w:pPr>
        <w:ind w:left="280" w:right="299" w:firstLine="337"/>
        <w:spacing w:after="0" w:line="273" w:lineRule="auto"/>
        <w:rPr>
          <w:sz w:val="20"/>
          <w:szCs w:val="20"/>
          <w:color w:val="auto"/>
        </w:rPr>
      </w:pPr>
      <w:r>
        <w:rPr>
          <w:rFonts w:ascii="Times New Roman" w:cs="Times New Roman" w:eastAsia="Times New Roman" w:hAnsi="Times New Roman"/>
          <w:sz w:val="14"/>
          <w:szCs w:val="14"/>
          <w:color w:val="auto"/>
        </w:rPr>
        <w:t>DTC’s book-entry system is also used by other organizations such as securities brokers and dealers, banks and trust companies that work through a Direct Participant. The rules that apply to DTC and its Direct Participants are on file with the SEC.</w:t>
      </w:r>
    </w:p>
    <w:p>
      <w:pPr>
        <w:spacing w:after="0" w:line="130" w:lineRule="exact"/>
        <w:rPr>
          <w:sz w:val="20"/>
          <w:szCs w:val="20"/>
          <w:color w:val="auto"/>
        </w:rPr>
      </w:pPr>
    </w:p>
    <w:p>
      <w:pPr>
        <w:ind w:left="280" w:right="479" w:firstLine="337"/>
        <w:spacing w:after="0" w:line="259" w:lineRule="auto"/>
        <w:rPr>
          <w:sz w:val="20"/>
          <w:szCs w:val="20"/>
          <w:color w:val="auto"/>
        </w:rPr>
      </w:pPr>
      <w:r>
        <w:rPr>
          <w:rFonts w:ascii="Times New Roman" w:cs="Times New Roman" w:eastAsia="Times New Roman" w:hAnsi="Times New Roman"/>
          <w:sz w:val="14"/>
          <w:szCs w:val="14"/>
          <w:color w:val="auto"/>
        </w:rPr>
        <w:t>DTC is a wholly-owned subsidiary of The Depository Trust &amp; Clearing Corporation (“DTCC”). DTCC, in turn, is owned by a number of its participants and by, among other institutions, the Financial Industry Regulatory Authority, Inc. The rules that apply to DTC and its participants are on file with the SEC.</w:t>
      </w:r>
    </w:p>
    <w:p>
      <w:pPr>
        <w:spacing w:after="0" w:line="141" w:lineRule="exact"/>
        <w:rPr>
          <w:sz w:val="20"/>
          <w:szCs w:val="20"/>
          <w:color w:val="auto"/>
        </w:rPr>
      </w:pPr>
    </w:p>
    <w:p>
      <w:pPr>
        <w:ind w:left="280" w:right="459" w:firstLine="337"/>
        <w:spacing w:after="0" w:line="259" w:lineRule="auto"/>
        <w:rPr>
          <w:sz w:val="20"/>
          <w:szCs w:val="20"/>
          <w:color w:val="auto"/>
        </w:rPr>
      </w:pPr>
      <w:r>
        <w:rPr>
          <w:rFonts w:ascii="Times New Roman" w:cs="Times New Roman" w:eastAsia="Times New Roman" w:hAnsi="Times New Roman"/>
          <w:sz w:val="14"/>
          <w:szCs w:val="14"/>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Direct Participants to owners of beneficial interests in the global debt securities, and voting by Direct Participants, will be governed by the customary practices between the Direct Participants and owners of beneficial interests, as is the case with debt securities held for the account of customers registered in “street name.” However, payments will be the responsibility of the Direct Participants and not of DTC, the Trustee or us.</w:t>
      </w:r>
    </w:p>
    <w:p>
      <w:pPr>
        <w:spacing w:after="0" w:line="145" w:lineRule="exact"/>
        <w:rPr>
          <w:sz w:val="20"/>
          <w:szCs w:val="20"/>
          <w:color w:val="auto"/>
        </w:rPr>
      </w:pPr>
    </w:p>
    <w:p>
      <w:pPr>
        <w:ind w:left="280" w:right="739" w:firstLine="337"/>
        <w:spacing w:after="0" w:line="273" w:lineRule="auto"/>
        <w:rPr>
          <w:sz w:val="20"/>
          <w:szCs w:val="20"/>
          <w:color w:val="auto"/>
        </w:rPr>
      </w:pPr>
      <w:r>
        <w:rPr>
          <w:rFonts w:ascii="Times New Roman" w:cs="Times New Roman" w:eastAsia="Times New Roman" w:hAnsi="Times New Roman"/>
          <w:sz w:val="14"/>
          <w:szCs w:val="14"/>
          <w:color w:val="auto"/>
        </w:rPr>
        <w:t>Debt securities represented by a global debt security will be exchangeable for certificated debt securities with the same terms in authorized denominations only if:</w:t>
      </w:r>
    </w:p>
    <w:p>
      <w:pPr>
        <w:spacing w:after="0" w:line="58" w:lineRule="exact"/>
        <w:rPr>
          <w:sz w:val="20"/>
          <w:szCs w:val="20"/>
          <w:color w:val="auto"/>
        </w:rPr>
      </w:pPr>
    </w:p>
    <w:p>
      <w:pPr>
        <w:ind w:left="1020" w:right="319" w:hanging="322"/>
        <w:spacing w:after="0" w:line="273"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7" w:lineRule="exact"/>
        <w:rPr>
          <w:rFonts w:ascii="Times New Roman" w:cs="Times New Roman" w:eastAsia="Times New Roman" w:hAnsi="Times New Roman"/>
          <w:sz w:val="14"/>
          <w:szCs w:val="14"/>
          <w:color w:val="auto"/>
        </w:rPr>
      </w:pPr>
    </w:p>
    <w:p>
      <w:pPr>
        <w:ind w:left="1020" w:right="639" w:hanging="322"/>
        <w:spacing w:after="0" w:line="273" w:lineRule="auto"/>
        <w:tabs>
          <w:tab w:leader="none" w:pos="10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Event of Default, DTC notifies the Trustee of its decision to require that the debt securities of a series shall no longer be represented by a global debt security.</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Satisfaction and Discharge; Defeasance</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indenture will be discharged and will cease to be of further effect as to all outstanding debt securities of any series issued thereunder, when:</w:t>
      </w:r>
    </w:p>
    <w:p>
      <w:pPr>
        <w:spacing w:after="0" w:line="87" w:lineRule="exact"/>
        <w:rPr>
          <w:sz w:val="20"/>
          <w:szCs w:val="20"/>
          <w:color w:val="auto"/>
        </w:rPr>
      </w:pPr>
    </w:p>
    <w:p>
      <w:pPr>
        <w:ind w:left="800" w:hanging="178"/>
        <w:spacing w:after="0"/>
        <w:tabs>
          <w:tab w:leader="none" w:pos="8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97" w:lineRule="exact"/>
        <w:rPr>
          <w:rFonts w:ascii="Times New Roman" w:cs="Times New Roman" w:eastAsia="Times New Roman" w:hAnsi="Times New Roman"/>
          <w:sz w:val="14"/>
          <w:szCs w:val="14"/>
          <w:color w:val="auto"/>
        </w:rPr>
      </w:pPr>
    </w:p>
    <w:p>
      <w:pPr>
        <w:ind w:left="1380" w:right="459" w:hanging="340"/>
        <w:spacing w:after="0" w:line="259" w:lineRule="auto"/>
        <w:tabs>
          <w:tab w:leader="none" w:pos="13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19" w:name="page20"/>
    <w:bookmarkEnd w:id="19"/>
    <w:p>
      <w:pPr>
        <w:ind w:left="1380" w:right="299" w:hanging="340"/>
        <w:spacing w:after="0" w:line="251" w:lineRule="auto"/>
        <w:tabs>
          <w:tab w:leader="none" w:pos="13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with the Trustee as trust funds in trust cash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and</w:t>
      </w:r>
    </w:p>
    <w:p>
      <w:pPr>
        <w:spacing w:after="0" w:line="62"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 by us under the indenture.</w:t>
      </w:r>
    </w:p>
    <w:p>
      <w:pPr>
        <w:spacing w:after="0" w:line="170"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The debt securities of a particular series will be subject to legal or covenant defeasance to the extent, and upon the terms and conditions, set forth in the prospectus supplement.</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indenture and all of the debt securities will be governed by the laws of the State of New York.</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91" w:lineRule="exact"/>
        <w:rPr>
          <w:sz w:val="20"/>
          <w:szCs w:val="20"/>
          <w:color w:val="auto"/>
        </w:rPr>
      </w:pPr>
    </w:p>
    <w:p>
      <w:pPr>
        <w:jc w:val="both"/>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We will enter into the indenture with a Trustee that is qualified to act under the Trust Indenture Act, and with any other Trustees chosen by us and appointed in a supplemental indenture for a particular series of debt securities. We will identify in the applicable prospectus supplement, the Trustee for each series of debt securities and will file an application with the SEC under the Trust Indenture Act to qualify the Trustee.</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Resignation or Removal of Trustee</w:t>
      </w:r>
    </w:p>
    <w:p>
      <w:pPr>
        <w:spacing w:after="0" w:line="91" w:lineRule="exact"/>
        <w:rPr>
          <w:sz w:val="20"/>
          <w:szCs w:val="20"/>
          <w:color w:val="auto"/>
        </w:rPr>
      </w:pPr>
    </w:p>
    <w:p>
      <w:pPr>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indenture. Any resignation will require the appointment of a successor Trustee in accordance with the terms and conditions of the indenture.</w:t>
      </w:r>
    </w:p>
    <w:p>
      <w:pPr>
        <w:spacing w:after="0" w:line="141" w:lineRule="exact"/>
        <w:rPr>
          <w:sz w:val="20"/>
          <w:szCs w:val="20"/>
          <w:color w:val="auto"/>
        </w:rPr>
      </w:pPr>
    </w:p>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Trustee if it is Our Creditor</w:t>
      </w:r>
    </w:p>
    <w:p>
      <w:pPr>
        <w:spacing w:after="0" w:line="91" w:lineRule="exact"/>
        <w:rPr>
          <w:sz w:val="20"/>
          <w:szCs w:val="20"/>
          <w:color w:val="auto"/>
        </w:rPr>
      </w:pPr>
    </w:p>
    <w:p>
      <w:pPr>
        <w:ind w:left="280" w:right="419" w:firstLine="337"/>
        <w:spacing w:after="0" w:line="273" w:lineRule="auto"/>
        <w:rPr>
          <w:sz w:val="20"/>
          <w:szCs w:val="20"/>
          <w:color w:val="auto"/>
        </w:rPr>
      </w:pPr>
      <w:r>
        <w:rPr>
          <w:rFonts w:ascii="Times New Roman" w:cs="Times New Roman" w:eastAsia="Times New Roman" w:hAnsi="Times New Roman"/>
          <w:sz w:val="14"/>
          <w:szCs w:val="14"/>
          <w:color w:val="auto"/>
        </w:rPr>
        <w:t>The indenture will contain certain limitations on the right of the Trustee, in the event that it becomes a creditor of an issuer, to obtain payment of claims in certain cases, or to realize on certain property received in respect of any such claim as security or otherwise.</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Annual Trustee Report to Holders of Debt Securities</w:t>
      </w:r>
    </w:p>
    <w:p>
      <w:pPr>
        <w:spacing w:after="0" w:line="91" w:lineRule="exact"/>
        <w:rPr>
          <w:sz w:val="20"/>
          <w:szCs w:val="20"/>
          <w:color w:val="auto"/>
        </w:rPr>
      </w:pPr>
    </w:p>
    <w:p>
      <w:pPr>
        <w:ind w:left="280" w:right="539" w:firstLine="337"/>
        <w:spacing w:after="0" w:line="259" w:lineRule="auto"/>
        <w:rPr>
          <w:sz w:val="20"/>
          <w:szCs w:val="20"/>
          <w:color w:val="auto"/>
        </w:rPr>
      </w:pPr>
      <w:r>
        <w:rPr>
          <w:rFonts w:ascii="Times New Roman" w:cs="Times New Roman" w:eastAsia="Times New Roman" w:hAnsi="Times New Roman"/>
          <w:sz w:val="14"/>
          <w:szCs w:val="14"/>
          <w:color w:val="auto"/>
        </w:rPr>
        <w:t>The Trustee will submit an annual report to the holders of the debt securities regarding, among other things, the Trustee’s eligibility to serve as such, the priority of the Trustee’s claims regarding certain advances made by it, and any action taken by the Trustee materially affecting the debt securities.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Certificates and Opinions to be Furnished to Trustee</w:t>
      </w:r>
    </w:p>
    <w:p>
      <w:pPr>
        <w:spacing w:after="0" w:line="91" w:lineRule="exact"/>
        <w:rPr>
          <w:sz w:val="20"/>
          <w:szCs w:val="20"/>
          <w:color w:val="auto"/>
        </w:rPr>
      </w:pPr>
    </w:p>
    <w:p>
      <w:pPr>
        <w:jc w:val="both"/>
        <w:ind w:left="280" w:right="379" w:firstLine="337"/>
        <w:spacing w:after="0" w:line="259" w:lineRule="auto"/>
        <w:rPr>
          <w:sz w:val="20"/>
          <w:szCs w:val="20"/>
          <w:color w:val="auto"/>
        </w:rPr>
      </w:pPr>
      <w:r>
        <w:rPr>
          <w:rFonts w:ascii="Times New Roman" w:cs="Times New Roman" w:eastAsia="Times New Roman" w:hAnsi="Times New Roman"/>
          <w:sz w:val="14"/>
          <w:szCs w:val="14"/>
          <w:color w:val="auto"/>
        </w:rPr>
        <w:t>The indenture will provide that, in addition to other certificates or opinions that may be specifically required by other provisions of the indenture, every application by us for action by the Trustee shall be accompanied by a certificate of certain of our officers and an opinion of counsel (who may be our counsel) stating that, in the opinion of the signers, all conditions precedent to such action have been complied with by us.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MATERIAL U.S. FEDERAL INCOME TAX CONSEQUENCES</w:t>
      </w:r>
    </w:p>
    <w:p>
      <w:pPr>
        <w:spacing w:after="0" w:line="174"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This section is a summary of the material U.S. federal income tax consequences that may be relevant to prospective common unitholders who are individual citizens or residents of the United States and, unless otherwise noted in the following discussion, is the opinion of Latham &amp; Watkins LLP, counsel to our general partner and us, insofar as it relates to legal conclusions with respect to matters of U.S. federal income tax law. This section is based upon current provisions of the Internal Revenue Code, existing and proposed Treasury regulations promulgated under the Internal Revenue Code (the “Treasury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Westlake Chemical Partners LP and our operating subsidiaries.</w:t>
      </w:r>
    </w:p>
    <w:p>
      <w:pPr>
        <w:spacing w:after="0" w:line="145"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The following discussion does not comment on all U.S. federal income tax matters affecting us or our common unitholders and does not describe the application of the alternative minimum tax that may be applicable to certain unitholders. Moreover, the discussion focuses on common unitholders who are individual citizens or residents of the United States and has only limited application to corporations, estates, entities treated as partnerships for U.S. federal income tax purposes, trusts, nonresident aliens, U.S. expatriates and former citizens or long-term residents of the United States or other unitholders subject to specialized tax treatment, such as banks, insurance companies and other financial institutions, tax-exempt institutions, foreign persons (including, without limitation, controlled foreign corporations, passive foreign investment companies and foreign persons eligible for the benefits of an applicable income tax treaty with the United States), individual retirement accounts (IRAs), real estate investment trusts (REITs) or mutual funds, dealers in securities or currencies, traders in securities, U.S. persons whose “functional currency” is not the U.S. dollar, persons holding their units as part of a “straddle,” “hedge,” “conversion transaction” or other risk reduction transaction, persons subject to special tax accounting rules as a result of any item of gross income with respect to our common units being taken into account in an applicable financial statement and persons deemed to sell their units under the constructive sale provisions of the Internal Revenue Code. In addition, the discussion only comments, to a limited extent, on state, local, and foreign tax consequences. Accordingly, we encourage each prospective common unitholder to consult his own tax advisor in analyzing the state, local and foreign tax consequences particular to him of the ownership or disposition of our common units and potential changes in applicable laws.</w:t>
      </w:r>
    </w:p>
    <w:p>
      <w:pPr>
        <w:spacing w:after="0" w:line="153" w:lineRule="exact"/>
        <w:rPr>
          <w:sz w:val="20"/>
          <w:szCs w:val="20"/>
          <w:color w:val="auto"/>
        </w:rPr>
      </w:pPr>
    </w:p>
    <w:p>
      <w:pPr>
        <w:ind w:left="280" w:right="359" w:firstLine="337"/>
        <w:spacing w:after="0" w:line="271" w:lineRule="auto"/>
        <w:rPr>
          <w:sz w:val="20"/>
          <w:szCs w:val="20"/>
          <w:color w:val="auto"/>
        </w:rPr>
      </w:pPr>
      <w:r>
        <w:rPr>
          <w:rFonts w:ascii="Times New Roman" w:cs="Times New Roman" w:eastAsia="Times New Roman" w:hAnsi="Times New Roman"/>
          <w:sz w:val="13"/>
          <w:szCs w:val="13"/>
          <w:color w:val="auto"/>
        </w:rPr>
        <w:t>We have requested and obtained a favorable private letter ruling from the Internal Revenue Services (the “IRS”) to the effect that the production, transportation, storage and marketing of ethylene and its co-products will constitute “qualifying income” within the meaning of Section 7704(d) of the Internal Revenue Code. However, no ruling has been requested from the IRS regarding our characterization as a partnership for tax purposes. Instead, we will rely on opinions of Latham &amp; Watkins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including the prices at which our common units trade. In addition, the costs of any contest with the IRS, principally legal, accounting and related fees, will result in a reduction in cash available for distribution to our unitholders and thus will be borne indirectly by our unitholders. Furthermore, the tax treatment of us, or of an investment in us, may be significantly modified by future legislative or administrative changes or court decisions. Any modifications may or may not be retroactively applied.</w:t>
      </w:r>
    </w:p>
    <w:p>
      <w:pPr>
        <w:spacing w:after="0" w:line="135" w:lineRule="exact"/>
        <w:rPr>
          <w:sz w:val="20"/>
          <w:szCs w:val="20"/>
          <w:color w:val="auto"/>
        </w:rPr>
      </w:pPr>
    </w:p>
    <w:p>
      <w:pPr>
        <w:ind w:left="280" w:right="459" w:firstLine="337"/>
        <w:spacing w:after="0" w:line="273" w:lineRule="auto"/>
        <w:rPr>
          <w:sz w:val="20"/>
          <w:szCs w:val="20"/>
          <w:color w:val="auto"/>
        </w:rPr>
      </w:pPr>
      <w:r>
        <w:rPr>
          <w:rFonts w:ascii="Times New Roman" w:cs="Times New Roman" w:eastAsia="Times New Roman" w:hAnsi="Times New Roman"/>
          <w:sz w:val="14"/>
          <w:szCs w:val="14"/>
          <w:color w:val="auto"/>
        </w:rPr>
        <w:t>All statements as to matters of U.S. federal income tax law and legal conclusions with respect thereto, but not as to factual matters, contained in this section, unless otherwise noted, are the opinion of Latham &amp; Watkins LLP and are based on the accuracy of the representations made by us.</w:t>
      </w:r>
    </w:p>
    <w:p>
      <w:pPr>
        <w:spacing w:after="0" w:line="130" w:lineRule="exact"/>
        <w:rPr>
          <w:sz w:val="20"/>
          <w:szCs w:val="20"/>
          <w:color w:val="auto"/>
        </w:rPr>
      </w:pPr>
    </w:p>
    <w:p>
      <w:pPr>
        <w:ind w:left="280" w:right="859" w:firstLine="337"/>
        <w:spacing w:after="0" w:line="273" w:lineRule="auto"/>
        <w:rPr>
          <w:sz w:val="20"/>
          <w:szCs w:val="20"/>
          <w:color w:val="auto"/>
        </w:rPr>
      </w:pPr>
      <w:r>
        <w:rPr>
          <w:rFonts w:ascii="Times New Roman" w:cs="Times New Roman" w:eastAsia="Times New Roman" w:hAnsi="Times New Roman"/>
          <w:sz w:val="14"/>
          <w:szCs w:val="14"/>
          <w:color w:val="auto"/>
        </w:rPr>
        <w:t>Notwithstanding the above, and for the reasons described below, Latham &amp; Watkins LLP has not rendered an opinion with respect to the following specific U.S. federal income tax issues: (i) the treatment of a unitholder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6" w:right="1440" w:bottom="1440" w:gutter="0" w:footer="0" w:header="0"/>
        </w:sectPr>
      </w:pPr>
    </w:p>
    <w:bookmarkStart w:id="21" w:name="page22"/>
    <w:bookmarkEnd w:id="21"/>
    <w:p>
      <w:pPr>
        <w:ind w:left="28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whose common units are loaned to a short seller to cover a short sale of common units (please read “—Tax Consequences of Unit Ownership— Treatment of Short Sales”); (ii) whether all aspects of our method for allocating taxable income and losses is permitted by existing Treasury Regulations (please read “—Disposition of Common Units—Allocations Between Transferors and Transferees”); (iii) whether our method for taking into account Section 743 adjustments is sustainable in certain cases (please read “—Tax Consequences of Unit Ownership—Section 754 Election” and “— Uniformity of Units”); and (iv) whether our use of simplifying conventions for making adjustments to “book” basis and relevant allocations is permitted by existing Treasury Regulations (please read “—Tax Consequences of Unit Ownership—Allocation of Income, Gain, Loss and Deduction” and “— Uniformity of Units”).</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Partnership Status</w:t>
      </w:r>
    </w:p>
    <w:p>
      <w:pPr>
        <w:spacing w:after="0" w:line="91"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A partnership is not a taxable entity and incurs no U.S.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the partner unless the amount of cash distributed to him is in excess of the partner’s adjusted basis in his partnership interest. 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exploration, development, mining or production, processing, refining, transportation and marketing of certain minerals and natural resources, including crude oil, natural gas and other products of a type that are produced in a petroleum refinery or natural gas processing plant, the retail and wholesale marketing of propane, the transportation of propane and natural gas liquids, certain related hedging activities, certain activities that are intrinsic to other qualifying activities, and our allocable share of our subsidiaries’ income from these sources. Other types of qualifying income include interest (other than from a financial business), dividends, real property rents, gains from the sale of real property and gains from the sale or other disposition of capital assets held for the production of income that otherwise constitutes qualifying income. We estimate that less than 1% of our current gross income is not qualifying income; however, this estimate could change from time to time. Based upon and subject to this estimate, the factual representations made by us and our general partner and a review of the applicable legal authorities, Latham &amp; Watkins LLP is of the opinion that at least 90% of our current gross income constitutes qualifying income. The portion of our income that is qualifying income may change from time to time.</w:t>
      </w:r>
    </w:p>
    <w:p>
      <w:pPr>
        <w:spacing w:after="0" w:line="15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We have requested and obtained a favorable private letter ruling from the IRS, which has been confirmed by the Treasury Regulations, to the effect that the production, transportation, storage and marketing of ethylene and its co-products will constitute “qualifying income” within the meaning of Section 7704(d) of the Code. However, the IRS has made no determination as to our status or the status of our operating subsidiaries for U.S. federal income tax purposes. Instead, we will rely on the opinion of Latham &amp; Watkins LLP on such matters. It is the opinion of Latham &amp; Watkins LLP that, based upon the Internal Revenue Code, the Treasury Regulations, published revenue rulings and court decisions and the representations described below that:</w:t>
      </w:r>
    </w:p>
    <w:p>
      <w:pPr>
        <w:spacing w:after="0" w:line="76" w:lineRule="exact"/>
        <w:rPr>
          <w:sz w:val="20"/>
          <w:szCs w:val="20"/>
          <w:color w:val="auto"/>
        </w:rPr>
      </w:pPr>
    </w:p>
    <w:p>
      <w:pPr>
        <w:ind w:left="1020" w:hanging="32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classified as a partnership for U.S. federal income tax purposes; and</w:t>
      </w:r>
    </w:p>
    <w:p>
      <w:pPr>
        <w:spacing w:after="0" w:line="97" w:lineRule="exact"/>
        <w:rPr>
          <w:rFonts w:ascii="Times New Roman" w:cs="Times New Roman" w:eastAsia="Times New Roman" w:hAnsi="Times New Roman"/>
          <w:sz w:val="14"/>
          <w:szCs w:val="14"/>
          <w:color w:val="auto"/>
        </w:rPr>
      </w:pPr>
    </w:p>
    <w:p>
      <w:pPr>
        <w:ind w:left="1020" w:right="339" w:hanging="322"/>
        <w:spacing w:after="0" w:line="273"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subsidiaries, except as otherwise identified to Latham &amp; Watkins LLP, will be treated as a partnership or will be disregarded as an entity separate from us for U.S. federal income tax purposes.</w:t>
      </w:r>
    </w:p>
    <w:p>
      <w:pPr>
        <w:spacing w:after="0" w:line="130" w:lineRule="exact"/>
        <w:rPr>
          <w:sz w:val="20"/>
          <w:szCs w:val="20"/>
          <w:color w:val="auto"/>
        </w:rPr>
      </w:pPr>
    </w:p>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t>In rendering its opinion, Latham &amp; Watkins LLP has relied on factual representations made by us and our general partner. The representations made by us and our general partner upon which Latham &amp; Watkins LLP has relied include:</w:t>
      </w:r>
    </w:p>
    <w:p>
      <w:pPr>
        <w:spacing w:after="0" w:line="58" w:lineRule="exact"/>
        <w:rPr>
          <w:sz w:val="20"/>
          <w:szCs w:val="20"/>
          <w:color w:val="auto"/>
        </w:rPr>
      </w:pPr>
    </w:p>
    <w:p>
      <w:pPr>
        <w:ind w:left="1020" w:right="719" w:hanging="322"/>
        <w:spacing w:after="0" w:line="273"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subsidiaries, other than those identified as such to Latham &amp; Watkins LLP, have elected or will elect to be treated, or is otherwise treated, as a corporation for U.S. federal income tax purposes;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22" w:name="page23"/>
    <w:bookmarkEnd w:id="22"/>
    <w:p>
      <w:pPr>
        <w:ind w:left="1020" w:right="339" w:hanging="322"/>
        <w:spacing w:after="0" w:line="273"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for each taxable year, more than 90% of our gross income has been and will be income of the type that Latham &amp; Watkins LLP has opined or will opine is “qualifying income” within the meaning of Section 7704(d) of the Internal Revenue Code; and</w:t>
      </w:r>
    </w:p>
    <w:p>
      <w:pPr>
        <w:spacing w:after="0" w:line="57" w:lineRule="exact"/>
        <w:rPr>
          <w:rFonts w:ascii="Times New Roman" w:cs="Times New Roman" w:eastAsia="Times New Roman" w:hAnsi="Times New Roman"/>
          <w:sz w:val="14"/>
          <w:szCs w:val="14"/>
          <w:color w:val="auto"/>
        </w:rPr>
      </w:pPr>
    </w:p>
    <w:p>
      <w:pPr>
        <w:ind w:left="1020" w:right="439" w:hanging="322"/>
        <w:spacing w:after="0" w:line="259"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Latham &amp; Watkins LLP has opined or will opine result in qualifying income.</w:t>
      </w:r>
    </w:p>
    <w:p>
      <w:pPr>
        <w:spacing w:after="0" w:line="141"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We believe that these representations have been true in the past, are true as of the date hereof and expect that these representations will continue to be true in the future.</w:t>
      </w:r>
    </w:p>
    <w:p>
      <w:pPr>
        <w:spacing w:after="0" w:line="130"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U.S. federal income tax purposes.</w:t>
      </w:r>
    </w:p>
    <w:p>
      <w:pPr>
        <w:spacing w:after="0" w:line="148"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taxable dividend income, to the extent of our current and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141" w:lineRule="exact"/>
        <w:rPr>
          <w:sz w:val="20"/>
          <w:szCs w:val="20"/>
          <w:color w:val="auto"/>
        </w:rPr>
      </w:pPr>
    </w:p>
    <w:p>
      <w:pPr>
        <w:ind w:left="280" w:right="359" w:firstLine="337"/>
        <w:spacing w:after="0" w:line="279" w:lineRule="auto"/>
        <w:rPr>
          <w:sz w:val="20"/>
          <w:szCs w:val="20"/>
          <w:color w:val="auto"/>
        </w:rPr>
      </w:pPr>
      <w:r>
        <w:rPr>
          <w:rFonts w:ascii="Times New Roman" w:cs="Times New Roman" w:eastAsia="Times New Roman" w:hAnsi="Times New Roman"/>
          <w:sz w:val="14"/>
          <w:szCs w:val="14"/>
          <w:b w:val="1"/>
          <w:bCs w:val="1"/>
          <w:color w:val="auto"/>
        </w:rPr>
        <w:t>The discussion below is based on Latham &amp; Watkins LLP’s opinion that we will be classified as a partnership for U.S. federal income tax purposes.</w:t>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Limited Partner Status</w:t>
      </w:r>
    </w:p>
    <w:p>
      <w:pPr>
        <w:spacing w:after="0" w:line="91" w:lineRule="exact"/>
        <w:rPr>
          <w:sz w:val="20"/>
          <w:szCs w:val="20"/>
          <w:color w:val="auto"/>
        </w:rPr>
      </w:pPr>
    </w:p>
    <w:p>
      <w:pPr>
        <w:ind w:left="280" w:right="339" w:firstLine="337"/>
        <w:spacing w:after="0" w:line="255" w:lineRule="auto"/>
        <w:rPr>
          <w:sz w:val="20"/>
          <w:szCs w:val="20"/>
          <w:color w:val="auto"/>
        </w:rPr>
      </w:pPr>
      <w:r>
        <w:rPr>
          <w:rFonts w:ascii="Times New Roman" w:cs="Times New Roman" w:eastAsia="Times New Roman" w:hAnsi="Times New Roman"/>
          <w:sz w:val="14"/>
          <w:szCs w:val="14"/>
          <w:color w:val="auto"/>
        </w:rPr>
        <w:t>Common unitholders of Westlake Chemical Partners LP will be treated as partners of Westlake Chemical Partners LP for U.S. federal income tax purposes. Also, unitholders whose common units are held in street name or by a nominee and who have the right to direct the nominee in the exercise of all substantive rights attendant to the ownership of their common units will be treated as partners of Westlake Chemical Partners LP for U.S. federal income tax purposes.</w:t>
      </w:r>
    </w:p>
    <w:p>
      <w:pPr>
        <w:spacing w:after="0" w:line="143"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 beneficial owner of our common units whose common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141" w:lineRule="exact"/>
        <w:rPr>
          <w:sz w:val="20"/>
          <w:szCs w:val="20"/>
          <w:color w:val="auto"/>
        </w:rPr>
      </w:pPr>
    </w:p>
    <w:p>
      <w:pPr>
        <w:ind w:left="280" w:right="379" w:firstLine="337"/>
        <w:spacing w:after="0" w:line="253" w:lineRule="auto"/>
        <w:rPr>
          <w:sz w:val="20"/>
          <w:szCs w:val="20"/>
          <w:color w:val="auto"/>
        </w:rPr>
      </w:pPr>
      <w:r>
        <w:rPr>
          <w:rFonts w:ascii="Times New Roman" w:cs="Times New Roman" w:eastAsia="Times New Roman" w:hAnsi="Times New Roman"/>
          <w:sz w:val="14"/>
          <w:szCs w:val="14"/>
          <w:color w:val="auto"/>
        </w:rPr>
        <w:t>Income, gains, losses or deductions would not appear to be reportable by a common unitholder who is not a partner for U.S. federal income tax purposes, and any cash distributions received by a unitholder who is not a partner for U.S. federal income tax purposes would therefore appear to be fully taxable as ordinary income. These holders are urged to consult their tax advisors with respect to the tax consequences to them of holding common units in Westlake Chemical Partners LP. The references to “unitholders” in the discussion that follows are to persons who are treated as partners in Westlake Chemical Partners LP for U.S. federal income tax purposes.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23" w:name="page24"/>
    <w:bookmarkEnd w:id="23"/>
    <w:p>
      <w:pPr>
        <w:jc w:val="right"/>
        <w:ind w:right="65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 Consequences of Unit Ownership</w:t>
      </w:r>
    </w:p>
    <w:p>
      <w:pPr>
        <w:spacing w:after="0" w:line="99" w:lineRule="exact"/>
        <w:rPr>
          <w:sz w:val="20"/>
          <w:szCs w:val="20"/>
          <w:color w:val="auto"/>
        </w:rPr>
      </w:pPr>
    </w:p>
    <w:p>
      <w:pPr>
        <w:jc w:val="right"/>
        <w:ind w:right="6559"/>
        <w:spacing w:after="0"/>
        <w:rPr>
          <w:sz w:val="20"/>
          <w:szCs w:val="20"/>
          <w:color w:val="auto"/>
        </w:rPr>
      </w:pPr>
      <w:r>
        <w:rPr>
          <w:rFonts w:ascii="Times New Roman" w:cs="Times New Roman" w:eastAsia="Times New Roman" w:hAnsi="Times New Roman"/>
          <w:sz w:val="14"/>
          <w:szCs w:val="14"/>
          <w:i w:val="1"/>
          <w:iCs w:val="1"/>
          <w:color w:val="auto"/>
        </w:rPr>
        <w:t>Flow-Through of Taxable Income</w:t>
      </w:r>
    </w:p>
    <w:p>
      <w:pPr>
        <w:spacing w:after="0" w:line="9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Subject to the discussion below under “—Entity-Level Collections,” we will not pay any U.S. federal income tax. Instead, each common unitholder will be required to report on his income tax return his share of our income, gains, losses and deductions without regard to whether we make cash distributions to him. Consequently, we may allocate income to a common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Treatment of Distributions</w:t>
      </w:r>
    </w:p>
    <w:p>
      <w:pPr>
        <w:spacing w:after="0" w:line="91"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Distributions by us to a common unitholder generally will not be taxable to the unitholder for U.S.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by us of cash to that unitholder. To the extent our distributions cause a unitholder’s “at-risk” amount to be less than zero at the end of any taxable year, he must recapture any losses deducted in previous years. Please read “—Limitations on Deductibility of Losses.”</w:t>
      </w:r>
    </w:p>
    <w:p>
      <w:pPr>
        <w:spacing w:after="0" w:line="145" w:lineRule="exact"/>
        <w:rPr>
          <w:sz w:val="20"/>
          <w:szCs w:val="20"/>
          <w:color w:val="auto"/>
        </w:rPr>
      </w:pPr>
    </w:p>
    <w:p>
      <w:pPr>
        <w:ind w:left="280" w:right="339" w:firstLine="337"/>
        <w:spacing w:after="0" w:line="249" w:lineRule="auto"/>
        <w:rPr>
          <w:sz w:val="20"/>
          <w:szCs w:val="20"/>
          <w:color w:val="auto"/>
        </w:rPr>
      </w:pPr>
      <w:r>
        <w:rPr>
          <w:rFonts w:ascii="Times New Roman" w:cs="Times New Roman" w:eastAsia="Times New Roman" w:hAnsi="Times New Roman"/>
          <w:sz w:val="14"/>
          <w:szCs w:val="14"/>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each as defined in the Internal Revenue Code, and collectively, “Section 751 Assets.” To that extent, the unitholder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(i) the non-pro rata portion of that distribution over (ii) the unitholder’s tax basis (often zero) for the share of Section 751 Assets deemed relinquished in the exchange.</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Basis of Common Units</w:t>
      </w:r>
    </w:p>
    <w:p>
      <w:pPr>
        <w:spacing w:after="0" w:line="91"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A unitholder’s initial tax basis for his common units will be the amount he paid for the common units plus his share of our nonrecourse liabilities. That basis will be increased by his share of our income, by any increases in his share of our nonrecourse liabilities and, on the disposition of a common unit, by his share of certain items related to business interest not yet deductible by him due to applicable limitations. Please read “—Limitations on Interest Deductions.” That basis will be decreased, but not below zero, by distributions from us, by the unitholder’s share of our losses, by any decreases in his share of our nonrecourse liabilities, by his share of our excess business interest (generally, the excess of our business interest over the amount that is deductible) and by his share of our expenditures that are not deductible in computing taxable income and are not required to be capitalized. A unitholder will generally have a share of our nonrecourse liabilities based on his or her share of our profits. Please read “—Disposition of Common Units—Recognition of Gain or Loss.”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Limitations on Deductibility of Losses</w:t>
      </w:r>
    </w:p>
    <w:p>
      <w:pPr>
        <w:spacing w:after="0" w:line="91"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The deduction by a unitholder of his share of our losses will be limited to the tax basis in his units and, in the case of an individual unitholder, estate, trust, or corporate unitholder (if more than 50% of the value of the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6" w:right="1440" w:bottom="1440" w:gutter="0" w:footer="0" w:header="0"/>
        </w:sectPr>
      </w:pPr>
    </w:p>
    <w:bookmarkStart w:id="24" w:name="page25"/>
    <w:bookmarkEnd w:id="24"/>
    <w:p>
      <w:pPr>
        <w:ind w:left="280" w:right="3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common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148"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148"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a unitholder’s investments in other publicly traded partnerships, or the unitholder’s salary, active business or other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145" w:lineRule="exact"/>
        <w:rPr>
          <w:sz w:val="20"/>
          <w:szCs w:val="20"/>
          <w:color w:val="auto"/>
        </w:rPr>
      </w:pPr>
    </w:p>
    <w:p>
      <w:pPr>
        <w:ind w:left="280" w:right="659" w:firstLine="337"/>
        <w:spacing w:after="0" w:line="273" w:lineRule="auto"/>
        <w:rPr>
          <w:sz w:val="20"/>
          <w:szCs w:val="20"/>
          <w:color w:val="auto"/>
        </w:rPr>
      </w:pPr>
      <w:r>
        <w:rPr>
          <w:rFonts w:ascii="Times New Roman" w:cs="Times New Roman" w:eastAsia="Times New Roman" w:hAnsi="Times New Roman"/>
          <w:sz w:val="14"/>
          <w:szCs w:val="14"/>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130" w:lineRule="exact"/>
        <w:rPr>
          <w:sz w:val="20"/>
          <w:szCs w:val="20"/>
          <w:color w:val="auto"/>
        </w:rPr>
      </w:pPr>
    </w:p>
    <w:p>
      <w:pPr>
        <w:ind w:left="280" w:right="319" w:firstLine="337"/>
        <w:spacing w:after="0" w:line="249" w:lineRule="auto"/>
        <w:rPr>
          <w:sz w:val="20"/>
          <w:szCs w:val="20"/>
          <w:color w:val="auto"/>
        </w:rPr>
      </w:pPr>
      <w:r>
        <w:rPr>
          <w:rFonts w:ascii="Times New Roman" w:cs="Times New Roman" w:eastAsia="Times New Roman" w:hAnsi="Times New Roman"/>
          <w:sz w:val="14"/>
          <w:szCs w:val="14"/>
          <w:color w:val="auto"/>
        </w:rPr>
        <w:t>An additional loss limitation may apply to certain of our unitholders. Specifically, a non-corporate unitholder will not be allowed to take a deduction for certain excess business losses in such taxable years. An excess business loss is the excess (if any) of a taxpayer’s aggregate deductions for the taxable year that are attributable to the trades or businesses of such taxpayer (determined without regard to the excess business loss limitation or any deduction allowable for net operating losses, qualified business income or capital losses) over the aggregate gross income or gain of such taxpayer for the taxable year that is attributable to such trades or businesses (subject to certain limitations in the case of capital gains) plus a threshold amount, which threshold amount is adjusted annually. Any losses disallowed in a taxable year due to the excess business loss limitation may be used by the applicable unitholder in the following taxable year if certain conditions are met. Unitholders to which this excess business loss limitation applies will take their allocable share of our items of income, gain, loss and deduction into account in determining this limitation. This excess business loss limitation will be applied to a non-corporate unitholder after the passive loss limitations and may limit such unitholders’ ability to utilize any losses we generate allocable to such unitholder that are not otherwise limited by the basis, at-risk and passive loss limitations described above.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Limitations on Interest Deductions</w:t>
      </w:r>
    </w:p>
    <w:p>
      <w:pPr>
        <w:spacing w:after="0" w:line="91"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48"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units will generally be increased by the amount of any excess business interest upon a disposition of such common units.</w:t>
      </w:r>
    </w:p>
    <w:p>
      <w:pPr>
        <w:spacing w:after="0" w:line="148" w:lineRule="exact"/>
        <w:rPr>
          <w:sz w:val="20"/>
          <w:szCs w:val="20"/>
          <w:color w:val="auto"/>
        </w:rPr>
      </w:pPr>
    </w:p>
    <w:p>
      <w:pPr>
        <w:ind w:left="280" w:right="339" w:firstLine="337"/>
        <w:spacing w:after="0" w:line="273" w:lineRule="auto"/>
        <w:rPr>
          <w:sz w:val="20"/>
          <w:szCs w:val="20"/>
          <w:color w:val="auto"/>
        </w:rPr>
      </w:pPr>
      <w:r>
        <w:rPr>
          <w:rFonts w:ascii="Times New Roman" w:cs="Times New Roman" w:eastAsia="Times New Roman" w:hAnsi="Times New Roman"/>
          <w:sz w:val="14"/>
          <w:szCs w:val="14"/>
          <w:color w:val="auto"/>
        </w:rPr>
        <w:t>In addition, the deductibility of a non-corporate taxpayer’s “investment interest expense” is generally limited to the amount of that taxpayer’s “net investment income.” Investment interest expense includes:</w:t>
      </w:r>
    </w:p>
    <w:p>
      <w:pPr>
        <w:spacing w:after="0" w:line="58" w:lineRule="exact"/>
        <w:rPr>
          <w:sz w:val="20"/>
          <w:szCs w:val="20"/>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properly allocable to property held for investment;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interest expense attributed to portfolio income;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interest expense incurred to purchase or carry an interest in a passive activity to the extent attributable to portfolio income.</w:t>
      </w:r>
    </w:p>
    <w:p>
      <w:pPr>
        <w:spacing w:after="0" w:line="170"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(if applicable)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Entity-Level Collections</w:t>
      </w:r>
    </w:p>
    <w:p>
      <w:pPr>
        <w:spacing w:after="0" w:line="91" w:lineRule="exact"/>
        <w:rPr>
          <w:sz w:val="20"/>
          <w:szCs w:val="20"/>
          <w:color w:val="auto"/>
        </w:rPr>
      </w:pPr>
    </w:p>
    <w:p>
      <w:pPr>
        <w:ind w:left="280" w:right="379" w:firstLine="337"/>
        <w:spacing w:after="0" w:line="250" w:lineRule="auto"/>
        <w:rPr>
          <w:sz w:val="20"/>
          <w:szCs w:val="20"/>
          <w:color w:val="auto"/>
        </w:rPr>
      </w:pPr>
      <w:r>
        <w:rPr>
          <w:rFonts w:ascii="Times New Roman" w:cs="Times New Roman" w:eastAsia="Times New Roman" w:hAnsi="Times New Roman"/>
          <w:sz w:val="14"/>
          <w:szCs w:val="14"/>
          <w:color w:val="auto"/>
        </w:rPr>
        <w:t>If we are required or elect under applicable law to pay any federal, state, local or foreign income tax on behalf of any unitholder or any former unitholder, we are authorized to pay those taxes from our funds. That 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6" w:right="1440"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Allocation of Income, Gain, Loss and Deduction</w:t>
      </w:r>
    </w:p>
    <w:p>
      <w:pPr>
        <w:spacing w:after="0" w:line="91" w:lineRule="exact"/>
        <w:rPr>
          <w:sz w:val="20"/>
          <w:szCs w:val="20"/>
          <w:color w:val="auto"/>
        </w:rPr>
      </w:pPr>
    </w:p>
    <w:p>
      <w:pPr>
        <w:ind w:left="280" w:right="439" w:firstLine="337"/>
        <w:spacing w:after="0" w:line="253" w:lineRule="auto"/>
        <w:rPr>
          <w:sz w:val="20"/>
          <w:szCs w:val="20"/>
          <w:color w:val="auto"/>
        </w:rPr>
      </w:pPr>
      <w:r>
        <w:rPr>
          <w:rFonts w:ascii="Times New Roman" w:cs="Times New Roman" w:eastAsia="Times New Roman" w:hAnsi="Times New Roman"/>
          <w:sz w:val="14"/>
          <w:szCs w:val="14"/>
          <w:color w:val="auto"/>
        </w:rPr>
        <w:t>In general, if we have a net profit, our items of income, gain, loss and deduction will be allocated among our common unitholders in accordance with their percentage interests in us. If distributions are made in respect of the incentive distribution rights, gross income will be allocated to the recipients to the extent of such distributions. If we have a net loss, that loss generally will be allocated to our common unitholders in accordance with their percentage interests in us to the extent of their positive capital accounts, as adjusted for certain items in accordance with applicable Treasury Regulations.</w:t>
      </w:r>
    </w:p>
    <w:p>
      <w:pPr>
        <w:spacing w:after="0" w:line="144"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Specified items of our income, gain, loss and deduction will be allocated to account for (i) any difference between the tax basis and the fair market value of our assets at the time of an offering and (ii) any difference between the tax basis and fair market value of any property contributed to us that exists at the time of such contribution, referred to in this discussion as the “Contributed Property.” The effect of these allocations, referred to as Section 704(c) Allocations, to a unitholder purchasing common units from us in an offering will be essentially the same as if the tax bases of our assets were equal to their fair market values at the time of the offering. In the event we issue additional common units or engage in certain other transactions in the future, “reverse Section 704(c) Allocations,” similar to the Section 704(c) Allocations described above, will be made to all of our unitholders immediately prior to such issuance or other transactions to account for the difference between the “book” basis for purposes of maintaining capital accounts and the fair market value of all property held by us at the time of such issuance or future transaction. However, it may not be administratively feasible to make the relevant adjustments to “book” basis and the relevant reverse Section 704(c) Allocations each time we issue common units, particularly in the case of small or frequent common unit issuances. If that is the case, we may use simplifying conventions to make those adjustments and allocations, which may include the aggregation of certain issuances of common units. Latham &amp; Watkins LLP is unable to opine as to the validity of such conventions.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(subject to certain adjustments), if negative capital accounts (subject to certain adjustments) nevertheless result, items of our income and gain will be allocated in an amount and manner sufficient to eliminate such negative balance as quickly as possible.</w:t>
      </w:r>
    </w:p>
    <w:p>
      <w:pPr>
        <w:spacing w:after="0" w:line="151" w:lineRule="exact"/>
        <w:rPr>
          <w:sz w:val="20"/>
          <w:szCs w:val="20"/>
          <w:color w:val="auto"/>
        </w:rPr>
      </w:pPr>
    </w:p>
    <w:p>
      <w:pPr>
        <w:ind w:left="280" w:right="479" w:firstLine="337"/>
        <w:spacing w:after="0" w:line="251" w:lineRule="auto"/>
        <w:rPr>
          <w:sz w:val="20"/>
          <w:szCs w:val="20"/>
          <w:color w:val="auto"/>
        </w:rPr>
      </w:pPr>
      <w:r>
        <w:rPr>
          <w:rFonts w:ascii="Times New Roman" w:cs="Times New Roman" w:eastAsia="Times New Roman" w:hAnsi="Times New Roman"/>
          <w:sz w:val="14"/>
          <w:szCs w:val="14"/>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6" w:lineRule="exact"/>
        <w:rPr>
          <w:sz w:val="20"/>
          <w:szCs w:val="20"/>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 relative contributions to us;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of all the partners in profits and losses;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of all the partners in cash flow;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all the partners to distributions of capital upon liquidation.</w:t>
      </w:r>
    </w:p>
    <w:p>
      <w:pPr>
        <w:spacing w:after="0" w:line="170" w:lineRule="exact"/>
        <w:rPr>
          <w:sz w:val="20"/>
          <w:szCs w:val="20"/>
          <w:color w:val="auto"/>
        </w:rPr>
      </w:pPr>
    </w:p>
    <w:p>
      <w:pPr>
        <w:ind w:left="280" w:right="479" w:firstLine="337"/>
        <w:spacing w:after="0" w:line="259" w:lineRule="auto"/>
        <w:rPr>
          <w:sz w:val="20"/>
          <w:szCs w:val="20"/>
          <w:color w:val="auto"/>
        </w:rPr>
      </w:pPr>
      <w:r>
        <w:rPr>
          <w:rFonts w:ascii="Times New Roman" w:cs="Times New Roman" w:eastAsia="Times New Roman" w:hAnsi="Times New Roman"/>
          <w:sz w:val="14"/>
          <w:szCs w:val="14"/>
          <w:color w:val="auto"/>
        </w:rPr>
        <w:t>Latham &amp; Watkins LLP is of the opinion that, with the exception of the issues described in “—Section 754 Election” and “—Disposition of Common Units—Allocations Between Transferors and Transferees,” allocations under our partnership agreement will be given effect for U.S. federal income tax purposes in determining a partner’s share of an item of income, gain, loss or deduction.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Treatment of Short Sales</w:t>
      </w:r>
    </w:p>
    <w:p>
      <w:pPr>
        <w:spacing w:after="0" w:line="91"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A unitholder whose units are loaned to a “short seller” to cover a short sale of units may be considered as having disposed of those units. If so, he would no longer be treated for tax purposes as a partner with respect to</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6" w:right="1440" w:bottom="1440" w:gutter="0" w:footer="0" w:header="0"/>
        </w:sectPr>
      </w:pPr>
    </w:p>
    <w:bookmarkStart w:id="27" w:name="page28"/>
    <w:bookmarkEnd w:id="27"/>
    <w:p>
      <w:pPr>
        <w:ind w:left="2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those units during the period of the loan and may recognize gain or loss from the disposition. As a result, during this period:</w:t>
      </w:r>
    </w:p>
    <w:p>
      <w:pPr>
        <w:spacing w:after="0" w:line="98" w:lineRule="exact"/>
        <w:rPr>
          <w:sz w:val="20"/>
          <w:szCs w:val="20"/>
          <w:color w:val="auto"/>
        </w:rPr>
      </w:pPr>
    </w:p>
    <w:p>
      <w:pPr>
        <w:ind w:left="1020" w:hanging="32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income, gain, loss or deduction with respect to those units would not be reportable by the unitholder;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distributions received by the unitholder as to those units would be fully taxable;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not entirely free from doubt, all of these distributions would appear to be ordinary income.</w:t>
      </w:r>
    </w:p>
    <w:p>
      <w:pPr>
        <w:spacing w:after="0" w:line="170"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Because there is no direct or indirect controlling authority on the issue relating to partnership interests, Latham &amp; Watkins LLP has not rendered an opinion regarding the tax treatment of a unitholder whose common units are loaned to a short seller to cover a short sale of common units;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borrowing and loaning their units. The IRS has previously announced that it is studying issues relating to the tax treatment of short sales of partnership interests. Please also read “— Disposition of Common Units—Recognition of Gain or Loss.”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Tax Rates</w:t>
      </w:r>
    </w:p>
    <w:p>
      <w:pPr>
        <w:spacing w:after="0" w:line="91" w:lineRule="exact"/>
        <w:rPr>
          <w:sz w:val="20"/>
          <w:szCs w:val="20"/>
          <w:color w:val="auto"/>
        </w:rPr>
      </w:pPr>
    </w:p>
    <w:p>
      <w:pPr>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Currently, the highest marginal U.S. federal income tax rate applicable to ordinary income of individuals is 37% and the highest marginal U.S. federal income tax rate applicable to long-term capital gains (generally, capital gains on certain assets held for more than twelve months) of individuals is 20%. Such rates are subject to change by new legislation at any time.</w:t>
      </w:r>
    </w:p>
    <w:p>
      <w:pPr>
        <w:spacing w:after="0" w:line="141"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In addition, a 3.8% Medicare tax (NIIT) is imposed on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lesser of (i) undistributed net investment income, or (ii) the excess adjusted gross income over the dollar amount at which the highest income tax bracket applicable to an estate or trust begins for such taxable year. The U.S. Department of the Treasury and the IRS have issued Treasury Regulations that provide guidance regarding the NIIT. Prospective common unitholders are urged to consult with their tax advisors as to the impact of the NIIT on an investment in our common units.</w:t>
      </w:r>
    </w:p>
    <w:p>
      <w:pPr>
        <w:spacing w:after="0" w:line="63"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Also, a non-corporate unitholder is entitled to a deduction equal to 20% of its “qualified business income” attributable to us, subject to certain limitations. For purposes of this deduction, a unitholder’s “qualified business income” attributable to us is equal to the sum of:</w:t>
      </w:r>
    </w:p>
    <w:p>
      <w:pPr>
        <w:spacing w:after="0" w:line="58" w:lineRule="exact"/>
        <w:rPr>
          <w:sz w:val="20"/>
          <w:szCs w:val="20"/>
          <w:color w:val="auto"/>
        </w:rPr>
      </w:pPr>
    </w:p>
    <w:p>
      <w:pPr>
        <w:ind w:left="1020" w:right="339" w:hanging="322"/>
        <w:spacing w:after="0" w:line="259"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such unitholder’s allocable share of certain of our items of income, gain, deduction and loss (generally excluding certain items related to our investment activities, including capital gains and dividends, which are subject to a U.S. federal income tax rate of 20%); and</w:t>
      </w:r>
    </w:p>
    <w:p>
      <w:pPr>
        <w:spacing w:after="0" w:line="68" w:lineRule="exact"/>
        <w:rPr>
          <w:rFonts w:ascii="Times New Roman" w:cs="Times New Roman" w:eastAsia="Times New Roman" w:hAnsi="Times New Roman"/>
          <w:sz w:val="14"/>
          <w:szCs w:val="14"/>
          <w:color w:val="auto"/>
        </w:rPr>
      </w:pPr>
    </w:p>
    <w:p>
      <w:pPr>
        <w:ind w:left="1020" w:right="499" w:hanging="322"/>
        <w:spacing w:after="0" w:line="273"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by such unitholder on the disposition of its units to the extent such gain is attributable to certain Section 751 assets, including depreciation recapture and “inventory items” we own.</w:t>
      </w:r>
    </w:p>
    <w:p>
      <w:pPr>
        <w:spacing w:after="0" w:line="130"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Prospective unitholders should consult their tax advisors regarding the application of this deduction and its interaction with the overall deduction for qualified business income.</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Section 754 Election</w:t>
      </w:r>
    </w:p>
    <w:p>
      <w:pPr>
        <w:spacing w:after="0" w:line="91" w:lineRule="exact"/>
        <w:rPr>
          <w:sz w:val="20"/>
          <w:szCs w:val="20"/>
          <w:color w:val="auto"/>
        </w:rPr>
      </w:pPr>
    </w:p>
    <w:p>
      <w:pPr>
        <w:ind w:left="280" w:right="519" w:firstLine="337"/>
        <w:spacing w:after="0" w:line="273" w:lineRule="auto"/>
        <w:rPr>
          <w:sz w:val="20"/>
          <w:szCs w:val="20"/>
          <w:color w:val="auto"/>
        </w:rPr>
      </w:pPr>
      <w:r>
        <w:rPr>
          <w:rFonts w:ascii="Times New Roman" w:cs="Times New Roman" w:eastAsia="Times New Roman" w:hAnsi="Times New Roman"/>
          <w:sz w:val="14"/>
          <w:szCs w:val="14"/>
          <w:color w:val="auto"/>
        </w:rPr>
        <w:t>We have made the election permitted by Section 754 of the Internal Revenue Code. That election is irrevocable without the consent of the IRS. The election generally permits us to adjust a common unit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28" w:name="page29"/>
    <w:bookmarkEnd w:id="28"/>
    <w:p>
      <w:pPr>
        <w:ind w:left="280" w:right="3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purchaser’s tax basis in our assets (“inside basis”) under Section 743(b) of the Internal Revenue Code to reflect his purchase price. This election does not apply with respect to a person who purchases common units directly from us. The Section 743(b) adjustment belongs to the purchaser and not to other unitholders. For purposes of this discussion, the inside basis in our assets with respect to a unitholder will be considered to have two components: (i) his share of our tax basis in our assets (“common basis”) and (ii) his Section 743(b) adjustment to that basis.</w:t>
      </w:r>
    </w:p>
    <w:p>
      <w:pPr>
        <w:spacing w:after="0" w:line="143"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We have adopted the remedial allocation method as to all our properties. Where the remedial allocation method is adopted, the Treasury Regulations under Section 743 of the Internal Revenue Code require a portion of the Section 743(b) adjustment that is attributable to recovery property that is subject to depreciation under Section 168 of the Internal Revenue Code and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and any other Treasury Regulations. Please read “—Uniformity of Units.”</w:t>
      </w:r>
    </w:p>
    <w:p>
      <w:pPr>
        <w:spacing w:after="0" w:line="148"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that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A unitholder’s tax basis for his common units is reduced by his share of our deductions (whether or not such deductions were claimed on an individual’s income tax return) so that any position we take that understates deductions will overstate such unitholder’s basis in his common units, which may cause the unitholder to understate gain or overstate loss on any sale of such units. Please read “—Disposition of Common Units—Recognition of Gain or Loss.” Latham &amp; Watkins LLP is unable to opine as to whether our method for taking into account Section 743 adjustments is sustainable for property subject to depreciation under Section 167 of the Internal Revenue Code or if we use an aggregate approach as described above, as there is no direct or indirect controlling authority addressing the validity of these positions. Moreover,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149" w:lineRule="exact"/>
        <w:rPr>
          <w:sz w:val="20"/>
          <w:szCs w:val="20"/>
          <w:color w:val="auto"/>
        </w:rPr>
      </w:pPr>
    </w:p>
    <w:p>
      <w:pPr>
        <w:ind w:left="280" w:right="359" w:firstLine="337"/>
        <w:spacing w:after="0" w:line="255" w:lineRule="auto"/>
        <w:rPr>
          <w:sz w:val="20"/>
          <w:szCs w:val="20"/>
          <w:color w:val="auto"/>
        </w:rPr>
      </w:pPr>
      <w:r>
        <w:rPr>
          <w:rFonts w:ascii="Times New Roman" w:cs="Times New Roman" w:eastAsia="Times New Roman" w:hAnsi="Times New Roman"/>
          <w:sz w:val="14"/>
          <w:szCs w:val="14"/>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may elect out of the bonus depreciation provisions of Section 168(k) with respect to basis adjustments under Section 743(b).</w:t>
      </w:r>
    </w:p>
    <w:p>
      <w:pPr>
        <w:spacing w:after="0" w:line="143" w:lineRule="exact"/>
        <w:rPr>
          <w:sz w:val="20"/>
          <w:szCs w:val="20"/>
          <w:color w:val="auto"/>
        </w:rPr>
      </w:pPr>
    </w:p>
    <w:p>
      <w:pPr>
        <w:ind w:left="280" w:right="619" w:firstLine="337"/>
        <w:spacing w:after="0" w:line="273" w:lineRule="auto"/>
        <w:rPr>
          <w:sz w:val="20"/>
          <w:szCs w:val="20"/>
          <w:color w:val="auto"/>
        </w:rPr>
      </w:pPr>
      <w:r>
        <w:rPr>
          <w:rFonts w:ascii="Times New Roman" w:cs="Times New Roman" w:eastAsia="Times New Roman" w:hAnsi="Times New Roman"/>
          <w:sz w:val="14"/>
          <w:szCs w:val="14"/>
          <w:color w:val="auto"/>
        </w:rPr>
        <w:t>A Section 754 election is advantageous if the transferee’s tax basis in his units is higher than the units’ share of the aggregate tax basis of our assets immediately prior to the transfer. Conversely, a Section 754 election is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29" w:name="page30"/>
    <w:bookmarkEnd w:id="29"/>
    <w:p>
      <w:pPr>
        <w:ind w:left="280" w:right="2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Generally, a built-in loss is substantial if (i) it exceeds $250,000 or (ii) the transferee would be allocated a net loss in excess of $250,000 on a hypothetical sale of our assets for their fair market value immediately after a transfer of the interests at issue. In addition, a basis adjustment is required regardless of whether a Section 754 election is made if we distribute property and have a substantial basis reduction. A substantial basis reduction exists if, on a liquidating distribution of property to a unitholder, there would be a negative basis adjustment to our assets in excess of $250,000 if a Section 754 election were in place.</w:t>
      </w:r>
    </w:p>
    <w:p>
      <w:pPr>
        <w:spacing w:after="0" w:line="148" w:lineRule="exact"/>
        <w:rPr>
          <w:sz w:val="20"/>
          <w:szCs w:val="20"/>
          <w:color w:val="auto"/>
        </w:rPr>
      </w:pPr>
    </w:p>
    <w:p>
      <w:pPr>
        <w:ind w:left="280" w:right="419" w:firstLine="337"/>
        <w:spacing w:after="0" w:line="272" w:lineRule="auto"/>
        <w:rPr>
          <w:sz w:val="20"/>
          <w:szCs w:val="20"/>
          <w:color w:val="auto"/>
        </w:rPr>
      </w:pPr>
      <w:r>
        <w:rPr>
          <w:rFonts w:ascii="Times New Roman" w:cs="Times New Roman" w:eastAsia="Times New Roman" w:hAnsi="Times New Roman"/>
          <w:sz w:val="13"/>
          <w:szCs w:val="13"/>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2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 Treatment of Operations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Accounting Method and Taxable Year</w:t>
      </w:r>
    </w:p>
    <w:p>
      <w:pPr>
        <w:spacing w:after="0" w:line="9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twelve months of our income, gain, loss and deduction. Please read “—Disposition of Common Units—Allocations Between Transferors and Transferees.”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Tax Basis, Depreciation and Amortization</w:t>
      </w:r>
    </w:p>
    <w:p>
      <w:pPr>
        <w:spacing w:after="0" w:line="91" w:lineRule="exact"/>
        <w:rPr>
          <w:sz w:val="20"/>
          <w:szCs w:val="20"/>
          <w:color w:val="auto"/>
        </w:rPr>
      </w:pPr>
    </w:p>
    <w:p>
      <w:pPr>
        <w:ind w:left="280" w:right="459" w:firstLine="337"/>
        <w:spacing w:after="0" w:line="255" w:lineRule="auto"/>
        <w:rPr>
          <w:sz w:val="20"/>
          <w:szCs w:val="20"/>
          <w:color w:val="auto"/>
        </w:rPr>
      </w:pPr>
      <w:r>
        <w:rPr>
          <w:rFonts w:ascii="Times New Roman" w:cs="Times New Roman" w:eastAsia="Times New Roman" w:hAnsi="Times New Roman"/>
          <w:sz w:val="14"/>
          <w:szCs w:val="14"/>
          <w:color w:val="auto"/>
        </w:rPr>
        <w:t>The tax basis of our assets will be used for purposes of computing depreciation and cost recovery deductions and, ultimately, gain or loss on the disposition of these assets. The U.S. federal income tax burden associated with the difference between the fair market value of our assets and their tax basis immediately prior to an offering will be borne by our unitholders holding interests in us prior to any such offering. Please read “—Tax Consequences of Unit Ownership—Allocation of Income, Gain, Loss and Deduction.”</w:t>
      </w:r>
    </w:p>
    <w:p>
      <w:pPr>
        <w:spacing w:after="0" w:line="143" w:lineRule="exact"/>
        <w:rPr>
          <w:sz w:val="20"/>
          <w:szCs w:val="20"/>
          <w:color w:val="auto"/>
        </w:rPr>
      </w:pPr>
    </w:p>
    <w:p>
      <w:pPr>
        <w:jc w:val="both"/>
        <w:ind w:left="280" w:right="519" w:firstLine="337"/>
        <w:spacing w:after="0" w:line="259" w:lineRule="auto"/>
        <w:rPr>
          <w:sz w:val="20"/>
          <w:szCs w:val="20"/>
          <w:color w:val="auto"/>
        </w:rPr>
      </w:pPr>
      <w:r>
        <w:rPr>
          <w:rFonts w:ascii="Times New Roman" w:cs="Times New Roman" w:eastAsia="Times New Roman" w:hAnsi="Times New Roman"/>
          <w:sz w:val="14"/>
          <w:szCs w:val="14"/>
          <w:color w:val="auto"/>
        </w:rPr>
        <w:t>To the extent allowable, we may use the depreciation and cost recovery methods, including bonus depreciation to the extent available, that will result in the largest deductions being taken in the early years after assets subject to these allowances are placed in service. Property we subsequently acquire or construct may be depreciated using accelerated methods permitted by the Internal Revenue Code.</w:t>
      </w:r>
    </w:p>
    <w:p>
      <w:pPr>
        <w:spacing w:after="0" w:line="141" w:lineRule="exact"/>
        <w:rPr>
          <w:sz w:val="20"/>
          <w:szCs w:val="20"/>
          <w:color w:val="auto"/>
        </w:rPr>
      </w:pPr>
    </w:p>
    <w:p>
      <w:pPr>
        <w:ind w:left="280" w:right="459" w:firstLine="337"/>
        <w:spacing w:after="0" w:line="259" w:lineRule="auto"/>
        <w:rPr>
          <w:sz w:val="20"/>
          <w:szCs w:val="20"/>
          <w:color w:val="auto"/>
        </w:rPr>
      </w:pPr>
      <w:r>
        <w:rPr>
          <w:rFonts w:ascii="Times New Roman" w:cs="Times New Roman" w:eastAsia="Times New Roman" w:hAnsi="Times New Roman"/>
          <w:sz w:val="14"/>
          <w:szCs w:val="14"/>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30" w:name="page31"/>
    <w:bookmarkEnd w:id="30"/>
    <w:p>
      <w:pPr>
        <w:ind w:left="280" w:right="2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141" w:lineRule="exact"/>
        <w:rPr>
          <w:sz w:val="20"/>
          <w:szCs w:val="20"/>
          <w:color w:val="auto"/>
        </w:rPr>
      </w:pPr>
    </w:p>
    <w:p>
      <w:pPr>
        <w:ind w:left="280" w:right="439" w:firstLine="337"/>
        <w:spacing w:after="0" w:line="289" w:lineRule="auto"/>
        <w:rPr>
          <w:sz w:val="20"/>
          <w:szCs w:val="20"/>
          <w:color w:val="auto"/>
        </w:rPr>
      </w:pPr>
      <w:r>
        <w:rPr>
          <w:rFonts w:ascii="Times New Roman" w:cs="Times New Roman" w:eastAsia="Times New Roman" w:hAnsi="Times New Roman"/>
          <w:sz w:val="13"/>
          <w:szCs w:val="13"/>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Valuation and Tax Basis of Our Properties</w:t>
      </w:r>
    </w:p>
    <w:p>
      <w:pPr>
        <w:spacing w:after="0" w:line="9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The U.S.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determinations of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Disposition of Common Units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Recognition of Gain or Loss</w:t>
      </w:r>
    </w:p>
    <w:p>
      <w:pPr>
        <w:spacing w:after="0" w:line="91"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43"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Prior distributions on our common units that in the aggregate were in excess of cumulative net taxable income for a common unit and, therefore,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141" w:lineRule="exact"/>
        <w:rPr>
          <w:sz w:val="20"/>
          <w:szCs w:val="20"/>
          <w:color w:val="auto"/>
        </w:rPr>
      </w:pPr>
    </w:p>
    <w:p>
      <w:pPr>
        <w:ind w:left="280" w:right="359" w:firstLine="337"/>
        <w:spacing w:after="0" w:line="249" w:lineRule="auto"/>
        <w:rPr>
          <w:sz w:val="20"/>
          <w:szCs w:val="20"/>
          <w:color w:val="auto"/>
        </w:rPr>
      </w:pPr>
      <w:r>
        <w:rPr>
          <w:rFonts w:ascii="Times New Roman" w:cs="Times New Roman" w:eastAsia="Times New Roman" w:hAnsi="Times New Roman"/>
          <w:sz w:val="14"/>
          <w:szCs w:val="14"/>
          <w:color w:val="auto"/>
        </w:rPr>
        <w:t>Except as noted below, gain or loss recognized by a unitholder, other than a “dealer” in units, on the sale or exchange of a unit will generally be taxable as capital gain or loss. Capital gain recognized by an individual on the sale of units held for more than twelve months will generally be taxed at the U.S. federal income tax rate applicable to long-term capital gains. However, a portion of this gain or loss, which will likely be substantial, will be separately computed and taxed as ordinary income or loss under Section 751 of the Internal Revenue Code to the extent attributable to assets giving rise to “unrealized receivables,” including potential recapture items such as depreciation recapture, or to “inventory items” we own. Ordinary income attributable to unrealized receivables and inventory items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Ordinary income recognized by a unitholder on disposition of our common units may be reduced by such unitholder’s deduction for qualified business income. Both ordinary income and capital gain recognized on a sale of units may be subject to the NIIT in certain circumstances. Please read “—Tax Consequences of Unit Ownership—Tax Rates.”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31" w:name="page32"/>
    <w:bookmarkEnd w:id="31"/>
    <w:p>
      <w:pPr>
        <w:ind w:left="280" w:right="319" w:firstLine="337"/>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discussed above, a common unitholder will be unable to select high or low basis common units to sell as would be the case with corporate stock, but, according to the Treasury Regulations, he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147" w:lineRule="exact"/>
        <w:rPr>
          <w:sz w:val="20"/>
          <w:szCs w:val="20"/>
          <w:color w:val="auto"/>
        </w:rPr>
      </w:pPr>
    </w:p>
    <w:p>
      <w:pPr>
        <w:jc w:val="both"/>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68" w:lineRule="exact"/>
        <w:rPr>
          <w:sz w:val="20"/>
          <w:szCs w:val="20"/>
          <w:color w:val="auto"/>
        </w:rPr>
      </w:pPr>
    </w:p>
    <w:p>
      <w:pPr>
        <w:ind w:left="1020" w:hanging="322"/>
        <w:spacing w:after="0"/>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 each case, with respect to the partnership interest or substantially identical property.</w:t>
      </w:r>
    </w:p>
    <w:p>
      <w:pPr>
        <w:spacing w:after="0" w:line="170" w:lineRule="exact"/>
        <w:rPr>
          <w:sz w:val="20"/>
          <w:szCs w:val="20"/>
          <w:color w:val="auto"/>
        </w:rPr>
      </w:pPr>
    </w:p>
    <w:p>
      <w:pPr>
        <w:ind w:left="280" w:right="619" w:firstLine="337"/>
        <w:spacing w:after="0" w:line="253" w:lineRule="auto"/>
        <w:rPr>
          <w:sz w:val="20"/>
          <w:szCs w:val="20"/>
          <w:color w:val="auto"/>
        </w:rPr>
      </w:pPr>
      <w:r>
        <w:rPr>
          <w:rFonts w:ascii="Times New Roman" w:cs="Times New Roman" w:eastAsia="Times New Roman" w:hAnsi="Times New Roman"/>
          <w:sz w:val="14"/>
          <w:szCs w:val="14"/>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Allocations Between Transferors and Transferees</w:t>
      </w:r>
    </w:p>
    <w:p>
      <w:pPr>
        <w:spacing w:after="0" w:line="9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In general, our taxable income and losses will be determined annually, will be prorated on a monthly basis in proportion to the number of days in each month and will be subsequently apportioned among our unitholders in proportion to the number of common units owned by each of them as of the opening of the applicable exchange on the first business day of the month, which we refer to as the “Allocation Date.” However, gain or loss realized on a sale or other disposition of our assets other than in the ordinary course of business will be allocated among our unitholders on the Allocation Date in the month in which that gain or loss is recognized. As a result, a unitholder transferring units may be allocated income, gain, loss and deduction realized after the date of transfer.</w:t>
      </w:r>
    </w:p>
    <w:p>
      <w:pPr>
        <w:spacing w:after="0" w:line="148"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The U.S. Department of Treasury and the IRS have issued Treasury Regulations that permit publicly traded partnerships to use a monthly simplifying convention that is similar to ours, but they do not specifically authorize all aspects of the proration method we have adopted. Accordingly, Latham &amp; Watkins LLP is unable to opine on the validity of this method of allocating income and deductions between transferor and transferee unitholders. If this method is not allowed under the Treasury Regulations, our taxable income or losses might be reallocated among the unitholders. We are authorized to revise our method of allocation between transferor and transferee unitholders, as well as unitholders whose interests vary during a taxable year.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32" w:name="page33"/>
    <w:bookmarkEnd w:id="32"/>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 unitholder who owns common units at any time during a quarter and who disposes of them prior to the record date set for a cash distribution for that quarter will be allocated items of our income, gain, loss and deductions attributable to that quarter through the month of disposition but will not be entitled to receive that cash distribution.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Notification Requirements</w:t>
      </w:r>
    </w:p>
    <w:p>
      <w:pPr>
        <w:spacing w:after="0" w:line="9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Uniformity of Units</w:t>
      </w:r>
    </w:p>
    <w:p>
      <w:pPr>
        <w:spacing w:after="0" w:line="91" w:lineRule="exact"/>
        <w:rPr>
          <w:sz w:val="20"/>
          <w:szCs w:val="20"/>
          <w:color w:val="auto"/>
        </w:rPr>
      </w:pPr>
    </w:p>
    <w:p>
      <w:pPr>
        <w:jc w:val="both"/>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Because we cannot match transferors and transferees of common units, we must maintain uniformity of the economic and tax characteristics of the common units to a purchaser of these units. In the absence of uniformity, we may be unable to completely comply with a number of U.S. federal income tax requirements, both statutory and regulatory. A lack of uniformity can result from a literal application of Treasury Regulation</w:t>
      </w:r>
    </w:p>
    <w:p>
      <w:pPr>
        <w:spacing w:after="0" w:line="1" w:lineRule="exact"/>
        <w:rPr>
          <w:sz w:val="20"/>
          <w:szCs w:val="20"/>
          <w:color w:val="auto"/>
        </w:rPr>
      </w:pPr>
    </w:p>
    <w:p>
      <w:pPr>
        <w:ind w:left="280" w:right="299"/>
        <w:spacing w:after="0" w:line="266" w:lineRule="auto"/>
        <w:rPr>
          <w:sz w:val="20"/>
          <w:szCs w:val="20"/>
          <w:color w:val="auto"/>
        </w:rPr>
      </w:pPr>
      <w:r>
        <w:rPr>
          <w:rFonts w:ascii="Times New Roman" w:cs="Times New Roman" w:eastAsia="Times New Roman" w:hAnsi="Times New Roman"/>
          <w:sz w:val="13"/>
          <w:szCs w:val="13"/>
          <w:color w:val="auto"/>
        </w:rPr>
        <w:t>Section 1.167(c)-1(a)(6). Any non-uniformity could have a negative impact on the value of the common units. Please read “—Tax Consequences of Unit Ownership—Section 754 Election.” 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common basis or a Section 743(b) adjustment, based upon the same applicable rate as if they had purchased a direct interest in our assets.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In either case, and as stated above under “—Tax Consequences of Unit Ownership —Section 754 Election,” Latham &amp; Watkins LLP has not rendered an opinion with respect to these methods. Moreover,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In addition, as described above under “—Tax Consequences of Unit Ownership—Allocation of Income, Gain, Loss and Deduction,” if we aggregate multiple issuances of common units for purposes of making adjustments to “book” basis and the related tax allocations, we will treat each of our common units as having the same capital account balance, regardless of the price actually paid by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33" w:name="page34"/>
    <w:bookmarkEnd w:id="33"/>
    <w:p>
      <w:pPr>
        <w:ind w:left="280" w:right="299"/>
        <w:spacing w:after="0" w:line="28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each purchaser of common units in the aggregated offerings. Latham &amp; Watkins LLP is unable to opine as to the validity of such an approach. We do not expect the number of affected common units, or the differences between the purchase price of a common unit and the initial capital account balance assigned to the common unit, to be material, and we do not expect this convention will have a material effect upon the trading of our common units.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Tax-Exempt Organizations and Other Investors</w:t>
      </w:r>
    </w:p>
    <w:p>
      <w:pPr>
        <w:spacing w:after="0" w:line="91" w:lineRule="exact"/>
        <w:rPr>
          <w:sz w:val="20"/>
          <w:szCs w:val="20"/>
          <w:color w:val="auto"/>
        </w:rPr>
      </w:pPr>
    </w:p>
    <w:p>
      <w:pPr>
        <w:jc w:val="both"/>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Ownership of units by employee benefit plans, other tax-exempt organizations, non-resident aliens, foreign corporations and other foreign persons raises issues unique to those investors and, as described below to a limited extent, may have substantially adverse tax consequences to them. If you are a tax-exempt entity or a foreign person, you should consult your tax advisor before investing in our common units.</w:t>
      </w:r>
    </w:p>
    <w:p>
      <w:pPr>
        <w:spacing w:after="0" w:line="14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Employee benefit plans and most other organizations exempt from U.S. federal income tax, including IRAs and other retirement plans, are subject to U.S. federal income tax on unrelated business taxable income. Virtually all of our income allocated to a unitholder that is a tax-exempt organization will be unrelated business taxable income and will be taxable to it. Further, a tax exempt organization with more than one unrelated trade or business (including by attribution from investments in a partnership, such as us, that is engaged in one or more unrelated trades or businesses) must compute its unrelated business taxable income separately for each such trade or business, including for purposes of determining any net operating loss deduction. As a result, it may not be possible for tax exempt organizations to use losses from an investment in us to offset taxable income from another unrelated trade or business.</w:t>
      </w:r>
    </w:p>
    <w:p>
      <w:pPr>
        <w:spacing w:after="0" w:line="145" w:lineRule="exact"/>
        <w:rPr>
          <w:sz w:val="20"/>
          <w:szCs w:val="20"/>
          <w:color w:val="auto"/>
        </w:rPr>
      </w:pPr>
    </w:p>
    <w:p>
      <w:pPr>
        <w:ind w:left="280" w:right="419" w:firstLine="337"/>
        <w:spacing w:after="0" w:line="251" w:lineRule="auto"/>
        <w:rPr>
          <w:sz w:val="20"/>
          <w:szCs w:val="20"/>
          <w:color w:val="auto"/>
        </w:rPr>
      </w:pPr>
      <w:r>
        <w:rPr>
          <w:rFonts w:ascii="Times New Roman" w:cs="Times New Roman" w:eastAsia="Times New Roman" w:hAnsi="Times New Roman"/>
          <w:sz w:val="14"/>
          <w:szCs w:val="14"/>
          <w:color w:val="auto"/>
        </w:rPr>
        <w:t>Non-resident aliens and foreign corporations, trusts or estates that own common units will be considered to be engaged in business in the United States because of the ownership of such common units. As a consequence, they will be required to file federal tax returns to report their share of our income, gain, loss or deduction and pay U.S. federal income tax at regular rates on their share of our net income or gain. Moreover, under rules applicable to publicly traded partnerships, our quarterly distribution to foreign unitholders will be subject to withholding at the highest applicable effective tax rate. Each foreign unitholder must obtain a taxpayer identification number from the IRS and submit that number to our transfer agent on a Form W-8BEN, W-8BEN-E or applicable substitute form in order to obtain credit for these withholding taxes. A change in applicable law may require us to change these procedures.</w:t>
      </w:r>
    </w:p>
    <w:p>
      <w:pPr>
        <w:spacing w:after="0" w:line="145" w:lineRule="exact"/>
        <w:rPr>
          <w:sz w:val="20"/>
          <w:szCs w:val="20"/>
          <w:color w:val="auto"/>
        </w:rPr>
      </w:pPr>
    </w:p>
    <w:p>
      <w:pPr>
        <w:ind w:left="280" w:right="299" w:firstLine="337"/>
        <w:spacing w:after="0" w:line="277" w:lineRule="auto"/>
        <w:rPr>
          <w:sz w:val="20"/>
          <w:szCs w:val="20"/>
          <w:color w:val="auto"/>
        </w:rPr>
      </w:pPr>
      <w:r>
        <w:rPr>
          <w:rFonts w:ascii="Times New Roman" w:cs="Times New Roman" w:eastAsia="Times New Roman" w:hAnsi="Times New Roman"/>
          <w:sz w:val="13"/>
          <w:szCs w:val="13"/>
          <w:color w:val="auto"/>
        </w:rPr>
        <w:t>In addition, because a foreign corporation that owns common units will be treated as engaged in a U.S. trade or business, that corporation may be subject to the U.S. branch profits tax at a rate of 30%, in addition to regular U.S. federal income tax, on its share of our earnings and profits, as adjusted for changes in the foreign corporation’s “U.S. net equity,” that is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130"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 foreign unitholder who sells or otherwise disposes of a common unit will be subject to U.S. federal income tax on gain realized from the sale or disposition of that unit to the extent the gain is effectively connected with a U.S. trade or business of the foreign unitholder. Gain on the sale or disposition of a common unit will be treated as effectively connected with a U.S. trade or business to the extent that a foreign unitholder would recognize gain effectively connected with a U.S. trade or business upon the hypothetical sale of our assets at fair market value on the date of the sale or exchange of that unit. Such gain shall be reduced by certain amounts treated as effectively connected with a U.S. trade or business attributable to certain real property interests, as set forth in the following paragraph.</w:t>
      </w:r>
    </w:p>
    <w:p>
      <w:pPr>
        <w:spacing w:after="0" w:line="148" w:lineRule="exact"/>
        <w:rPr>
          <w:sz w:val="20"/>
          <w:szCs w:val="20"/>
          <w:color w:val="auto"/>
        </w:rPr>
      </w:pPr>
    </w:p>
    <w:p>
      <w:pPr>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Under the Foreign Investment in Real Property Tax Act, a foreign common unitholder (other than certain “qualified foreign pension funds” (or an entity all of the interests of which are held by such a qualified foreign pension fund), which generally are entities or arrangements that are established and regulated by foreign law 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34" w:name="page35"/>
    <w:bookmarkEnd w:id="34"/>
    <w:p>
      <w:pPr>
        <w:ind w:left="280" w:right="3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provide retirement or other pension benefits to employees, do not have a single participant or beneficiary that is entitled to more than 5% of the assets or income of the entity or arrangement and are subject to certain preferential tax treatment under the laws of the applicable foreign country) generally will be subject to U.S. federal income tax upon the sale or disposition of a common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five-year period ending on the date of disposition. Currently, more than 50% of our assets consist of U.S. real property interests and we do not expect that to change in the foreseeable future. Therefore, foreign unitholders may be subject to U.S. federal income tax on gain from the sale or disposition of their units.</w:t>
      </w:r>
    </w:p>
    <w:p>
      <w:pPr>
        <w:spacing w:after="0" w:line="148" w:lineRule="exact"/>
        <w:rPr>
          <w:sz w:val="20"/>
          <w:szCs w:val="20"/>
          <w:color w:val="auto"/>
        </w:rPr>
      </w:pPr>
    </w:p>
    <w:p>
      <w:pPr>
        <w:ind w:left="280" w:right="359" w:firstLine="337"/>
        <w:spacing w:after="0" w:line="250" w:lineRule="auto"/>
        <w:rPr>
          <w:sz w:val="20"/>
          <w:szCs w:val="20"/>
          <w:color w:val="auto"/>
        </w:rPr>
      </w:pPr>
      <w:r>
        <w:rPr>
          <w:rFonts w:ascii="Times New Roman" w:cs="Times New Roman" w:eastAsia="Times New Roman" w:hAnsi="Times New Roman"/>
          <w:sz w:val="14"/>
          <w:szCs w:val="14"/>
          <w:color w:val="auto"/>
        </w:rPr>
        <w:t>Upon the sale, exchange or other disposition of a common unit by a foreign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Quarterly distributions made to our foreign unitholders may also be subject to withholding under these rules to the extent a portion of a distribution is attributable to an amount in excess of our cumulative net income that has not previously been distributed. Prospective foreign unitholders should consult their tax advisors regarding the impact of these rules on an investment in our common units.</w:t>
      </w:r>
    </w:p>
    <w:p>
      <w:pPr>
        <w:spacing w:after="0" w:line="145"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Additional withholding requirements may also affect certain foreign unitholders. Please read “—Administrative Matters—Additional Withholding Requirements.”</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Administrative Matters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Information Returns and Audit Procedures</w:t>
      </w:r>
    </w:p>
    <w:p>
      <w:pPr>
        <w:spacing w:after="0" w:line="9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yield a result that conforms to the requirements of the Internal Revenue Code, Treasury Regulations or administrative interpretations of the IRS. Neither we nor Latham &amp; Watkins LLP can assure prospective common unitholders that the IRS will not successfully contend in court that those positions are impermissible. Any challenge by the IRS could negatively affect the value of the units.</w:t>
      </w:r>
    </w:p>
    <w:p>
      <w:pPr>
        <w:spacing w:after="0" w:line="145" w:lineRule="exact"/>
        <w:rPr>
          <w:sz w:val="20"/>
          <w:szCs w:val="20"/>
          <w:color w:val="auto"/>
        </w:rPr>
      </w:pPr>
    </w:p>
    <w:p>
      <w:pPr>
        <w:jc w:val="both"/>
        <w:ind w:left="280" w:right="639" w:firstLine="337"/>
        <w:spacing w:after="0" w:line="259" w:lineRule="auto"/>
        <w:rPr>
          <w:sz w:val="20"/>
          <w:szCs w:val="20"/>
          <w:color w:val="auto"/>
        </w:rPr>
      </w:pPr>
      <w:r>
        <w:rPr>
          <w:rFonts w:ascii="Times New Roman" w:cs="Times New Roman" w:eastAsia="Times New Roman" w:hAnsi="Times New Roman"/>
          <w:sz w:val="14"/>
          <w:szCs w:val="14"/>
          <w:color w:val="auto"/>
        </w:rPr>
        <w:t>The IRS may audit our U.S.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141" w:lineRule="exact"/>
        <w:rPr>
          <w:sz w:val="20"/>
          <w:szCs w:val="20"/>
          <w:color w:val="auto"/>
        </w:rPr>
      </w:pPr>
    </w:p>
    <w:p>
      <w:pPr>
        <w:jc w:val="both"/>
        <w:ind w:left="280" w:right="459" w:firstLine="337"/>
        <w:spacing w:after="0" w:line="259" w:lineRule="auto"/>
        <w:rPr>
          <w:sz w:val="20"/>
          <w:szCs w:val="20"/>
          <w:color w:val="auto"/>
        </w:rPr>
      </w:pPr>
      <w:r>
        <w:rPr>
          <w:rFonts w:ascii="Times New Roman" w:cs="Times New Roman" w:eastAsia="Times New Roman" w:hAnsi="Times New Roman"/>
          <w:sz w:val="14"/>
          <w:szCs w:val="14"/>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w:t>
      </w:r>
    </w:p>
    <w:p>
      <w:pPr>
        <w:spacing w:after="0" w:line="141" w:lineRule="exact"/>
        <w:rPr>
          <w:sz w:val="20"/>
          <w:szCs w:val="20"/>
          <w:color w:val="auto"/>
        </w:rPr>
      </w:pPr>
    </w:p>
    <w:p>
      <w:pPr>
        <w:ind w:left="280" w:right="519" w:firstLine="337"/>
        <w:spacing w:after="0" w:line="273" w:lineRule="auto"/>
        <w:rPr>
          <w:sz w:val="20"/>
          <w:szCs w:val="20"/>
          <w:color w:val="auto"/>
        </w:rPr>
      </w:pPr>
      <w:r>
        <w:rPr>
          <w:rFonts w:ascii="Times New Roman" w:cs="Times New Roman" w:eastAsia="Times New Roman" w:hAnsi="Times New Roman"/>
          <w:sz w:val="14"/>
          <w:szCs w:val="14"/>
          <w:color w:val="auto"/>
        </w:rPr>
        <w:t>Pursuant to the Bipartisan Budget Act of 2015, for taxable years beginning after December 31, 2017, if the IRS makes audit adjustments to our income tax returns, it may assess and collect any taxes (including any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1" w:right="1440" w:bottom="1440" w:gutter="0" w:footer="0" w:header="0"/>
        </w:sectPr>
      </w:pPr>
    </w:p>
    <w:bookmarkStart w:id="35" w:name="page36"/>
    <w:bookmarkEnd w:id="35"/>
    <w:p>
      <w:pPr>
        <w:ind w:left="280" w:right="29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applicable penalties and interest) resulting from such audit adjustment directly from us.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unitholders and former unitholders take such audit adjustment into account in accordance with their interest in us during the tax year under audit, but there can be no assurance that such election will be effective in all circumstances. If we are unable to have our unitholders and former unitholders take such audit adjustment into account in accordance with their interests in us during the tax year under audit, our current unitholders may bear some or all of the tax liability resulting from such audit adjustment, even if such unitholders did not own our common units during the tax year under audit. If, as a result of any such audit adjustment, we are required to make payments of taxes, penalties and interest, our cash available for distribution to our common unitholders might be substantially reduced.</w:t>
      </w:r>
    </w:p>
    <w:p>
      <w:pPr>
        <w:spacing w:after="0" w:line="145"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Additionally, pursuant to the Bipartisan Budget Act of 2015, we are required to designate a partner, or other person, with a substantial presence in the United States as the partnership representative (“Partnership Representative”). The Partnership Representative has the sole authority to act on our behalf for purposes of, among other things, U.S. federal income tax audits and judicial review of administrative adjustments by the IRS. If we do not make such a designation, the IRS can select any person as the Partnership Representative. We have designated our general partner as our Partnership Representative. Further, any actions taken by us or by the Partnership Representative on our behalf with respect to, among other things, U.S. federal income tax audits and judicial review of administrative adjustments by the IRS, will be binding on us and all of our unitholders.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Additional Withholding Requirements</w:t>
      </w:r>
    </w:p>
    <w:p>
      <w:pPr>
        <w:spacing w:after="0" w:line="91"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Withholding taxes may apply to certain types of payments made to “foreign financial institutions” (as specially defined in the Internal Revenue Code) and certain other foreign entities. Specifically, a 30% withholding tax may be imposed on interest, dividends and other fixed or determinable annual or periodical gains, profits and income from sources within the United States (“FDAP Income”), or subject to the proposed Treasury Regulations discussed below, gross proceeds from the sale or other disposition of any property of a type that can produce interest or dividends from sources within the United States (“Gross Proceeds”) paid to a foreign financial institution or to a “non-financial foreign entity” (as specially defined in the Internal Revenue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54"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These rules generally apply to payments of FDAP Income currently and, while these rules generally would have applied to payments of relevant Gross Proceeds made on or after January 1, 2019, proposed Treasury Regulations eliminate these withholding taxes on payments of Gross Proceeds entirely. Unitholders generally may rely on these proposed Treasury Regulations until final Treasury Regulations are issued. Thus, to the extent we have FDAP Income that is not treated as effectively connected with a U.S. trade or business (please read “—Tax-Exempt Organizations and Other Investors”), unitholders who are foreign financial institutions or certain other foreign entities, or persons that hold their common units through such foreign entities, may be subject to withholding on distributions they receive from us, or their distributive share of our income, pursuant to the rules described above.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1" w:right="1440" w:bottom="1440" w:gutter="0" w:footer="0" w:header="0"/>
        </w:sectPr>
      </w:pPr>
    </w:p>
    <w:bookmarkStart w:id="36" w:name="page37"/>
    <w:bookmarkEnd w:id="36"/>
    <w:p>
      <w:pPr>
        <w:ind w:left="280" w:right="359" w:firstLine="337"/>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Prospective common unitholders should consult their own tax advisors regarding the potential application of these withholding provisions to their investment in our common units.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Nominee Reporting</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Persons who hold an interest in us as a nominee for another person are required to furnish to us:</w:t>
      </w:r>
    </w:p>
    <w:p>
      <w:pPr>
        <w:spacing w:after="0" w:line="98" w:lineRule="exact"/>
        <w:rPr>
          <w:sz w:val="20"/>
          <w:szCs w:val="20"/>
          <w:color w:val="auto"/>
        </w:rPr>
      </w:pPr>
    </w:p>
    <w:p>
      <w:pPr>
        <w:ind w:left="1020" w:hanging="32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beneficial owner is:</w:t>
      </w:r>
    </w:p>
    <w:p>
      <w:pPr>
        <w:spacing w:after="0" w:line="97" w:lineRule="exact"/>
        <w:rPr>
          <w:rFonts w:ascii="Times New Roman" w:cs="Times New Roman" w:eastAsia="Times New Roman" w:hAnsi="Times New Roman"/>
          <w:sz w:val="14"/>
          <w:szCs w:val="14"/>
          <w:color w:val="auto"/>
        </w:rPr>
      </w:pPr>
    </w:p>
    <w:p>
      <w:pPr>
        <w:ind w:left="1380" w:hanging="258"/>
        <w:spacing w:after="0"/>
        <w:tabs>
          <w:tab w:leader="none" w:pos="13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is not a U.S. person;</w:t>
      </w:r>
    </w:p>
    <w:p>
      <w:pPr>
        <w:spacing w:after="0" w:line="97" w:lineRule="exact"/>
        <w:rPr>
          <w:rFonts w:ascii="Times New Roman" w:cs="Times New Roman" w:eastAsia="Times New Roman" w:hAnsi="Times New Roman"/>
          <w:sz w:val="14"/>
          <w:szCs w:val="14"/>
          <w:color w:val="auto"/>
        </w:rPr>
      </w:pPr>
    </w:p>
    <w:p>
      <w:pPr>
        <w:ind w:left="1380" w:hanging="258"/>
        <w:spacing w:after="0"/>
        <w:tabs>
          <w:tab w:leader="none" w:pos="13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government, an international organization or any wholly owned agency or instrumentality of either of the foregoing; or</w:t>
      </w:r>
    </w:p>
    <w:p>
      <w:pPr>
        <w:spacing w:after="0" w:line="97" w:lineRule="exact"/>
        <w:rPr>
          <w:rFonts w:ascii="Times New Roman" w:cs="Times New Roman" w:eastAsia="Times New Roman" w:hAnsi="Times New Roman"/>
          <w:sz w:val="14"/>
          <w:szCs w:val="14"/>
          <w:color w:val="auto"/>
        </w:rPr>
      </w:pPr>
    </w:p>
    <w:p>
      <w:pPr>
        <w:ind w:left="1380" w:hanging="258"/>
        <w:spacing w:after="0"/>
        <w:tabs>
          <w:tab w:leader="none" w:pos="138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units held, acquired or transferred for the beneficial owner; and</w:t>
      </w:r>
    </w:p>
    <w:p>
      <w:pPr>
        <w:spacing w:after="0" w:line="97" w:lineRule="exact"/>
        <w:rPr>
          <w:rFonts w:ascii="Times New Roman" w:cs="Times New Roman" w:eastAsia="Times New Roman" w:hAnsi="Times New Roman"/>
          <w:sz w:val="14"/>
          <w:szCs w:val="14"/>
          <w:color w:val="auto"/>
        </w:rPr>
      </w:pPr>
    </w:p>
    <w:p>
      <w:pPr>
        <w:ind w:left="1020" w:right="859" w:hanging="322"/>
        <w:spacing w:after="0" w:line="273"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dispositions.</w:t>
      </w:r>
    </w:p>
    <w:p>
      <w:pPr>
        <w:spacing w:after="0" w:line="130"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Brokers and financial institutions are required to furnish additional information, including whether they are U.S. persons and specific information on units they acquire, hold or transfer for their own account. A penalty per failure, with a significant penalty per calendar year, is imposed by the Internal Revenue Code for failure to report that information to us. The nominee is required to supply the beneficial owner of the units with the information furnished to us.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Accuracy-Related Penalties</w:t>
      </w:r>
    </w:p>
    <w:p>
      <w:pPr>
        <w:spacing w:after="0" w:line="91" w:lineRule="exact"/>
        <w:rPr>
          <w:sz w:val="20"/>
          <w:szCs w:val="20"/>
          <w:color w:val="auto"/>
        </w:rPr>
      </w:pPr>
    </w:p>
    <w:p>
      <w:pPr>
        <w:ind w:left="280" w:right="359" w:firstLine="337"/>
        <w:spacing w:after="0" w:line="276" w:lineRule="auto"/>
        <w:rPr>
          <w:sz w:val="20"/>
          <w:szCs w:val="20"/>
          <w:color w:val="auto"/>
        </w:rPr>
      </w:pPr>
      <w:r>
        <w:rPr>
          <w:rFonts w:ascii="Times New Roman" w:cs="Times New Roman" w:eastAsia="Times New Roman" w:hAnsi="Times New Roman"/>
          <w:sz w:val="13"/>
          <w:szCs w:val="13"/>
          <w:color w:val="auto"/>
        </w:rPr>
        <w:t>Certain penalties may be imposed on taxpayers as a result of an underpayment of tax that is attributable to one or more specified causes, including: (i) negligence or disregard of rules or regulations, (ii) substantial understatements of income tax, (iii) substantial valuation misstatements and</w:t>
      </w:r>
    </w:p>
    <w:p>
      <w:pPr>
        <w:ind w:left="280" w:right="379" w:firstLine="5"/>
        <w:spacing w:after="0" w:line="248" w:lineRule="auto"/>
        <w:tabs>
          <w:tab w:leader="none" w:pos="51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disallowance of claimed tax benefits by reason of a transaction lacking economic substance or failing to meet the requirements of any similar rule of law. Except with respect to the disallowance of claimed tax benefits by reason of a transaction lacking economic substance or failing to meet the requirements of any similar rule of law, however, no penalty will be imposed for any portion of any such underpayment if it is shown that there was a reasonable cause for the underpayment of that portion and that the taxpayer acted in good faith regarding the underpayment of that portion.</w:t>
      </w:r>
    </w:p>
    <w:p>
      <w:pPr>
        <w:spacing w:after="0" w:line="149"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With respect to substantial understatements of income tax, the amount of any understatement subject to penalty generally is reduced by that portion of the understatement which is attributable to a position adopted on the return: (A) for which there is, or was, “substantial authority”; or (B) as to which there is a reasonable basis and the relevant facts of that position are adequately disclosed on the return. If any item of income, gain, loss or deduction included in the distributive shares of unitholders might result in that kind of an “understatement” of income for which no “substantial authority” exists, we must adequately disclose the relevant facts on our return. In addition, we will make a reasonable effort to furnish sufficient information for unitholders to make adequate disclosure on their returns and to take other actions as may be appropriate to permit unitholders to avoid liability for this penalty.</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Recent Legislative Developments</w:t>
      </w:r>
    </w:p>
    <w:p>
      <w:pPr>
        <w:spacing w:after="0" w:line="91" w:lineRule="exact"/>
        <w:rPr>
          <w:sz w:val="20"/>
          <w:szCs w:val="20"/>
          <w:color w:val="auto"/>
        </w:rPr>
      </w:pPr>
    </w:p>
    <w:p>
      <w:pPr>
        <w:ind w:left="280" w:right="779" w:firstLine="337"/>
        <w:spacing w:after="0" w:line="273" w:lineRule="auto"/>
        <w:rPr>
          <w:sz w:val="20"/>
          <w:szCs w:val="20"/>
          <w:color w:val="auto"/>
        </w:rPr>
      </w:pPr>
      <w:r>
        <w:rPr>
          <w:rFonts w:ascii="Times New Roman" w:cs="Times New Roman" w:eastAsia="Times New Roman" w:hAnsi="Times New Roman"/>
          <w:sz w:val="14"/>
          <w:szCs w:val="14"/>
          <w:color w:val="auto"/>
        </w:rPr>
        <w:t>The present U.S. federal income tax treatment of publicly traded partnerships, including us, or an investment in our common units may be modified by administrative, legislative or judicial interpretation at any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37" w:name="page38"/>
    <w:bookmarkEnd w:id="37"/>
    <w:p>
      <w:pPr>
        <w:ind w:left="280" w:right="41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time. For example, from time to time, members of Congress and the President propose and consider substantive changes to the existing federal income tax laws that affect publicly traded partnerships, including the elimination of partnership tax treatment for publicly traded partnerships. Moreover, notwithstanding that the Treasury Regulations and our private letter ruling treat our income from the production, transportation, storage and marketing of ethylene and its co-products as “qualifying income,” there can be no assurance that there will not be further changes to the Treasury Department’s interpretation of the qualifying income rules in a manner that could impact our ability to qualify as a partnership in the future.</w:t>
      </w:r>
    </w:p>
    <w:p>
      <w:pPr>
        <w:spacing w:after="0" w:line="130"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Any modification to the U.S. federal income tax laws and interpretations thereof may or may not be retroactively applied and could make it more difficult or impossible to meet the exception for us to be treated as a partnership for U.S. federal income tax purposes. Please read “—Partnership Status.” We are unable to predict whether any such changes will ultimately be enacted. However, it is possible that a change in law could affect us, and any such changes could negatively impact the value of an investment in our common units.</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State, Local, Foreign and Other Tax Considerations</w:t>
      </w:r>
    </w:p>
    <w:p>
      <w:pPr>
        <w:spacing w:after="0" w:line="91"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In addition to U.S. federal income taxes, you will likely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common unitholder should consider their potential impact on his investment in us. We currently own property or do business in Kentucky, Louisiana and Texas; Kentucky and Louisiana currently impose an income tax on individuals, corporations and other entities. We may also own property or do business in other jurisdictions in the future. 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In some jurisdictions, tax losses may not produce a tax benefit in the year incurred and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 Collections.” Based on current law and our estimate of our future operations, our general partner anticipates that any amounts required to be withheld will not be material.</w:t>
      </w:r>
    </w:p>
    <w:p>
      <w:pPr>
        <w:spacing w:after="0" w:line="149" w:lineRule="exact"/>
        <w:rPr>
          <w:sz w:val="20"/>
          <w:szCs w:val="20"/>
          <w:color w:val="auto"/>
        </w:rPr>
      </w:pPr>
    </w:p>
    <w:p>
      <w:pPr>
        <w:ind w:left="280" w:right="359" w:firstLine="337"/>
        <w:spacing w:after="0" w:line="254" w:lineRule="auto"/>
        <w:rPr>
          <w:sz w:val="20"/>
          <w:szCs w:val="20"/>
          <w:color w:val="auto"/>
        </w:rPr>
      </w:pPr>
      <w:r>
        <w:rPr>
          <w:rFonts w:ascii="Times New Roman" w:cs="Times New Roman" w:eastAsia="Times New Roman" w:hAnsi="Times New Roman"/>
          <w:sz w:val="14"/>
          <w:szCs w:val="14"/>
          <w:b w:val="1"/>
          <w:bCs w:val="1"/>
          <w:color w:val="auto"/>
        </w:rPr>
        <w:t>It is the responsibility of each unitholder to investigate the legal and tax consequences, under the laws of pertinent states, localities and foreign jurisdictions, of his investment in us. Accordingly, each prospective common unitholder is urged to consult his own tax counsel or other advisor with regard to those matters. Further, it is the responsibility of each unitholder to file all state, local and foreign, as well as U.S. federal tax returns, that may be required of him. Latham &amp; Watkins LLP has not rendered an opinion on the state tax, local tax, alternative minimum tax or foreign tax consequences of an investment in us.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MATERIAL U.S. TAX CONSEQUENCES OF OWNERSHIP OF DEBT SECURITIES</w:t>
      </w:r>
    </w:p>
    <w:p>
      <w:pPr>
        <w:spacing w:after="0" w:line="174" w:lineRule="exact"/>
        <w:rPr>
          <w:sz w:val="20"/>
          <w:szCs w:val="20"/>
          <w:color w:val="auto"/>
        </w:rPr>
      </w:pPr>
    </w:p>
    <w:p>
      <w:pPr>
        <w:ind w:left="280" w:right="599" w:firstLine="337"/>
        <w:spacing w:after="0" w:line="273" w:lineRule="auto"/>
        <w:rPr>
          <w:sz w:val="20"/>
          <w:szCs w:val="20"/>
          <w:color w:val="auto"/>
        </w:rPr>
      </w:pPr>
      <w:r>
        <w:rPr>
          <w:rFonts w:ascii="Times New Roman" w:cs="Times New Roman" w:eastAsia="Times New Roman" w:hAnsi="Times New Roman"/>
          <w:sz w:val="14"/>
          <w:szCs w:val="14"/>
          <w:color w:val="auto"/>
        </w:rPr>
        <w:t>A description of the material U.S. federal income tax consequences of the acquisition, ownership and disposition of debt securities will be set forth on the prospectus supplement relating to the offering of debt securities.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6"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CERTAIN ERISA CONSIDERATIONS</w:t>
      </w:r>
    </w:p>
    <w:p>
      <w:pPr>
        <w:spacing w:after="0" w:line="174"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The following is a summary of certain considerations associated with the acquisition and holding of our common units by employee benefit plans that are subject to Title I of the Employee Retirement Income Security Act of 1974, as amended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145"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9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44"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In considering an investment in our common units with a portion of the assets of any Plan, a fiduciary should consider the Plan’s particular circumstances and all of the facts and circumstances of the investment and determine whether the acquisition and holding of such units is in accordance with the documents and instruments governing the Plan and the applicable provisions of ERISA, the Code, or any Similar Law relating to the fiduciary’s duties to the Plan, including, without limitation:</w:t>
      </w:r>
    </w:p>
    <w:p>
      <w:pPr>
        <w:spacing w:after="0" w:line="71" w:lineRule="exact"/>
        <w:rPr>
          <w:sz w:val="20"/>
          <w:szCs w:val="20"/>
          <w:color w:val="auto"/>
        </w:rPr>
      </w:pPr>
    </w:p>
    <w:p>
      <w:pPr>
        <w:ind w:left="1020" w:hanging="32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prudent under Section 404(a)(1)(B) of ERISA and any other applicable Similar Laws;</w:t>
      </w:r>
    </w:p>
    <w:p>
      <w:pPr>
        <w:spacing w:after="0" w:line="97"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 making the investment, the ERISA Plan will satisfy the diversification requirements of Section 404(a)(1)(C) of ERISA and any other applicable Similar Laws;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permitted under the terms of the applicable documents governing the Plan;</w:t>
      </w:r>
    </w:p>
    <w:p>
      <w:pPr>
        <w:spacing w:after="0" w:line="97" w:lineRule="exact"/>
        <w:rPr>
          <w:rFonts w:ascii="Times New Roman" w:cs="Times New Roman" w:eastAsia="Times New Roman" w:hAnsi="Times New Roman"/>
          <w:sz w:val="14"/>
          <w:szCs w:val="14"/>
          <w:color w:val="auto"/>
        </w:rPr>
      </w:pPr>
    </w:p>
    <w:p>
      <w:pPr>
        <w:ind w:left="1020" w:right="879" w:hanging="322"/>
        <w:spacing w:after="0" w:line="273"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acquisition or holding of the common units will constitute a “prohibited transaction” under Section 406 of ERISA or Section 4975 of the Code (please see discussion under “—Prohibited Transaction Issues” below);</w:t>
      </w:r>
    </w:p>
    <w:p>
      <w:pPr>
        <w:spacing w:after="0" w:line="57" w:lineRule="exact"/>
        <w:rPr>
          <w:rFonts w:ascii="Times New Roman" w:cs="Times New Roman" w:eastAsia="Times New Roman" w:hAnsi="Times New Roman"/>
          <w:sz w:val="14"/>
          <w:szCs w:val="14"/>
          <w:color w:val="auto"/>
        </w:rPr>
      </w:pPr>
    </w:p>
    <w:p>
      <w:pPr>
        <w:ind w:left="1020" w:right="599" w:hanging="322"/>
        <w:spacing w:after="0" w:line="273" w:lineRule="auto"/>
        <w:tabs>
          <w:tab w:leader="none" w:pos="10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Plan will be considered to hold, as plan assets, (i) only common units or (ii) an undivided interest in our underlying assets (please see the discussion under “—Plan Asset Issues” below); and</w:t>
      </w:r>
    </w:p>
    <w:p>
      <w:pPr>
        <w:spacing w:after="0" w:line="57" w:lineRule="exact"/>
        <w:rPr>
          <w:rFonts w:ascii="Times New Roman" w:cs="Times New Roman" w:eastAsia="Times New Roman" w:hAnsi="Times New Roman"/>
          <w:sz w:val="14"/>
          <w:szCs w:val="14"/>
          <w:color w:val="auto"/>
        </w:rPr>
      </w:pPr>
    </w:p>
    <w:p>
      <w:pPr>
        <w:ind w:left="1020" w:right="699" w:hanging="322"/>
        <w:spacing w:after="0" w:line="312" w:lineRule="auto"/>
        <w:tabs>
          <w:tab w:leader="none" w:pos="1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investment will result in recognition of unrelated business taxable income by the Plan and, if so, the potential after-tax investment return. Please read “Material U.S. Federal Income Tax Consequences—Tax-Exempt Organizations and Other Investors.”</w:t>
      </w:r>
    </w:p>
    <w:p>
      <w:pPr>
        <w:spacing w:after="0" w:line="1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Prohibited Transaction Issues</w:t>
      </w:r>
    </w:p>
    <w:p>
      <w:pPr>
        <w:spacing w:after="0" w:line="91"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ERISA Plans from engaging in specified transactions involving plan assets with persons or entities who are “parties in interest,” within the meaning of</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7" w:right="1440" w:bottom="1440" w:gutter="0" w:footer="0" w:header="0"/>
        </w:sectPr>
      </w:pPr>
    </w:p>
    <w:bookmarkStart w:id="40" w:name="page41"/>
    <w:bookmarkEnd w:id="40"/>
    <w:p>
      <w:pPr>
        <w:ind w:left="28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our common units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145" w:lineRule="exact"/>
        <w:rPr>
          <w:sz w:val="20"/>
          <w:szCs w:val="20"/>
          <w:color w:val="auto"/>
        </w:rPr>
      </w:pPr>
    </w:p>
    <w:p>
      <w:pPr>
        <w:ind w:left="280" w:right="679" w:firstLine="337"/>
        <w:spacing w:after="0" w:line="259" w:lineRule="auto"/>
        <w:rPr>
          <w:sz w:val="20"/>
          <w:szCs w:val="20"/>
          <w:color w:val="auto"/>
        </w:rPr>
      </w:pPr>
      <w:r>
        <w:rPr>
          <w:rFonts w:ascii="Times New Roman" w:cs="Times New Roman" w:eastAsia="Times New Roman" w:hAnsi="Times New Roman"/>
          <w:sz w:val="14"/>
          <w:szCs w:val="14"/>
          <w:color w:val="auto"/>
        </w:rPr>
        <w:t>Because of the foregoing, our common units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Plan Asset Issues</w:t>
      </w:r>
    </w:p>
    <w:p>
      <w:pPr>
        <w:spacing w:after="0" w:line="91"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Additionally, a fiduciary of a Plan should consider whether the Plan will, by investing in us, be deemed to own an undivided interest in our assets, with the result that our general partner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141" w:lineRule="exact"/>
        <w:rPr>
          <w:sz w:val="20"/>
          <w:szCs w:val="20"/>
          <w:color w:val="auto"/>
        </w:rPr>
      </w:pPr>
    </w:p>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68" w:lineRule="exact"/>
        <w:rPr>
          <w:sz w:val="20"/>
          <w:szCs w:val="20"/>
          <w:color w:val="auto"/>
        </w:rPr>
      </w:pPr>
    </w:p>
    <w:p>
      <w:pPr>
        <w:ind w:left="1020" w:right="479" w:hanging="404"/>
        <w:spacing w:after="0" w:line="255" w:lineRule="auto"/>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and are either registered under certain provisions of the federal securities laws or sold to the ERISA Plan as part of a public offering under certain conditions;</w:t>
      </w:r>
    </w:p>
    <w:p>
      <w:pPr>
        <w:spacing w:after="0" w:line="70" w:lineRule="exact"/>
        <w:rPr>
          <w:rFonts w:ascii="Times New Roman" w:cs="Times New Roman" w:eastAsia="Times New Roman" w:hAnsi="Times New Roman"/>
          <w:sz w:val="14"/>
          <w:szCs w:val="14"/>
          <w:color w:val="auto"/>
        </w:rPr>
      </w:pPr>
    </w:p>
    <w:p>
      <w:pPr>
        <w:ind w:left="1020" w:right="719" w:hanging="404"/>
        <w:spacing w:after="0" w:line="312" w:lineRule="auto"/>
        <w:tabs>
          <w:tab w:leader="none" w:pos="10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35" w:lineRule="exact"/>
        <w:rPr>
          <w:rFonts w:ascii="Times New Roman" w:cs="Times New Roman" w:eastAsia="Times New Roman" w:hAnsi="Times New Roman"/>
          <w:sz w:val="13"/>
          <w:szCs w:val="13"/>
          <w:color w:val="auto"/>
        </w:rPr>
      </w:pPr>
    </w:p>
    <w:p>
      <w:pPr>
        <w:ind w:left="1020" w:right="419" w:hanging="404"/>
        <w:spacing w:after="0" w:line="251" w:lineRule="auto"/>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significant investment by “benefit plan investors” (as defined in the DOL regulations)—i.e.,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148"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common units on behalf of, or with the assets of, any Plan, consult with their counsel regarding the potential applicability of ERISA, Section 4975 of the Code and any Similar Laws to such investment and whether an exemption would be applicable to the acquisition and holding of our common units. Purchasers of our common units have the exclusive responsibility for ensuring that their acquisition and holding of such units complies with the fiduciary responsibility rules of ERISA and does not violate the prohibited transaction rules of ERISA, the Code or applicable Similar Laws. The sale of common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41" w:name="page42"/>
    <w:bookmarkEnd w:id="41"/>
    <w:p>
      <w:pPr>
        <w:ind w:left="280" w:right="91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units to a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1"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PLAN OF DISTRIBUTION</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securities offered pursuant to this prospectus and any accompanying prospectus supplement may be sold in any of the following ways:</w:t>
      </w:r>
    </w:p>
    <w:p>
      <w:pPr>
        <w:spacing w:after="0" w:line="98" w:lineRule="exact"/>
        <w:rPr>
          <w:sz w:val="20"/>
          <w:szCs w:val="20"/>
          <w:color w:val="auto"/>
        </w:rPr>
      </w:pPr>
    </w:p>
    <w:p>
      <w:pPr>
        <w:ind w:left="1020" w:hanging="32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including existing unitholders;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on one or more exchanges;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brokers or dealers;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 or through any method permitted by applicable law.</w:t>
      </w:r>
    </w:p>
    <w:p>
      <w:pPr>
        <w:spacing w:after="0" w:line="170" w:lineRule="exact"/>
        <w:rPr>
          <w:sz w:val="20"/>
          <w:szCs w:val="20"/>
          <w:color w:val="auto"/>
        </w:rPr>
      </w:pPr>
    </w:p>
    <w:p>
      <w:pPr>
        <w:jc w:val="both"/>
        <w:ind w:left="280" w:right="639" w:firstLine="337"/>
        <w:spacing w:after="0" w:line="259" w:lineRule="auto"/>
        <w:rPr>
          <w:sz w:val="20"/>
          <w:szCs w:val="20"/>
          <w:color w:val="auto"/>
        </w:rPr>
      </w:pPr>
      <w:r>
        <w:rPr>
          <w:rFonts w:ascii="Times New Roman" w:cs="Times New Roman" w:eastAsia="Times New Roman" w:hAnsi="Times New Roman"/>
          <w:sz w:val="14"/>
          <w:szCs w:val="14"/>
          <w:color w:val="auto"/>
        </w:rPr>
        <w:t>In addition, we may from time to time sell securities in compliance with Rule 144 under the Securities Act, if available, or pursuant to other available exemptions from the registration requirements under the Securities Act, rather than pursuant to this prospectus. In such event, we may be required by the securities laws of certain states to offer and sell the common units only through registered or licensed brokers or dealers.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will fix a price or prices of our securities at:</w:t>
      </w:r>
    </w:p>
    <w:p>
      <w:pPr>
        <w:spacing w:after="0" w:line="98" w:lineRule="exact"/>
        <w:rPr>
          <w:sz w:val="20"/>
          <w:szCs w:val="20"/>
          <w:color w:val="auto"/>
        </w:rPr>
      </w:pPr>
    </w:p>
    <w:p>
      <w:pPr>
        <w:ind w:left="1020" w:hanging="32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prices prevailing at the time of any sale under this registration statement;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market prices;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negotiated prices.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may change the price of the securities offered from time to time.</w:t>
      </w:r>
    </w:p>
    <w:p>
      <w:pPr>
        <w:spacing w:after="0" w:line="170" w:lineRule="exact"/>
        <w:rPr>
          <w:sz w:val="20"/>
          <w:szCs w:val="20"/>
          <w:color w:val="auto"/>
        </w:rPr>
      </w:pPr>
    </w:p>
    <w:p>
      <w:pPr>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Offers to purchase securities may be solicited directly by us and the sale thereof may be made by us directly to institutional investors or others. In this case, we expect that no underwriters or agents would be involved. We may use electronic media, including the internet, to sell offered securities directly.</w:t>
      </w:r>
    </w:p>
    <w:p>
      <w:pPr>
        <w:spacing w:after="0" w:line="141"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We, or agents designated by us, may directly solicit, from time to time, offers to purchase the securities. Any such agent may be deemed to be an underwriter as that term is defined in the Securities Act. We will name any agents involved in the offer or sale of the securities and describe any commissions payable by us to these agents in the prospectus supplement. Unless otherwise indicated in the prospectus supplement, these agents will be acting on a best efforts basis for the period of their appointment. The agents may be entitled under agreements that may be entered into with us, to indemnification by us against specific civil liabilities, including liabilities under the Securities Act. The agents may also be our customers or may engage in transactions with or perform services for us in the ordinary course of business.</w:t>
      </w:r>
    </w:p>
    <w:p>
      <w:pPr>
        <w:spacing w:after="0" w:line="148" w:lineRule="exact"/>
        <w:rPr>
          <w:sz w:val="20"/>
          <w:szCs w:val="20"/>
          <w:color w:val="auto"/>
        </w:rPr>
      </w:pPr>
    </w:p>
    <w:p>
      <w:pPr>
        <w:ind w:left="280" w:right="479" w:firstLine="337"/>
        <w:spacing w:after="0" w:line="251" w:lineRule="auto"/>
        <w:rPr>
          <w:sz w:val="20"/>
          <w:szCs w:val="20"/>
          <w:color w:val="auto"/>
        </w:rPr>
      </w:pPr>
      <w:r>
        <w:rPr>
          <w:rFonts w:ascii="Times New Roman" w:cs="Times New Roman" w:eastAsia="Times New Roman" w:hAnsi="Times New Roman"/>
          <w:sz w:val="14"/>
          <w:szCs w:val="14"/>
          <w:color w:val="auto"/>
        </w:rPr>
        <w:t>If we utilize any underwriters in the sale of the securities in respect of which this prospectus is delivered, we will enter into an underwriting agreement with those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may indemnify the underwriters under the relevant underwriting agreement against specific liabilities, including liabilities under the Securities Act. The underwriters or their affiliates may be customers of, may engage in transactions with and may perform services for us or our affiliates in the ordinary course of business.</w:t>
      </w:r>
    </w:p>
    <w:p>
      <w:pPr>
        <w:spacing w:after="0" w:line="148" w:lineRule="exact"/>
        <w:rPr>
          <w:sz w:val="20"/>
          <w:szCs w:val="20"/>
          <w:color w:val="auto"/>
        </w:rPr>
      </w:pPr>
    </w:p>
    <w:p>
      <w:pPr>
        <w:ind w:left="280" w:right="439" w:firstLine="337"/>
        <w:spacing w:after="0" w:line="255" w:lineRule="auto"/>
        <w:rPr>
          <w:sz w:val="20"/>
          <w:szCs w:val="20"/>
          <w:color w:val="auto"/>
        </w:rPr>
      </w:pPr>
      <w:r>
        <w:rPr>
          <w:rFonts w:ascii="Times New Roman" w:cs="Times New Roman" w:eastAsia="Times New Roman" w:hAnsi="Times New Roman"/>
          <w:sz w:val="14"/>
          <w:szCs w:val="14"/>
          <w:color w:val="auto"/>
        </w:rPr>
        <w:t>If we utilize a dealer in the sale of the securities in respect of which this prospectus is delivered, we will sell those securities to the dealer, as principal. The dealer may then resell those securities to the public at varying prices to be determined by the dealer at the time of resale. We may indemnify the dealers against specific liabilities, including liabilities under the Securities Act. The dealers or their affiliates may also be our customers or may engage in transactions with, or perform services for us in the ordinary course of business.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6" w:right="1440" w:bottom="1440" w:gutter="0" w:footer="0" w:header="0"/>
        </w:sectPr>
      </w:pPr>
    </w:p>
    <w:bookmarkStart w:id="43" w:name="page44"/>
    <w:bookmarkEnd w:id="43"/>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We may offer the common units covered by this prospectus into an existing trading market on the terms described in the prospectus supplement relating thereto. Underwriters, dealers and agents who participate in any At-the-Market offerings will be described in the prospectus supplement relating thereto.</w:t>
      </w:r>
    </w:p>
    <w:p>
      <w:pPr>
        <w:spacing w:after="0" w:line="141"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A prospectus and accompanying prospectus supplement in electronic form may be made available on the websites maintained by the underwriters. The underwriters may agree to allocate a number of securities for sale to their online brokerage account holders. Such allocations of securities for internet distributions will be made on the same basis as other allocations. In addition, securities may be sold by the underwriters to securities dealers who resell securities to online brokerage account holders.</w:t>
      </w:r>
    </w:p>
    <w:p>
      <w:pPr>
        <w:spacing w:after="0" w:line="143" w:lineRule="exact"/>
        <w:rPr>
          <w:sz w:val="20"/>
          <w:szCs w:val="20"/>
          <w:color w:val="auto"/>
        </w:rPr>
      </w:pPr>
    </w:p>
    <w:p>
      <w:pPr>
        <w:jc w:val="both"/>
        <w:ind w:left="280" w:right="679" w:firstLine="337"/>
        <w:spacing w:after="0" w:line="259" w:lineRule="auto"/>
        <w:rPr>
          <w:sz w:val="20"/>
          <w:szCs w:val="20"/>
          <w:color w:val="auto"/>
        </w:rPr>
      </w:pPr>
      <w:r>
        <w:rPr>
          <w:rFonts w:ascii="Times New Roman" w:cs="Times New Roman" w:eastAsia="Times New Roman" w:hAnsi="Times New Roman"/>
          <w:sz w:val="14"/>
          <w:szCs w:val="14"/>
          <w:color w:val="auto"/>
        </w:rPr>
        <w:t>Because the Financial Industry Regulatory Authority (“FINRA”) views our common units as interests in a direct participation program, any offering of common units under the registration statement of which this prospectus forms a part will be made in compliance with Rule 2310 of the FINRA Conduct Rules.</w:t>
      </w:r>
    </w:p>
    <w:p>
      <w:pPr>
        <w:spacing w:after="0" w:line="141" w:lineRule="exact"/>
        <w:rPr>
          <w:sz w:val="20"/>
          <w:szCs w:val="20"/>
          <w:color w:val="auto"/>
        </w:rPr>
      </w:pPr>
    </w:p>
    <w:p>
      <w:pPr>
        <w:ind w:left="280" w:right="479" w:firstLine="337"/>
        <w:spacing w:after="0" w:line="312" w:lineRule="auto"/>
        <w:rPr>
          <w:sz w:val="20"/>
          <w:szCs w:val="20"/>
          <w:color w:val="auto"/>
        </w:rPr>
      </w:pPr>
      <w:r>
        <w:rPr>
          <w:rFonts w:ascii="Times New Roman" w:cs="Times New Roman" w:eastAsia="Times New Roman" w:hAnsi="Times New Roman"/>
          <w:sz w:val="13"/>
          <w:szCs w:val="13"/>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08" w:lineRule="exact"/>
        <w:rPr>
          <w:sz w:val="20"/>
          <w:szCs w:val="20"/>
          <w:color w:val="auto"/>
        </w:rPr>
      </w:pPr>
    </w:p>
    <w:p>
      <w:pPr>
        <w:ind w:left="280" w:right="359" w:firstLine="337"/>
        <w:spacing w:after="0" w:line="250" w:lineRule="auto"/>
        <w:rPr>
          <w:sz w:val="20"/>
          <w:szCs w:val="20"/>
          <w:color w:val="auto"/>
        </w:rPr>
      </w:pPr>
      <w:r>
        <w:rPr>
          <w:rFonts w:ascii="Times New Roman" w:cs="Times New Roman" w:eastAsia="Times New Roman" w:hAnsi="Times New Roman"/>
          <w:sz w:val="14"/>
          <w:szCs w:val="14"/>
          <w:color w:val="auto"/>
        </w:rPr>
        <w:t>In connection with offerings of securities under the registration statement of which this prospectus forms a part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of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4" w:lineRule="exact"/>
        <w:rPr>
          <w:sz w:val="20"/>
          <w:szCs w:val="20"/>
          <w:color w:val="auto"/>
        </w:rPr>
      </w:pPr>
    </w:p>
    <w:p>
      <w:pPr>
        <w:jc w:val="both"/>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The validity of the issuance of, and the material federal income tax considerations regarding, the securities offered hereby will be passed upon for us by Latham &amp; Watkins LLP, Houston, Texas. Additional legal matters may be passed on for us, or any underwriters, dealers or agents, by counsel we will name in the applicable prospectus supplement.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280" w:right="499" w:firstLine="337"/>
        <w:spacing w:after="0" w:line="281" w:lineRule="auto"/>
        <w:rPr>
          <w:sz w:val="20"/>
          <w:szCs w:val="20"/>
          <w:color w:val="auto"/>
        </w:rPr>
      </w:pPr>
      <w:r>
        <w:rPr>
          <w:rFonts w:ascii="Times New Roman" w:cs="Times New Roman" w:eastAsia="Times New Roman" w:hAnsi="Times New Roman"/>
          <w:sz w:val="13"/>
          <w:szCs w:val="13"/>
          <w:color w:val="auto"/>
        </w:rPr>
        <w:t>The financial statements and management’s assessment of the effectiveness of internal control over financial reporting (which is included in Management’s Report on Internal Control over Financial Reporting) incorporated in this Prospectus by reference to Westlake Chemical Partners LP’s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6"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drawing>
          <wp:anchor simplePos="0" relativeHeight="251657728" behindDoc="1" locked="0" layoutInCell="0" allowOverlap="1">
            <wp:simplePos x="0" y="0"/>
            <wp:positionH relativeFrom="page">
              <wp:posOffset>1098550</wp:posOffset>
            </wp:positionH>
            <wp:positionV relativeFrom="page">
              <wp:posOffset>180975</wp:posOffset>
            </wp:positionV>
            <wp:extent cx="5358765"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358765" cy="13335"/>
                    </a:xfrm>
                    <a:prstGeom prst="rect">
                      <a:avLst/>
                    </a:prstGeom>
                    <a:noFill/>
                  </pic:spPr>
                </pic:pic>
              </a:graphicData>
            </a:graphic>
          </wp:anchor>
        </w:drawing>
        <w:drawing>
          <wp:anchor simplePos="0" relativeHeight="251657728" behindDoc="1" locked="0" layoutInCell="0" allowOverlap="1">
            <wp:simplePos x="0" y="0"/>
            <wp:positionH relativeFrom="page">
              <wp:posOffset>1098550</wp:posOffset>
            </wp:positionH>
            <wp:positionV relativeFrom="page">
              <wp:posOffset>220345</wp:posOffset>
            </wp:positionV>
            <wp:extent cx="535876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page">
              <wp:posOffset>3213100</wp:posOffset>
            </wp:positionH>
            <wp:positionV relativeFrom="page">
              <wp:posOffset>2820670</wp:posOffset>
            </wp:positionV>
            <wp:extent cx="112268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122680" cy="6350"/>
                    </a:xfrm>
                    <a:prstGeom prst="rect">
                      <a:avLst/>
                    </a:prstGeom>
                    <a:noFill/>
                  </pic:spPr>
                </pic:pic>
              </a:graphicData>
            </a:graphic>
          </wp:anchor>
        </w:drawing>
        <w:drawing>
          <wp:anchor simplePos="0" relativeHeight="251657728" behindDoc="1" locked="0" layoutInCell="0" allowOverlap="1">
            <wp:simplePos x="0" y="0"/>
            <wp:positionH relativeFrom="page">
              <wp:posOffset>2517140</wp:posOffset>
            </wp:positionH>
            <wp:positionV relativeFrom="page">
              <wp:posOffset>1087120</wp:posOffset>
            </wp:positionV>
            <wp:extent cx="2515235" cy="466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51523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2298700</wp:posOffset>
            </wp:positionH>
            <wp:positionV relativeFrom="paragraph">
              <wp:posOffset>187960</wp:posOffset>
            </wp:positionV>
            <wp:extent cx="112268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926465</wp:posOffset>
            </wp:positionV>
            <wp:extent cx="535876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978535</wp:posOffset>
            </wp:positionV>
            <wp:extent cx="5358765"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35876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tbl>
      <w:tblPr>
        <w:tblLayout w:type="fixed"/>
        <w:tblInd w:w="280" w:type="dxa"/>
        <w:tblCellMar>
          <w:top w:w="0" w:type="dxa"/>
          <w:left w:w="0" w:type="dxa"/>
          <w:bottom w:w="0" w:type="dxa"/>
          <w:right w:w="0" w:type="dxa"/>
        </w:tblCellMar>
      </w:tblPr>
      <w:tr>
        <w:trPr>
          <w:trHeight w:val="160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this prospectus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offer to sell these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7"/>
              </w:rPr>
              <w:t>permitted.</w:t>
            </w:r>
          </w:p>
        </w:tc>
      </w:tr>
      <w:tr>
        <w:trPr>
          <w:trHeight w:val="737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The information in this prospectus is not complete and may be changed. Securities may not be sold pursuant to</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registration statement filed with the Securities and Exchange Commission is effective. This prospectus is not an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w w:val="98"/>
              </w:rPr>
              <w:t>securities, and it is not soliciting an offer to buy these securities in any jurisdiction where the offer or sale is not</w:t>
            </w: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FF4338"/>
        </w:rPr>
        <w:t>Subject to completion, dated March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-235585</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131445</wp:posOffset>
            </wp:positionV>
            <wp:extent cx="2515235" cy="466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51523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33"/>
          <w:szCs w:val="33"/>
          <w:b w:val="1"/>
          <w:bCs w:val="1"/>
          <w:color w:val="auto"/>
        </w:rPr>
        <w:t>Westlake Chemical Partners LP</w:t>
      </w:r>
    </w:p>
    <w:p>
      <w:pPr>
        <w:spacing w:after="0" w:line="18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1,401,869 Common Units Representing Limited Partner Interests</w:t>
      </w:r>
    </w:p>
    <w:p>
      <w:pPr>
        <w:spacing w:after="0" w:line="3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9"/>
          <w:szCs w:val="19"/>
          <w:b w:val="1"/>
          <w:bCs w:val="1"/>
          <w:color w:val="auto"/>
        </w:rPr>
        <w:t>Offered by the Selling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173990</wp:posOffset>
            </wp:positionV>
            <wp:extent cx="9525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079" w:firstLine="284"/>
        <w:spacing w:after="0" w:line="259" w:lineRule="auto"/>
        <w:rPr>
          <w:sz w:val="20"/>
          <w:szCs w:val="20"/>
          <w:color w:val="auto"/>
        </w:rPr>
      </w:pPr>
      <w:r>
        <w:rPr>
          <w:rFonts w:ascii="Times New Roman" w:cs="Times New Roman" w:eastAsia="Times New Roman" w:hAnsi="Times New Roman"/>
          <w:sz w:val="14"/>
          <w:szCs w:val="14"/>
          <w:color w:val="auto"/>
        </w:rPr>
        <w:t>The common units representing limited partner interests in Westlake Chemical Partners LP (“common units”) may be offered from time to time, in one or more offerings, by the selling unitholder named in this prospectus. We will not receive any proceeds from the sale of these common units by the selling unitholder.</w:t>
      </w:r>
    </w:p>
    <w:p>
      <w:pPr>
        <w:spacing w:after="0" w:line="141" w:lineRule="exact"/>
        <w:rPr>
          <w:sz w:val="20"/>
          <w:szCs w:val="20"/>
          <w:color w:val="auto"/>
        </w:rPr>
      </w:pPr>
    </w:p>
    <w:p>
      <w:pPr>
        <w:ind w:right="1039" w:firstLine="284"/>
        <w:spacing w:after="0" w:line="253" w:lineRule="auto"/>
        <w:rPr>
          <w:sz w:val="20"/>
          <w:szCs w:val="20"/>
          <w:color w:val="auto"/>
        </w:rPr>
      </w:pPr>
      <w:r>
        <w:rPr>
          <w:rFonts w:ascii="Times New Roman" w:cs="Times New Roman" w:eastAsia="Times New Roman" w:hAnsi="Times New Roman"/>
          <w:sz w:val="14"/>
          <w:szCs w:val="14"/>
          <w:color w:val="auto"/>
        </w:rPr>
        <w:t>The selling unitholder may offer and sell these common units to or through one or more underwriters, dealers or agents, or directly to investors, in amounts, at prices and on terms to be determined by market conditions and other factors at the time of the offering. This prospectus provides you with only a general description of these common units and the manner in which the selling unitholder will offer these common units. Any prospectus supplement may also add, update or change information contained in this prospectus.</w:t>
      </w:r>
    </w:p>
    <w:p>
      <w:pPr>
        <w:spacing w:after="0" w:line="144" w:lineRule="exact"/>
        <w:rPr>
          <w:sz w:val="20"/>
          <w:szCs w:val="20"/>
          <w:color w:val="auto"/>
        </w:rPr>
      </w:pPr>
    </w:p>
    <w:p>
      <w:pPr>
        <w:ind w:right="979" w:firstLine="284"/>
        <w:spacing w:after="0" w:line="253" w:lineRule="auto"/>
        <w:rPr>
          <w:sz w:val="20"/>
          <w:szCs w:val="20"/>
          <w:color w:val="auto"/>
        </w:rPr>
      </w:pPr>
      <w:r>
        <w:rPr>
          <w:rFonts w:ascii="Times New Roman" w:cs="Times New Roman" w:eastAsia="Times New Roman" w:hAnsi="Times New Roman"/>
          <w:sz w:val="14"/>
          <w:szCs w:val="14"/>
          <w:color w:val="auto"/>
        </w:rPr>
        <w:t>You should read this prospectus and any applicable prospectus supplement and the documents incorporated by reference herein or therein carefully before you invest in our common units. You should also read the documents we have referred you to in the “Where You Can Find More Information” section of this prospectus for information about us, including our financial statements. This prospectus may not be used to consummate sales of our common units unless it is accompanied by a prospectus supplement.</w:t>
      </w:r>
    </w:p>
    <w:p>
      <w:pPr>
        <w:spacing w:after="0" w:line="144" w:lineRule="exact"/>
        <w:rPr>
          <w:sz w:val="20"/>
          <w:szCs w:val="20"/>
          <w:color w:val="auto"/>
        </w:rPr>
      </w:pPr>
    </w:p>
    <w:p>
      <w:pPr>
        <w:ind w:right="979" w:firstLine="284"/>
        <w:spacing w:after="0" w:line="273" w:lineRule="auto"/>
        <w:rPr>
          <w:sz w:val="20"/>
          <w:szCs w:val="20"/>
          <w:color w:val="auto"/>
        </w:rPr>
      </w:pPr>
      <w:r>
        <w:rPr>
          <w:rFonts w:ascii="Times New Roman" w:cs="Times New Roman" w:eastAsia="Times New Roman" w:hAnsi="Times New Roman"/>
          <w:sz w:val="14"/>
          <w:szCs w:val="14"/>
          <w:color w:val="auto"/>
        </w:rPr>
        <w:t>Our common units are listed on the New York Stock Exchange (the “NYSE”) under the symbol “WLKP.” The last reported sales price of our common units on the NYSE on March 3, 2026 was $22.01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156210</wp:posOffset>
            </wp:positionV>
            <wp:extent cx="9525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377" w:lineRule="exact"/>
        <w:rPr>
          <w:sz w:val="20"/>
          <w:szCs w:val="20"/>
          <w:color w:val="auto"/>
        </w:rPr>
      </w:pPr>
    </w:p>
    <w:p>
      <w:pPr>
        <w:ind w:right="1099" w:firstLine="284"/>
        <w:spacing w:after="0" w:line="265" w:lineRule="auto"/>
        <w:rPr>
          <w:sz w:val="20"/>
          <w:szCs w:val="20"/>
          <w:color w:val="auto"/>
        </w:rPr>
      </w:pPr>
      <w:r>
        <w:rPr>
          <w:rFonts w:ascii="Times New Roman" w:cs="Times New Roman" w:eastAsia="Times New Roman" w:hAnsi="Times New Roman"/>
          <w:sz w:val="16"/>
          <w:szCs w:val="16"/>
          <w:b w:val="1"/>
          <w:bCs w:val="1"/>
          <w:color w:val="auto"/>
        </w:rPr>
        <w:t>Investing in our common units involves a high degree of risk. You should carefully consider the risks relating to investing in our common units and each of the other risk factors described under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2 of this prospectus before you make an investment in our common units.</w:t>
      </w:r>
    </w:p>
    <w:p>
      <w:pPr>
        <w:spacing w:after="0" w:line="122" w:lineRule="exact"/>
        <w:rPr>
          <w:sz w:val="20"/>
          <w:szCs w:val="20"/>
          <w:color w:val="auto"/>
        </w:rPr>
      </w:pPr>
    </w:p>
    <w:p>
      <w:pPr>
        <w:ind w:right="1039" w:firstLine="284"/>
        <w:spacing w:after="0" w:line="26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168275</wp:posOffset>
            </wp:positionV>
            <wp:extent cx="9525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952500" cy="63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720" w:space="220"/>
            <w:col w:w="8079"/>
          </w:cols>
          <w:pgMar w:left="1440" w:top="254" w:right="1440" w:bottom="1440" w:gutter="0" w:footer="0" w:header="0"/>
        </w:sectPr>
      </w:pPr>
    </w:p>
    <w:bookmarkStart w:id="47" w:name="page48"/>
    <w:bookmarkEnd w:id="47"/>
    <w:tbl>
      <w:tblPr>
        <w:tblLayout w:type="fixed"/>
        <w:tblInd w:w="28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40" w:type="dxa"/>
            <w:vAlign w:val="bottom"/>
          </w:tcPr>
          <w:p>
            <w:pPr>
              <w:jc w:val="right"/>
              <w:ind w:right="3371"/>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r>
      <w:tr>
        <w:trPr>
          <w:trHeight w:val="403"/>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28"/>
        </w:trPr>
        <w:tc>
          <w:tcPr>
            <w:tcW w:w="2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1260" w:type="dxa"/>
            <w:vAlign w:val="bottom"/>
            <w:gridSpan w:val="2"/>
          </w:tcPr>
          <w:p>
            <w:pPr>
              <w:spacing w:after="0"/>
              <w:rPr>
                <w:sz w:val="19"/>
                <w:szCs w:val="19"/>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iii</w:t>
            </w:r>
          </w:p>
        </w:tc>
      </w:tr>
      <w:tr>
        <w:trPr>
          <w:trHeight w:val="228"/>
        </w:trPr>
        <w:tc>
          <w:tcPr>
            <w:tcW w:w="3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7"/>
              </w:rPr>
              <w:t>Cautionary Statement Regarding Forward-Looking Statements</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iv</w:t>
            </w:r>
          </w:p>
        </w:tc>
      </w:tr>
      <w:tr>
        <w:trPr>
          <w:trHeight w:val="228"/>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Who We Are</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8"/>
        </w:trPr>
        <w:tc>
          <w:tcPr>
            <w:tcW w:w="7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9"/>
                <w:szCs w:val="19"/>
                <w:color w:val="auto"/>
              </w:rPr>
            </w:pPr>
          </w:p>
        </w:tc>
        <w:tc>
          <w:tcPr>
            <w:tcW w:w="2740" w:type="dxa"/>
            <w:vAlign w:val="bottom"/>
            <w:gridSpan w:val="10"/>
          </w:tcPr>
          <w:p>
            <w:pPr>
              <w:spacing w:after="0"/>
              <w:rPr>
                <w:sz w:val="19"/>
                <w:szCs w:val="19"/>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8"/>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28"/>
        </w:trPr>
        <w:tc>
          <w:tcPr>
            <w:tcW w:w="16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7"/>
              </w:rPr>
              <w:t>Description of Common Units</w:t>
            </w:r>
          </w:p>
        </w:tc>
        <w:tc>
          <w:tcPr>
            <w:tcW w:w="1780" w:type="dxa"/>
            <w:vAlign w:val="bottom"/>
            <w:gridSpan w:val="4"/>
          </w:tcPr>
          <w:p>
            <w:pPr>
              <w:spacing w:after="0"/>
              <w:rPr>
                <w:sz w:val="19"/>
                <w:szCs w:val="19"/>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8"/>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8"/>
        </w:trPr>
        <w:tc>
          <w:tcPr>
            <w:tcW w:w="27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Certain ERISA Considerations</w:t>
            </w:r>
          </w:p>
        </w:tc>
        <w:tc>
          <w:tcPr>
            <w:tcW w:w="760" w:type="dxa"/>
            <w:vAlign w:val="bottom"/>
          </w:tcPr>
          <w:p>
            <w:pPr>
              <w:spacing w:after="0"/>
              <w:rPr>
                <w:sz w:val="19"/>
                <w:szCs w:val="19"/>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8"/>
        </w:trPr>
        <w:tc>
          <w:tcPr>
            <w:tcW w:w="11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600" w:type="dxa"/>
            <w:vAlign w:val="bottom"/>
            <w:tcBorders>
              <w:top w:val="single" w:sz="8" w:color="0000EE"/>
            </w:tcBorders>
            <w:gridSpan w:val="3"/>
          </w:tcPr>
          <w:p>
            <w:pPr>
              <w:spacing w:after="0"/>
              <w:rPr>
                <w:sz w:val="19"/>
                <w:szCs w:val="19"/>
                <w:color w:val="auto"/>
              </w:rPr>
            </w:pPr>
          </w:p>
        </w:tc>
        <w:tc>
          <w:tcPr>
            <w:tcW w:w="1760" w:type="dxa"/>
            <w:vAlign w:val="bottom"/>
            <w:gridSpan w:val="3"/>
          </w:tcPr>
          <w:p>
            <w:pPr>
              <w:spacing w:after="0"/>
              <w:rPr>
                <w:sz w:val="19"/>
                <w:szCs w:val="19"/>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28"/>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Selling Unitholder</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8"/>
        </w:trPr>
        <w:tc>
          <w:tcPr>
            <w:tcW w:w="7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Legal Matters</w:t>
            </w:r>
          </w:p>
        </w:tc>
        <w:tc>
          <w:tcPr>
            <w:tcW w:w="240" w:type="dxa"/>
            <w:vAlign w:val="bottom"/>
            <w:tcBorders>
              <w:top w:val="single" w:sz="8" w:color="0000EE"/>
            </w:tcBorders>
            <w:gridSpan w:val="2"/>
          </w:tcPr>
          <w:p>
            <w:pPr>
              <w:spacing w:after="0"/>
              <w:rPr>
                <w:sz w:val="19"/>
                <w:szCs w:val="19"/>
                <w:color w:val="auto"/>
              </w:rPr>
            </w:pPr>
          </w:p>
        </w:tc>
        <w:tc>
          <w:tcPr>
            <w:tcW w:w="2440" w:type="dxa"/>
            <w:vAlign w:val="bottom"/>
            <w:gridSpan w:val="7"/>
          </w:tcPr>
          <w:p>
            <w:pPr>
              <w:spacing w:after="0"/>
              <w:rPr>
                <w:sz w:val="19"/>
                <w:szCs w:val="19"/>
                <w:color w:val="auto"/>
              </w:rPr>
            </w:pP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8"/>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color w:val="0000EE"/>
              </w:rPr>
              <w:t>Experts</w:t>
            </w:r>
          </w:p>
        </w:tc>
        <w:tc>
          <w:tcPr>
            <w:tcW w:w="4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ind w:left="280" w:right="299" w:firstLine="337"/>
        <w:spacing w:after="0" w:line="253" w:lineRule="auto"/>
        <w:rPr>
          <w:sz w:val="20"/>
          <w:szCs w:val="20"/>
          <w:color w:val="auto"/>
        </w:rPr>
      </w:pPr>
      <w:r>
        <w:rPr>
          <w:rFonts w:ascii="Times New Roman" w:cs="Times New Roman" w:eastAsia="Times New Roman" w:hAnsi="Times New Roman"/>
          <w:sz w:val="14"/>
          <w:szCs w:val="14"/>
          <w:b w:val="1"/>
          <w:bCs w:val="1"/>
          <w:color w:val="auto"/>
        </w:rPr>
        <w:t>In making your investment decision, you should rely only on the information contained in this prospectus, any prospectus supplement and the documents we have incorporated by reference in this prospectus. We have not authorized anyone else to give you different information. We are not offering the securities in any state where the offer is not permitted. You should not assume that the information in this prospectus or any prospectus supplement is accurate as of any date other than the date on the front of such documents. We will disclose any material changes in our affairs in an amendment to this prospectus, a prospectus supplement or a future filing with the SEC incorporated by reference in this prospectus</w:t>
      </w:r>
      <w:r>
        <w:rPr>
          <w:rFonts w:ascii="Times New Roman" w:cs="Times New Roman" w:eastAsia="Times New Roman" w:hAnsi="Times New Roman"/>
          <w:sz w:val="14"/>
          <w:szCs w:val="14"/>
          <w:color w:val="auto"/>
        </w:rPr>
        <w: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6"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ABOUT THIS PROSPECTUS</w:t>
      </w:r>
    </w:p>
    <w:p>
      <w:pPr>
        <w:spacing w:after="0" w:line="174"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using a “shelf” registration process. Under this shelf registration process, the selling unitholder may from time to time offer and sell up to 1,401,869 of our common units. This prospectus provides you with a general description of the common units that are registered hereunder that may be offered by the selling unitholder. More specific terms of any common units that the selling unitholder offer may be provided in a prospectus supplement that describes, among other things, the specific amounts and prices of the securities being offered and the terms of the offering. A prospectus supplement may also add to, update or change information in this prospectus. Before you invest in our common units, you should carefully read this prospectus, any prospectus supplement, the additional information described under “Where You Can Find More Information,” and any additional information that you may need to make your investment decision.</w:t>
      </w:r>
    </w:p>
    <w:p>
      <w:pPr>
        <w:spacing w:after="0" w:line="145"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Neither we, nor the selling unitholder,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unitholder take no responsibility for, and can provide no assurance as to the reliability of, any other information that others may give you. We and the selling unitholder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1" w:lineRule="exact"/>
        <w:rPr>
          <w:sz w:val="20"/>
          <w:szCs w:val="20"/>
          <w:color w:val="auto"/>
        </w:rPr>
      </w:pPr>
    </w:p>
    <w:p>
      <w:pPr>
        <w:ind w:left="280" w:right="479" w:firstLine="337"/>
        <w:spacing w:after="0" w:line="253" w:lineRule="auto"/>
        <w:rPr>
          <w:sz w:val="20"/>
          <w:szCs w:val="20"/>
          <w:color w:val="auto"/>
        </w:rPr>
      </w:pPr>
      <w:r>
        <w:rPr>
          <w:rFonts w:ascii="Times New Roman" w:cs="Times New Roman" w:eastAsia="Times New Roman" w:hAnsi="Times New Roman"/>
          <w:sz w:val="14"/>
          <w:szCs w:val="14"/>
          <w:color w:val="auto"/>
        </w:rPr>
        <w:t>Unless the context otherwise requires, references in this prospectus to the “Partnership,” “we” “our,” “us” or like terms refer to “Westlake Chemical Partners LP” and, unless otherwise specified, Westlake Chemical OpCo LP and Westlake Chemical OpCo GP LLC. References in this prospectus to our “general partner” refer to Westlake Chemical Partners GP LLC. References to “OpCo” refer to Westlake Chemical OpCo LP and its subsidiaries. References to “Westlake” refer collectively to Westlake Corporation and its consolidated subsidiaries, other than us, our general partner, OpCo and its subsidiaries, and Westlake Chemical OpCo GP LLC, OpCo’s general partner.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7"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WHERE YOU CAN FIND MORE INFORMATION</w:t>
      </w:r>
    </w:p>
    <w:p>
      <w:pPr>
        <w:spacing w:after="0" w:line="174" w:lineRule="exact"/>
        <w:rPr>
          <w:sz w:val="20"/>
          <w:szCs w:val="20"/>
          <w:color w:val="auto"/>
        </w:rPr>
      </w:pPr>
    </w:p>
    <w:p>
      <w:pPr>
        <w:ind w:left="280" w:right="379" w:firstLine="337"/>
        <w:spacing w:after="0" w:line="253" w:lineRule="auto"/>
        <w:rPr>
          <w:sz w:val="20"/>
          <w:szCs w:val="20"/>
          <w:color w:val="auto"/>
        </w:rPr>
      </w:pPr>
      <w:r>
        <w:rPr>
          <w:rFonts w:ascii="Times New Roman" w:cs="Times New Roman" w:eastAsia="Times New Roman" w:hAnsi="Times New Roman"/>
          <w:sz w:val="14"/>
          <w:szCs w:val="14"/>
          <w:color w:val="auto"/>
        </w:rPr>
        <w:t xml:space="preserve">We file annual, quarterly and other reports and other information with the SEC. Our filings with the SEC are available at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which contains reports, proxy and information statements, and other information regarding issuers that file electronically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SEC. You can also obtain information about us at the offices of the New York Stock Exchange, 20 Broad Street, New York, New York 10005, or on our website at </w:t>
      </w:r>
      <w:r>
        <w:rPr>
          <w:rFonts w:ascii="Times New Roman" w:cs="Times New Roman" w:eastAsia="Times New Roman" w:hAnsi="Times New Roman"/>
          <w:sz w:val="14"/>
          <w:szCs w:val="14"/>
          <w:i w:val="1"/>
          <w:iCs w:val="1"/>
          <w:color w:val="auto"/>
        </w:rPr>
        <w:t>http://www.wlkpartners.com</w:t>
      </w:r>
      <w:r>
        <w:rPr>
          <w:rFonts w:ascii="Times New Roman" w:cs="Times New Roman" w:eastAsia="Times New Roman" w:hAnsi="Times New Roman"/>
          <w:sz w:val="14"/>
          <w:szCs w:val="14"/>
          <w:color w:val="auto"/>
        </w:rPr>
        <w:t>. Information on our website or any other website is not incorporated by reference into this prospectus and does not constitute a part of this prospectus unless specifically so designated and filed with the SEC.</w:t>
      </w:r>
    </w:p>
    <w:p>
      <w:pPr>
        <w:spacing w:after="0" w:line="144" w:lineRule="exact"/>
        <w:rPr>
          <w:sz w:val="20"/>
          <w:szCs w:val="20"/>
          <w:color w:val="auto"/>
        </w:rPr>
      </w:pPr>
    </w:p>
    <w:p>
      <w:pPr>
        <w:ind w:left="280" w:right="419" w:firstLine="337"/>
        <w:spacing w:after="0" w:line="253" w:lineRule="auto"/>
        <w:rPr>
          <w:sz w:val="20"/>
          <w:szCs w:val="20"/>
          <w:color w:val="auto"/>
        </w:rPr>
      </w:pPr>
      <w:r>
        <w:rPr>
          <w:rFonts w:ascii="Times New Roman" w:cs="Times New Roman" w:eastAsia="Times New Roman" w:hAnsi="Times New Roman"/>
          <w:sz w:val="14"/>
          <w:szCs w:val="14"/>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that we file later with the SEC will automatically supersede this information. You should not assume that the information in this prospectus is current as of any date other than the date on the front page of this prospectus.</w:t>
      </w:r>
    </w:p>
    <w:p>
      <w:pPr>
        <w:spacing w:after="0" w:line="144"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We incorporate by reference the documents listed below and any future filings we make with the SEC under Sections 13(a), 13(c), 14 or 15(d) of the Securities Exchange Act of 1934, as amended (the “Exchange Act”) (excluding any information furnished and not filed with the SEC), including all such documents that we may file with the SEC after the date on which the registration statement that includes this prospectus was initially filed with the SEC and prior to the effectiveness of this registration statement, are incorporated by reference in this prospectus until the termination of all offerings under this registration statement:</w:t>
      </w:r>
    </w:p>
    <w:p>
      <w:pPr>
        <w:spacing w:after="0" w:line="72" w:lineRule="exact"/>
        <w:rPr>
          <w:sz w:val="20"/>
          <w:szCs w:val="20"/>
          <w:color w:val="auto"/>
        </w:rPr>
      </w:pPr>
    </w:p>
    <w:p>
      <w:pPr>
        <w:ind w:left="1020" w:hanging="32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March 4, 2026;</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31">
        <w:r>
          <w:rPr>
            <w:rFonts w:ascii="Times New Roman" w:cs="Times New Roman" w:eastAsia="Times New Roman" w:hAnsi="Times New Roman"/>
            <w:sz w:val="14"/>
            <w:szCs w:val="14"/>
            <w:u w:val="single" w:color="auto"/>
            <w:color w:val="0000EE"/>
          </w:rPr>
          <w:t>Form 8-K</w:t>
        </w:r>
      </w:hyperlink>
      <w:r>
        <w:rPr>
          <w:rFonts w:ascii="Times New Roman" w:cs="Times New Roman" w:eastAsia="Times New Roman" w:hAnsi="Times New Roman"/>
          <w:sz w:val="14"/>
          <w:szCs w:val="14"/>
          <w:color w:val="auto"/>
        </w:rPr>
        <w:t>, filed with the SEC on February 23, 2026; and</w:t>
      </w:r>
    </w:p>
    <w:p>
      <w:pPr>
        <w:spacing w:after="0" w:line="97" w:lineRule="exact"/>
        <w:rPr>
          <w:rFonts w:ascii="Times New Roman" w:cs="Times New Roman" w:eastAsia="Times New Roman" w:hAnsi="Times New Roman"/>
          <w:sz w:val="14"/>
          <w:szCs w:val="14"/>
          <w:color w:val="auto"/>
        </w:rPr>
      </w:pPr>
    </w:p>
    <w:p>
      <w:pPr>
        <w:ind w:left="1020" w:right="399" w:hanging="322"/>
        <w:spacing w:after="0" w:line="259" w:lineRule="auto"/>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units in our Registration Statement on </w:t>
      </w:r>
      <w:hyperlink r:id="rId89">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(Registration No. 001-36567) filed on July 24, 2014, and any amendment or report filed with the SEC for the purpose of updating the description, including </w:t>
      </w:r>
      <w:hyperlink r:id="rId33">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the Company’s Annual Report on Form 10-K for the fiscal year ended December 31, 2019, filed with the SEC on February 28, 2020.</w:t>
      </w:r>
    </w:p>
    <w:p>
      <w:pPr>
        <w:spacing w:after="0" w:line="141" w:lineRule="exact"/>
        <w:rPr>
          <w:rFonts w:ascii="Times New Roman" w:cs="Times New Roman" w:eastAsia="Times New Roman" w:hAnsi="Times New Roman"/>
          <w:sz w:val="14"/>
          <w:szCs w:val="1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You may request a copy of any document incorporated by reference to this prospectus, at no cost, by writing or calling us at the following:</w:t>
      </w:r>
    </w:p>
    <w:p>
      <w:pPr>
        <w:spacing w:after="0" w:line="8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Westlake Chemical Partners LP</w:t>
      </w:r>
    </w:p>
    <w:p>
      <w:pPr>
        <w:spacing w:after="0" w:line="2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2801 Post Oak Boulevard, Suite 600</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Houston, Texas 77056</w:t>
      </w:r>
    </w:p>
    <w:p>
      <w:pPr>
        <w:spacing w:after="0" w:line="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(713) 585-2900</w:t>
      </w:r>
    </w:p>
    <w:p>
      <w:pPr>
        <w:spacing w:after="0" w:line="157" w:lineRule="exact"/>
        <w:rPr>
          <w:rFonts w:ascii="Times New Roman" w:cs="Times New Roman" w:eastAsia="Times New Roman" w:hAnsi="Times New Roman"/>
          <w:sz w:val="14"/>
          <w:szCs w:val="14"/>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78"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36"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CAUTIONARY STATEMENT REGARDING FORWARD-LOOKING STATEMENTS</w:t>
      </w:r>
    </w:p>
    <w:p>
      <w:pPr>
        <w:spacing w:after="0" w:line="174"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Certain of the statements included in or incorporated by reference into this prospectus or any accompanying prospectus supplement are forward-looking statements. All such statements, other than statements of historical facts, that address activities, events or developments that we expect, project, believe or anticipate will or may occur in the future are forward-looking statements, including, without limitation, statements regarding our plans, strategies, prospects and expectations concerning our business, results of operations and financial conditions. Forward-looking statements can be identified by the use of words such as “believes,” “intends,” “may,” “should,” “could,” “anticipates,” “expects,” “will” or comparable terminology, or by discussions of strategies or trends. These forward-looking statements are based on our current expectations and beliefs concerning future developments and their potential effect on us. Although we believe that the expectations reflected in such forward-looking statements are reasonable, we cannot give any assurances that these expectations will prove to be correct. All comments concerning our expectations for future revenues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Known material factors that could cause our actual results to differ from those in these forward-looking statements are described below and in “Risk Factors” in this prospectus or any prospectus supplement. Forward-looking statements relate to matters such as:</w:t>
      </w:r>
    </w:p>
    <w:p>
      <w:pPr>
        <w:spacing w:after="0" w:line="82" w:lineRule="exact"/>
        <w:rPr>
          <w:sz w:val="20"/>
          <w:szCs w:val="20"/>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ultimate timing, outcome and results of our strategies and plans;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ethane that we are able to process, which could be adversely affected by, among other things, operating difficulties;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ethylene that we are able to sell;</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we are able to sell ethylene;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market outlook, including prices and margins in third-party ethylene and co-products sales;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widespread outbreak of an illness or any other communicable disease, or any other public health crisis;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ongoing supply chain constraints caused by the conflicts in the Middle East and between Russia and Ukraine;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to whom we will sell ethylene and on what basis;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of ethylene that Westlake may purchase, in addition to the minimum commitment under the Ethylene Sales Agreement;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funding and results of capital expenditures;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intended quarterly distributions and the manner of making such distributions;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liquidity needs;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and amount of capital expenditures;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At-the-Market program and the use of any net proceeds from any sales under that program;</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and OpCo’s ability to extend our credit agreements with Westlake;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loans from Westlake to OpCo to fund OpCo’s expansion capital expenditures in the future;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mitigation of exposure to commodity price fluctuations;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turnaround activities and the variability of OpCo’s cash flow;</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any Buyer Deficiency Fee and Shortfall under the Ethylene Sales Agreement;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37" w:right="1440" w:bottom="1440" w:gutter="0" w:footer="0" w:header="0"/>
        </w:sectPr>
      </w:pPr>
    </w:p>
    <w:bookmarkStart w:id="51" w:name="page52"/>
    <w:bookmarkEnd w:id="51"/>
    <w:p>
      <w:pPr>
        <w:ind w:left="1020" w:right="319" w:hanging="322"/>
        <w:spacing w:after="0" w:line="259"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8"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receive indemnification from Westlake for environmental and other losses;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pending legal proceedings; and</w:t>
      </w:r>
    </w:p>
    <w:p>
      <w:pPr>
        <w:spacing w:after="0" w:line="97" w:lineRule="exact"/>
        <w:rPr>
          <w:rFonts w:ascii="Times New Roman" w:cs="Times New Roman" w:eastAsia="Times New Roman" w:hAnsi="Times New Roman"/>
          <w:sz w:val="14"/>
          <w:szCs w:val="14"/>
          <w:color w:val="auto"/>
        </w:rPr>
      </w:pPr>
    </w:p>
    <w:p>
      <w:pPr>
        <w:jc w:val="both"/>
        <w:ind w:left="1020" w:right="579" w:hanging="322"/>
        <w:spacing w:after="0" w:line="259"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below, in “Risk Factors” and in “Management’s Discussion and Analysis of Financial Condition and Results of Operations” included in our most recent annual report on Form 10-K and our quarterly reports on Form 10-Q that are incorporated by reference herein and in our current reports on Form 8-K that are incorporated by reference herein.</w:t>
      </w:r>
    </w:p>
    <w:p>
      <w:pPr>
        <w:spacing w:after="0" w:line="141" w:lineRule="exact"/>
        <w:rPr>
          <w:sz w:val="20"/>
          <w:szCs w:val="20"/>
          <w:color w:val="auto"/>
        </w:rPr>
      </w:pPr>
    </w:p>
    <w:p>
      <w:pPr>
        <w:ind w:left="280" w:right="339" w:firstLine="337"/>
        <w:spacing w:after="0" w:line="249" w:lineRule="auto"/>
        <w:rPr>
          <w:sz w:val="20"/>
          <w:szCs w:val="20"/>
          <w:color w:val="auto"/>
        </w:rPr>
      </w:pPr>
      <w:r>
        <w:rPr>
          <w:rFonts w:ascii="Times New Roman" w:cs="Times New Roman" w:eastAsia="Times New Roman" w:hAnsi="Times New Roman"/>
          <w:sz w:val="14"/>
          <w:szCs w:val="14"/>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Forward-looking statements speak only as of the date of this prospectus or, in the case of forward-looking statements contained in any document incorporated by reference, the date of such document, and, except as required by applicable law, we expressly disclaim any obligation or undertaking to update these statements after the date they are made to reflect any change in our expectations or beliefs, any change in events, conditions or circumstances on which any forward-looking statement is based or otherwise. All forward-looking statements included in this prospectus, any prospectus supplement and the documents we incorporate by reference herein and therein are expressly qualified in their entirety by these cautionary statements.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24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WHO WE ARE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 are a Delaware limited partnership formed by Westlake to operate, acquire and develop ethylene production facilities and related assets.</w:t>
      </w:r>
    </w:p>
    <w:p>
      <w:pPr>
        <w:spacing w:after="0" w:line="170" w:lineRule="exact"/>
        <w:rPr>
          <w:sz w:val="20"/>
          <w:szCs w:val="20"/>
          <w:color w:val="auto"/>
        </w:rPr>
      </w:pPr>
    </w:p>
    <w:p>
      <w:pPr>
        <w:ind w:left="280" w:right="359" w:firstLine="337"/>
        <w:spacing w:after="0" w:line="275" w:lineRule="auto"/>
        <w:rPr>
          <w:sz w:val="20"/>
          <w:szCs w:val="20"/>
          <w:color w:val="auto"/>
        </w:rPr>
      </w:pPr>
      <w:r>
        <w:rPr>
          <w:rFonts w:ascii="Times New Roman" w:cs="Times New Roman" w:eastAsia="Times New Roman" w:hAnsi="Times New Roman"/>
          <w:sz w:val="13"/>
          <w:szCs w:val="13"/>
          <w:color w:val="auto"/>
        </w:rPr>
        <w:t>Currently, our sole revenue generating asset is our 22.8% limited partner interest in OpCo, a limited partnership formed by Westlake and us in anticipation of our initial public offering in August 2014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at Westlake’s Lake Charles, Louisiana site, (2) one ethylene production facility at Westlake’s Calvert City, Kentucky site; and (3) a 200-mile common carrier ethylene pipeline that runs from Mont Belvieu, Texas to Westlake’s Longview, Texas facility.</w:t>
      </w:r>
    </w:p>
    <w:p>
      <w:pPr>
        <w:spacing w:after="0" w:line="131" w:lineRule="exact"/>
        <w:rPr>
          <w:sz w:val="20"/>
          <w:szCs w:val="20"/>
          <w:color w:val="auto"/>
        </w:rPr>
      </w:pPr>
    </w:p>
    <w:p>
      <w:pPr>
        <w:ind w:left="280" w:right="599" w:firstLine="337"/>
        <w:spacing w:after="0" w:line="273" w:lineRule="auto"/>
        <w:rPr>
          <w:sz w:val="20"/>
          <w:szCs w:val="20"/>
          <w:color w:val="auto"/>
        </w:rPr>
      </w:pPr>
      <w:r>
        <w:rPr>
          <w:rFonts w:ascii="Times New Roman" w:cs="Times New Roman" w:eastAsia="Times New Roman" w:hAnsi="Times New Roman"/>
          <w:sz w:val="14"/>
          <w:szCs w:val="14"/>
          <w:color w:val="auto"/>
        </w:rPr>
        <w:t>Our principal executive offices are located at 2801 Post Oak Boulevard, Suite 600, Houston, Texas 77056, and our telephone number is (713) 585-2900.</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6"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RISK FACTORS</w:t>
      </w:r>
    </w:p>
    <w:p>
      <w:pPr>
        <w:spacing w:after="0" w:line="174" w:lineRule="exact"/>
        <w:rPr>
          <w:sz w:val="20"/>
          <w:szCs w:val="20"/>
          <w:color w:val="auto"/>
        </w:rPr>
      </w:pPr>
    </w:p>
    <w:p>
      <w:pPr>
        <w:ind w:left="280" w:right="319" w:firstLine="337"/>
        <w:spacing w:after="0" w:line="249" w:lineRule="auto"/>
        <w:rPr>
          <w:sz w:val="20"/>
          <w:szCs w:val="20"/>
          <w:color w:val="auto"/>
        </w:rPr>
      </w:pPr>
      <w:r>
        <w:rPr>
          <w:rFonts w:ascii="Times New Roman" w:cs="Times New Roman" w:eastAsia="Times New Roman" w:hAnsi="Times New Roman"/>
          <w:sz w:val="14"/>
          <w:szCs w:val="14"/>
          <w:color w:val="auto"/>
        </w:rPr>
        <w:t>An investment in our common units involves a significant degree of risk. Before you invest in our common units, you should carefully consider the risk factors and all of the other information included in this prospectus and any prospectus supplement, and the documents we have incorporated by reference, including those in our most recent Annual Report on Form 10-K as updated by our quarterly and other reports and documents we file with the SEC after the date of this prospectus, in evaluating an investment in our common units. If any of these risks were actually to occur, our business, financial condition or results of operations could be materially adversely affected. In that case, our ability to make distributions to our unitholders may be reduced. When we offer and sell any common units pursuant to a prospectus supplement, we may include additional risk factors relevant to such common units in the prospectus supplement. There may be other unknown or unpredictable economic, business, competitive, regulatory or other factors that could have material adverse effects on our future results. Past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securities to decline, resulting in a loss of all or part of your investment. Also, please read “Cautionary Statement Regarding Forward-Looking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6"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USE OF PROCEEDS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We will not receive any of the proceeds from the sale of common units by the selling unitholder.</w:t>
      </w:r>
    </w:p>
    <w:p>
      <w:pPr>
        <w:spacing w:after="0" w:line="1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6"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DESCRIPTION OF COMMON UNITS</w:t>
      </w:r>
    </w:p>
    <w:p>
      <w:pPr>
        <w:spacing w:after="0" w:line="174" w:lineRule="exact"/>
        <w:rPr>
          <w:sz w:val="20"/>
          <w:szCs w:val="20"/>
          <w:color w:val="auto"/>
        </w:rPr>
      </w:pPr>
    </w:p>
    <w:p>
      <w:pPr>
        <w:ind w:left="280" w:right="439" w:firstLine="337"/>
        <w:spacing w:after="0" w:line="255" w:lineRule="auto"/>
        <w:rPr>
          <w:sz w:val="20"/>
          <w:szCs w:val="20"/>
          <w:color w:val="auto"/>
        </w:rPr>
      </w:pPr>
      <w:r>
        <w:rPr>
          <w:rFonts w:ascii="Times New Roman" w:cs="Times New Roman" w:eastAsia="Times New Roman" w:hAnsi="Times New Roman"/>
          <w:sz w:val="14"/>
          <w:szCs w:val="14"/>
          <w:color w:val="auto"/>
        </w:rPr>
        <w:t>Please see our registration statement on Form 8-A (File No. 001-36567) filed on July 24, 2014, and any amendment or report filed with the SEC for the purpose of updating the description, including Exhibit 4.1 of the Company’s Annual Report on Form 10-K for the fiscal year ended December 31, 2019, filed with the SEC on February 28, 2020, which is incorporated by reference herein, for a description of our common units, our cash distribution policy and our partnership agreement.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6"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MATERIAL U.S. FEDERAL INCOME TAX CONSEQUENCES</w:t>
      </w:r>
    </w:p>
    <w:p>
      <w:pPr>
        <w:spacing w:after="0" w:line="174"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This section is a summary of the material U.S. federal income tax consequences that may be relevant to prospective common unitholders who are individual citizens or residents of the United States and, unless otherwise noted in the following discussion, is the opinion of Latham &amp; Watkins LLP, counsel to our general partner and us, insofar as it relates to legal conclusions with respect to matters of U.S. federal income tax law. This section is based upon current provisions of the Internal Revenue Code, existing and proposed Treasury regulations promulgated under the Internal Revenue Code (the “Treasury Regulations”) and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Westlake Chemical Partners LP and our operating subsidiaries.</w:t>
      </w:r>
    </w:p>
    <w:p>
      <w:pPr>
        <w:spacing w:after="0" w:line="145"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The following discussion does not comment on all U.S. federal income tax matters affecting us or our common unitholders and does not describe the application of the alternative minimum tax that may be applicable to certain unitholders. Moreover, the discussion focuses on common unitholders who are individual citizens or residents of the United States and has only limited application to corporations, estates, entities treated as partnerships for U.S. federal income tax purposes, trusts, nonresident aliens, U.S. expatriates and former citizens or long-term residents of the United States or other unitholders subject to specialized tax treatment, such as banks, insurance companies and other financial institutions, tax-exempt institutions, foreign persons (including, without limitation, controlled foreign corporations, passive foreign investment companies and foreign persons eligible for the benefits of an applicable income tax treaty with the United States), individual retirement accounts (IRAs), real estate investment trusts (REITs) or mutual funds, dealers in securities or currencies, traders in securities, U.S. persons whose “functional currency” is not the U.S. dollar, persons holding their units as part of a “straddle,” “hedge,” “conversion transaction” or other risk reduction transaction, persons subject to special tax accounting rules as a result of any item of gross income with respect to our common units being taken into account in an applicable financial statement and persons deemed to sell their units under the constructive sale provisions of the Internal Revenue Code. In addition, the discussion only comments, to a limited extent, on state, local, and foreign tax consequences. Accordingly, we encourage each prospective common unitholder to consult his own tax advisor in analyzing the state, local and foreign tax consequences particular to him of the ownership or disposition of our common units and potential changes in applicable laws.</w:t>
      </w:r>
    </w:p>
    <w:p>
      <w:pPr>
        <w:spacing w:after="0" w:line="153" w:lineRule="exact"/>
        <w:rPr>
          <w:sz w:val="20"/>
          <w:szCs w:val="20"/>
          <w:color w:val="auto"/>
        </w:rPr>
      </w:pPr>
    </w:p>
    <w:p>
      <w:pPr>
        <w:ind w:left="280" w:right="359" w:firstLine="337"/>
        <w:spacing w:after="0" w:line="271" w:lineRule="auto"/>
        <w:rPr>
          <w:sz w:val="20"/>
          <w:szCs w:val="20"/>
          <w:color w:val="auto"/>
        </w:rPr>
      </w:pPr>
      <w:r>
        <w:rPr>
          <w:rFonts w:ascii="Times New Roman" w:cs="Times New Roman" w:eastAsia="Times New Roman" w:hAnsi="Times New Roman"/>
          <w:sz w:val="13"/>
          <w:szCs w:val="13"/>
          <w:color w:val="auto"/>
        </w:rPr>
        <w:t>We have requested and obtained a favorable private letter ruling from the Internal Revenue Services (the “IRS”) to the effect that the production, transportation, storage and marketing of ethylene and its co-products will constitute “qualifying income” within the meaning of Section 7704(d) of the Internal Revenue Code. However, no ruling has been requested from the IRS regarding our characterization as a partnership for tax purposes. Instead, we will rely on opinions of Latham &amp; Watkins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including the prices at which our common units trade. In addition, the costs of any contest with the IRS, principally legal, accounting and related fees, will result in a reduction in cash available for distribution to our unitholders and thus will be borne indirectly by our unitholders. Furthermore, the tax treatment of us, or of an investment in us, may be significantly modified by future legislative or administrative changes or court decisions. Any modifications may or may not be retroactively applied.</w:t>
      </w:r>
    </w:p>
    <w:p>
      <w:pPr>
        <w:spacing w:after="0" w:line="135" w:lineRule="exact"/>
        <w:rPr>
          <w:sz w:val="20"/>
          <w:szCs w:val="20"/>
          <w:color w:val="auto"/>
        </w:rPr>
      </w:pPr>
    </w:p>
    <w:p>
      <w:pPr>
        <w:ind w:left="280" w:right="459" w:firstLine="337"/>
        <w:spacing w:after="0" w:line="273" w:lineRule="auto"/>
        <w:rPr>
          <w:sz w:val="20"/>
          <w:szCs w:val="20"/>
          <w:color w:val="auto"/>
        </w:rPr>
      </w:pPr>
      <w:r>
        <w:rPr>
          <w:rFonts w:ascii="Times New Roman" w:cs="Times New Roman" w:eastAsia="Times New Roman" w:hAnsi="Times New Roman"/>
          <w:sz w:val="14"/>
          <w:szCs w:val="14"/>
          <w:color w:val="auto"/>
        </w:rPr>
        <w:t>All statements as to matters of U.S. federal income tax law and legal conclusions with respect thereto, but not as to factual matters, contained in this section, unless otherwise noted, are the opinion of Latham &amp; Watkins LLP and are based on the accuracy of the representations made by us.</w:t>
      </w:r>
    </w:p>
    <w:p>
      <w:pPr>
        <w:spacing w:after="0" w:line="130" w:lineRule="exact"/>
        <w:rPr>
          <w:sz w:val="20"/>
          <w:szCs w:val="20"/>
          <w:color w:val="auto"/>
        </w:rPr>
      </w:pPr>
    </w:p>
    <w:p>
      <w:pPr>
        <w:ind w:left="280" w:right="859" w:firstLine="337"/>
        <w:spacing w:after="0" w:line="273" w:lineRule="auto"/>
        <w:rPr>
          <w:sz w:val="20"/>
          <w:szCs w:val="20"/>
          <w:color w:val="auto"/>
        </w:rPr>
      </w:pPr>
      <w:r>
        <w:rPr>
          <w:rFonts w:ascii="Times New Roman" w:cs="Times New Roman" w:eastAsia="Times New Roman" w:hAnsi="Times New Roman"/>
          <w:sz w:val="14"/>
          <w:szCs w:val="14"/>
          <w:color w:val="auto"/>
        </w:rPr>
        <w:t>Notwithstanding the above, and for the reasons described below, Latham &amp; Watkins LLP has not rendered an opinion with respect to the following specific U.S. federal income tax issues: (i) the treatment of a unitholder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6" w:right="1440" w:bottom="1440" w:gutter="0" w:footer="0" w:header="0"/>
        </w:sectPr>
      </w:pPr>
    </w:p>
    <w:bookmarkStart w:id="57" w:name="page58"/>
    <w:bookmarkEnd w:id="57"/>
    <w:p>
      <w:pPr>
        <w:ind w:left="28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whose common units are loaned to a short seller to cover a short sale of common units (please read “—Tax Consequences of Unit Ownership— Treatment of Short Sales”); (ii) whether all aspects of our method for allocating taxable income and losses is permitted by existing Treasury Regulations (please read “—Disposition of Common Units—Allocations Between Transferors and Transferees”); (iii) whether our method for taking into account Section 743 adjustments is sustainable in certain cases (please read “—Tax Consequences of Unit Ownership—Section 754 Election” and “— Uniformity of Units”); and (iv) whether our use of simplifying conventions for making adjustments to “book” basis and relevant allocations is permitted by existing Treasury Regulations (please read “—Tax Consequences of Unit Ownership—Allocation of Income, Gain, Loss and Deduction” and “— Uniformity of Units”).</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Partnership Status</w:t>
      </w:r>
    </w:p>
    <w:p>
      <w:pPr>
        <w:spacing w:after="0" w:line="91"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A partnership is not a taxable entity and incurs no U.S.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the partner unless the amount of cash distributed to him is in excess of the partner’s adjusted basis in his partnership interest. Section 7704 of the Internal Revenue Code provides that publicly traded partnerships will, as a general rule, be taxed as corporations. However, an exception, referred to as the “Qualifying Income Exception,” exists with respect to publicly traded partnerships of which 90% or more of the gross income for every taxable year consists of “qualifying income.” Qualifying income includes income and gains derived from the exploration, development, mining or production, processing, refining, transportation and marketing of certain minerals and natural resources, including crude oil, natural gas and other products of a type that are produced in a petroleum refinery or natural gas processing plant, the retail and wholesale marketing of propane, the transportation of propane and natural gas liquids, certain related hedging activities, certain activities that are intrinsic to other qualifying activities, and our allocable share of our subsidiaries’ income from these sources. Other types of qualifying income include interest (other than from a financial business), dividends, real property rents, gains from the sale of real property and gains from the sale or other disposition of capital assets held for the production of income that otherwise constitutes qualifying income. We estimate that less than 1% of our current gross income is not qualifying income; however, this estimate could change from time to time. Based upon and subject to this estimate, the factual representations made by us and our general partner and a review of the applicable legal authorities, Latham &amp; Watkins LLP is of the opinion that at least 90% of our current gross income constitutes qualifying income. The portion of our income that is qualifying income may change from time to time.</w:t>
      </w:r>
    </w:p>
    <w:p>
      <w:pPr>
        <w:spacing w:after="0" w:line="15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We have requested and obtained a favorable private letter ruling from the IRS, which has been confirmed by the Treasury Regulations, to the effect that the production, transportation, storage and marketing of ethylene and its co-products will constitute “qualifying income” within the meaning of Section 7704(d) of the Code. However, the IRS has made no determination as to our status or the status of our operating subsidiaries for U.S. federal income tax purposes. Instead, we will rely on the opinion of Latham &amp; Watkins LLP on such matters. It is the opinion of Latham &amp; Watkins LLP that, based upon the Internal Revenue Code, the Treasury Regulations, published revenue rulings and court decisions and the representations described below that:</w:t>
      </w:r>
    </w:p>
    <w:p>
      <w:pPr>
        <w:spacing w:after="0" w:line="76" w:lineRule="exact"/>
        <w:rPr>
          <w:sz w:val="20"/>
          <w:szCs w:val="20"/>
          <w:color w:val="auto"/>
        </w:rPr>
      </w:pPr>
    </w:p>
    <w:p>
      <w:pPr>
        <w:ind w:left="1020" w:hanging="32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classified as a partnership for U.S. federal income tax purposes; and</w:t>
      </w:r>
    </w:p>
    <w:p>
      <w:pPr>
        <w:spacing w:after="0" w:line="97" w:lineRule="exact"/>
        <w:rPr>
          <w:rFonts w:ascii="Times New Roman" w:cs="Times New Roman" w:eastAsia="Times New Roman" w:hAnsi="Times New Roman"/>
          <w:sz w:val="14"/>
          <w:szCs w:val="14"/>
          <w:color w:val="auto"/>
        </w:rPr>
      </w:pPr>
    </w:p>
    <w:p>
      <w:pPr>
        <w:ind w:left="1020" w:right="339" w:hanging="322"/>
        <w:spacing w:after="0" w:line="273"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subsidiaries, except as otherwise identified to Latham &amp; Watkins LLP, will be treated as a partnership or will be disregarded as an entity separate from us for U.S. federal income tax purposes.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58" w:name="page59"/>
    <w:bookmarkEnd w:id="58"/>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rendering its opinion, Latham &amp; Watkins LLP has relied on factual representations made by us and our general partner. The representations made by us and our general partner upon which Latham &amp; Watkins LLP has relied include:</w:t>
      </w:r>
    </w:p>
    <w:p>
      <w:pPr>
        <w:spacing w:after="0" w:line="58" w:lineRule="exact"/>
        <w:rPr>
          <w:sz w:val="20"/>
          <w:szCs w:val="20"/>
          <w:color w:val="auto"/>
        </w:rPr>
      </w:pPr>
    </w:p>
    <w:p>
      <w:pPr>
        <w:ind w:left="1020" w:right="719" w:hanging="322"/>
        <w:spacing w:after="0" w:line="273"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subsidiaries, other than those identified as such to Latham &amp; Watkins LLP, have elected or will elect to be treated, or is otherwise treated, as a corporation for U.S. federal income tax purposes;</w:t>
      </w:r>
    </w:p>
    <w:p>
      <w:pPr>
        <w:spacing w:after="0" w:line="57" w:lineRule="exact"/>
        <w:rPr>
          <w:rFonts w:ascii="Times New Roman" w:cs="Times New Roman" w:eastAsia="Times New Roman" w:hAnsi="Times New Roman"/>
          <w:sz w:val="14"/>
          <w:szCs w:val="14"/>
          <w:color w:val="auto"/>
        </w:rPr>
      </w:pPr>
    </w:p>
    <w:p>
      <w:pPr>
        <w:ind w:left="1020" w:right="339" w:hanging="322"/>
        <w:spacing w:after="0" w:line="273"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taxable year, more than 90% of our gross income has been and will be income of the type that Latham &amp; Watkins LLP has opined or will opine is “qualifying income” within the meaning of Section 7704(d) of the Internal Revenue Code; and</w:t>
      </w:r>
    </w:p>
    <w:p>
      <w:pPr>
        <w:spacing w:after="0" w:line="57" w:lineRule="exact"/>
        <w:rPr>
          <w:rFonts w:ascii="Times New Roman" w:cs="Times New Roman" w:eastAsia="Times New Roman" w:hAnsi="Times New Roman"/>
          <w:sz w:val="14"/>
          <w:szCs w:val="14"/>
          <w:color w:val="auto"/>
        </w:rPr>
      </w:pPr>
    </w:p>
    <w:p>
      <w:pPr>
        <w:ind w:left="1020" w:right="439" w:hanging="322"/>
        <w:spacing w:after="0" w:line="259"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Latham &amp; Watkins LLP has opined or will opine result in qualifying income.</w:t>
      </w:r>
    </w:p>
    <w:p>
      <w:pPr>
        <w:spacing w:after="0" w:line="141"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We believe that these representations have been true in the past, are true as of the date hereof and expect that these representations will continue to be true in the future.</w:t>
      </w:r>
    </w:p>
    <w:p>
      <w:pPr>
        <w:spacing w:after="0" w:line="130"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U.S. federal income tax purposes.</w:t>
      </w:r>
    </w:p>
    <w:p>
      <w:pPr>
        <w:spacing w:after="0" w:line="148"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taxable dividend income, to the extent of our current and accumulated earnings and profits, or, in the absence of earnings and profits, a nontaxable return of capital, to the extent of the unitholder’s tax basis 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141" w:lineRule="exact"/>
        <w:rPr>
          <w:sz w:val="20"/>
          <w:szCs w:val="20"/>
          <w:color w:val="auto"/>
        </w:rPr>
      </w:pPr>
    </w:p>
    <w:p>
      <w:pPr>
        <w:ind w:left="280" w:right="359" w:firstLine="337"/>
        <w:spacing w:after="0" w:line="279" w:lineRule="auto"/>
        <w:rPr>
          <w:sz w:val="20"/>
          <w:szCs w:val="20"/>
          <w:color w:val="auto"/>
        </w:rPr>
      </w:pPr>
      <w:r>
        <w:rPr>
          <w:rFonts w:ascii="Times New Roman" w:cs="Times New Roman" w:eastAsia="Times New Roman" w:hAnsi="Times New Roman"/>
          <w:sz w:val="14"/>
          <w:szCs w:val="14"/>
          <w:b w:val="1"/>
          <w:bCs w:val="1"/>
          <w:color w:val="auto"/>
        </w:rPr>
        <w:t>The discussion below is based on Latham &amp; Watkins LLP’s opinion that we will be classified as a partnership for U.S. federal income tax purposes.</w:t>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Limited Partner Status</w:t>
      </w:r>
    </w:p>
    <w:p>
      <w:pPr>
        <w:spacing w:after="0" w:line="91" w:lineRule="exact"/>
        <w:rPr>
          <w:sz w:val="20"/>
          <w:szCs w:val="20"/>
          <w:color w:val="auto"/>
        </w:rPr>
      </w:pPr>
    </w:p>
    <w:p>
      <w:pPr>
        <w:ind w:left="280" w:right="339" w:firstLine="337"/>
        <w:spacing w:after="0" w:line="255" w:lineRule="auto"/>
        <w:rPr>
          <w:sz w:val="20"/>
          <w:szCs w:val="20"/>
          <w:color w:val="auto"/>
        </w:rPr>
      </w:pPr>
      <w:r>
        <w:rPr>
          <w:rFonts w:ascii="Times New Roman" w:cs="Times New Roman" w:eastAsia="Times New Roman" w:hAnsi="Times New Roman"/>
          <w:sz w:val="14"/>
          <w:szCs w:val="14"/>
          <w:color w:val="auto"/>
        </w:rPr>
        <w:t>Common unitholders of Westlake Chemical Partners LP will be treated as partners of Westlake Chemical Partners LP for U.S. federal income tax purposes. Also, unitholders whose common units are held in street name or by a nominee and who have the right to direct the nominee in the exercise of all substantive rights attendant to the ownership of their common units will be treated as partners of Westlake Chemical Partners LP for U.S. federal income tax purposes.</w:t>
      </w:r>
    </w:p>
    <w:p>
      <w:pPr>
        <w:spacing w:after="0" w:line="143"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 beneficial owner of our common units whose common units have been transferred to a short seller to complete a short sale would appear to lose his status as a partner with respect to those units for federal income tax purposes. Please read “—Tax Consequences of Unit Ownership—Treatment of Short Sales.”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59" w:name="page60"/>
    <w:bookmarkEnd w:id="59"/>
    <w:p>
      <w:pPr>
        <w:ind w:left="280" w:right="379" w:firstLine="337"/>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Income, gains, losses or deductions would not appear to be reportable by a common unitholder who is not a partner for U.S. federal income tax purposes, and any cash distributions received by a unitholder who is not a partner for U.S. federal income tax purposes would therefore appear to be fully taxable as ordinary income. These holders are urged to consult their tax advisors with respect to the tax consequences to them of holding common units in Westlake Chemical Partners LP. The references to “unitholders” in the discussion that follows are to persons who are treated as partners in Westlake Chemical Partners LP for U.S. federal income tax purposes.</w:t>
      </w:r>
    </w:p>
    <w:p>
      <w:pPr>
        <w:spacing w:after="0" w:line="223" w:lineRule="exact"/>
        <w:rPr>
          <w:sz w:val="20"/>
          <w:szCs w:val="20"/>
          <w:color w:val="auto"/>
        </w:rPr>
      </w:pPr>
    </w:p>
    <w:p>
      <w:pPr>
        <w:jc w:val="right"/>
        <w:ind w:right="6519"/>
        <w:spacing w:after="0"/>
        <w:rPr>
          <w:sz w:val="20"/>
          <w:szCs w:val="20"/>
          <w:color w:val="auto"/>
        </w:rPr>
      </w:pPr>
      <w:r>
        <w:rPr>
          <w:rFonts w:ascii="Times New Roman" w:cs="Times New Roman" w:eastAsia="Times New Roman" w:hAnsi="Times New Roman"/>
          <w:sz w:val="13"/>
          <w:szCs w:val="13"/>
          <w:b w:val="1"/>
          <w:bCs w:val="1"/>
          <w:color w:val="auto"/>
        </w:rPr>
        <w:t>Tax Consequences of Unit Ownership</w:t>
      </w:r>
    </w:p>
    <w:p>
      <w:pPr>
        <w:spacing w:after="0" w:line="99" w:lineRule="exact"/>
        <w:rPr>
          <w:sz w:val="20"/>
          <w:szCs w:val="20"/>
          <w:color w:val="auto"/>
        </w:rPr>
      </w:pPr>
    </w:p>
    <w:p>
      <w:pPr>
        <w:jc w:val="right"/>
        <w:ind w:right="6559"/>
        <w:spacing w:after="0"/>
        <w:rPr>
          <w:sz w:val="20"/>
          <w:szCs w:val="20"/>
          <w:color w:val="auto"/>
        </w:rPr>
      </w:pPr>
      <w:r>
        <w:rPr>
          <w:rFonts w:ascii="Times New Roman" w:cs="Times New Roman" w:eastAsia="Times New Roman" w:hAnsi="Times New Roman"/>
          <w:sz w:val="14"/>
          <w:szCs w:val="14"/>
          <w:i w:val="1"/>
          <w:iCs w:val="1"/>
          <w:color w:val="auto"/>
        </w:rPr>
        <w:t>Flow-Through of Taxable Income</w:t>
      </w:r>
    </w:p>
    <w:p>
      <w:pPr>
        <w:spacing w:after="0" w:line="174"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Subject to the discussion below under “—Entity-Level Collections,” we will not pay any U.S. federal income tax. Instead, each common unitholder will be required to report on his income tax return his share of our income, gains, losses and deductions without regard to whether we make cash distributions to him. Consequently, we may allocate income to a common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Treatment of Distributions</w:t>
      </w:r>
    </w:p>
    <w:p>
      <w:pPr>
        <w:spacing w:after="0" w:line="91"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Distributions by us to a common unitholder generally will not be taxable to the unitholder for U.S.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Any reduction in a unitholder’s share of our liabilities for which no partner, including the general partner, bears the economic risk of loss, known as “nonrecourse liabilities,” will be treated as a distribution by us of cash to that unitholder. To the extent our distributions cause a unitholder’s “at-risk” amount to be less than zero at the end of any taxable year, he must recapture any losses deducted in previous years. Please read “—Limitations on Deductibility of Losses.”</w:t>
      </w:r>
    </w:p>
    <w:p>
      <w:pPr>
        <w:spacing w:after="0" w:line="145"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each as defined in the Internal Revenue Code, and collectively, “Section 751 Assets.” To that extent, the unitholder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(i) the non-pro rata portion of that distribution over (ii) the unitholder’s tax basis (often zero) for the share of Section 751 Assets deemed relinquished in the exchange.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Basis of Common Units</w:t>
      </w:r>
    </w:p>
    <w:p>
      <w:pPr>
        <w:spacing w:after="0" w:line="91" w:lineRule="exact"/>
        <w:rPr>
          <w:sz w:val="20"/>
          <w:szCs w:val="20"/>
          <w:color w:val="auto"/>
        </w:rPr>
      </w:pPr>
    </w:p>
    <w:p>
      <w:pPr>
        <w:ind w:left="280" w:right="319" w:firstLine="337"/>
        <w:spacing w:after="0" w:line="253" w:lineRule="auto"/>
        <w:rPr>
          <w:sz w:val="20"/>
          <w:szCs w:val="20"/>
          <w:color w:val="auto"/>
        </w:rPr>
      </w:pPr>
      <w:r>
        <w:rPr>
          <w:rFonts w:ascii="Times New Roman" w:cs="Times New Roman" w:eastAsia="Times New Roman" w:hAnsi="Times New Roman"/>
          <w:sz w:val="14"/>
          <w:szCs w:val="14"/>
          <w:color w:val="auto"/>
        </w:rPr>
        <w:t>A unitholder’s initial tax basis for his common units will be the amount he paid for the common units plus his share of our nonrecourse liabilities. That basis will be increased by his share of our income, by any increases in his share of our nonrecourse liabilities and, on the disposition of a common unit, by his share of certain items related to business interest not yet deductible by him due to applicable limitations. Please read “—Limitations on Interest Deductions.” That basis will be decreased, but not below zero, by distributions from us, by the unitholder’s share of our losses, by any decreases in his share of our nonrecourse liabilities, by his share of our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60" w:name="page61"/>
    <w:bookmarkEnd w:id="60"/>
    <w:p>
      <w:pPr>
        <w:ind w:left="280" w:right="3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excess business interest (generally, the excess of our business interest over the amount that is deductible) and by his share of our expenditures that are not deductible in computing taxable income and are not required to be capitalized. A unitholder will generally have a share of our nonrecourse liabilities based on his or her share of our profits. Please read “—Disposition of Common Units—Recognition of Gain or Loss.”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Limitations on Deductibility of Losses</w:t>
      </w:r>
    </w:p>
    <w:p>
      <w:pPr>
        <w:spacing w:after="0" w:line="91"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common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145"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148"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investments or a unitholder’s investments in other publicly traded partnerships, or the unitholder’s salary, active business or other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145" w:lineRule="exact"/>
        <w:rPr>
          <w:sz w:val="20"/>
          <w:szCs w:val="20"/>
          <w:color w:val="auto"/>
        </w:rPr>
      </w:pPr>
    </w:p>
    <w:p>
      <w:pPr>
        <w:ind w:left="280" w:right="659" w:firstLine="337"/>
        <w:spacing w:after="0" w:line="273" w:lineRule="auto"/>
        <w:rPr>
          <w:sz w:val="20"/>
          <w:szCs w:val="20"/>
          <w:color w:val="auto"/>
        </w:rPr>
      </w:pPr>
      <w:r>
        <w:rPr>
          <w:rFonts w:ascii="Times New Roman" w:cs="Times New Roman" w:eastAsia="Times New Roman" w:hAnsi="Times New Roman"/>
          <w:sz w:val="14"/>
          <w:szCs w:val="14"/>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130" w:lineRule="exact"/>
        <w:rPr>
          <w:sz w:val="20"/>
          <w:szCs w:val="20"/>
          <w:color w:val="auto"/>
        </w:rPr>
      </w:pPr>
    </w:p>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t>An additional loss limitation may apply to certain of our unitholders. Specifically, a non-corporate unitholder will not be allowed to take a deduction for certain excess business losses in such taxable years. An excess business loss is the excess (if any) of a taxpayer’s aggregate deductions for the taxable year that are attributable to the trades or businesses of such taxpayer (determined without regard to the excess business loss limitation or any deduction allowable for net operating losses, qualified business income or capital losses) over the aggregate gross income or gain of such taxpayer for the taxable year that is attributable to such trades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61" w:name="page62"/>
    <w:bookmarkEnd w:id="61"/>
    <w:p>
      <w:pPr>
        <w:ind w:left="28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businesses (subject to certain limitations in the case of capital gains) plus a threshold amount, which threshold amount is adjusted annually. Any losses disallowed in a taxable year due to the excess business loss limitation may be used by the applicable unitholder in the following taxable year if certain conditions are met. Unitholders to which this excess business loss limitation applies will take their allocable share of our items of income, gain, loss and deduction into account in determining this limitation. This excess business loss limitation will be applied to a non-corporate unitholder after the passive loss limitations and may limit such unitholders’ ability to utilize any losses we generate allocable to such unitholder that are not otherwise limited by the basis, at-risk and passive loss limitations described above.</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Limitations on Interest Deductions</w:t>
      </w:r>
    </w:p>
    <w:p>
      <w:pPr>
        <w:spacing w:after="0" w:line="91"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48"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units will generally be increased by the amount of any excess business interest upon a disposition of such common units.</w:t>
      </w:r>
    </w:p>
    <w:p>
      <w:pPr>
        <w:spacing w:after="0" w:line="148" w:lineRule="exact"/>
        <w:rPr>
          <w:sz w:val="20"/>
          <w:szCs w:val="20"/>
          <w:color w:val="auto"/>
        </w:rPr>
      </w:pPr>
    </w:p>
    <w:p>
      <w:pPr>
        <w:ind w:left="280" w:right="339" w:firstLine="337"/>
        <w:spacing w:after="0" w:line="273" w:lineRule="auto"/>
        <w:rPr>
          <w:sz w:val="20"/>
          <w:szCs w:val="20"/>
          <w:color w:val="auto"/>
        </w:rPr>
      </w:pPr>
      <w:r>
        <w:rPr>
          <w:rFonts w:ascii="Times New Roman" w:cs="Times New Roman" w:eastAsia="Times New Roman" w:hAnsi="Times New Roman"/>
          <w:sz w:val="14"/>
          <w:szCs w:val="14"/>
          <w:color w:val="auto"/>
        </w:rPr>
        <w:t>In addition, the deductibility of a non-corporate taxpayer’s “investment interest expense” is generally limited to the amount of that taxpayer’s “net investment income.” Investment interest expense includes:</w:t>
      </w:r>
    </w:p>
    <w:p>
      <w:pPr>
        <w:spacing w:after="0" w:line="58" w:lineRule="exact"/>
        <w:rPr>
          <w:sz w:val="20"/>
          <w:szCs w:val="20"/>
          <w:color w:val="auto"/>
        </w:rPr>
      </w:pPr>
    </w:p>
    <w:p>
      <w:pPr>
        <w:ind w:left="1020" w:hanging="32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properly allocable to property held for investment;</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interest expense attributed to portfolio income;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interest expense incurred to purchase or carry an interest in a passive activity to the extent attributable to portfolio income.</w:t>
      </w:r>
    </w:p>
    <w:p>
      <w:pPr>
        <w:spacing w:after="0" w:line="170"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(if applicable)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Entity-Level Collections</w:t>
      </w:r>
    </w:p>
    <w:p>
      <w:pPr>
        <w:spacing w:after="0" w:line="91" w:lineRule="exact"/>
        <w:rPr>
          <w:sz w:val="20"/>
          <w:szCs w:val="20"/>
          <w:color w:val="auto"/>
        </w:rPr>
      </w:pPr>
    </w:p>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t>If we are required or elect under applicable law to pay any federal, state, local or foreign income tax on behalf of any unitholder or any former unitholder, we are authorized to pay those taxes from our funds. That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62" w:name="page63"/>
    <w:bookmarkEnd w:id="62"/>
    <w:p>
      <w:pPr>
        <w:ind w:left="28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payment, if made, will be treated as a distribution of cash to the unitholder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unitholder in which event the unitholder would be required to file a claim in order to obtain a credit or refund.</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Allocation of Income, Gain, Loss and Deduction</w:t>
      </w:r>
    </w:p>
    <w:p>
      <w:pPr>
        <w:spacing w:after="0" w:line="91" w:lineRule="exact"/>
        <w:rPr>
          <w:sz w:val="20"/>
          <w:szCs w:val="20"/>
          <w:color w:val="auto"/>
        </w:rPr>
      </w:pPr>
    </w:p>
    <w:p>
      <w:pPr>
        <w:ind w:left="280" w:right="439" w:firstLine="337"/>
        <w:spacing w:after="0" w:line="253" w:lineRule="auto"/>
        <w:rPr>
          <w:sz w:val="20"/>
          <w:szCs w:val="20"/>
          <w:color w:val="auto"/>
        </w:rPr>
      </w:pPr>
      <w:r>
        <w:rPr>
          <w:rFonts w:ascii="Times New Roman" w:cs="Times New Roman" w:eastAsia="Times New Roman" w:hAnsi="Times New Roman"/>
          <w:sz w:val="14"/>
          <w:szCs w:val="14"/>
          <w:color w:val="auto"/>
        </w:rPr>
        <w:t>In general, if we have a net profit, our items of income, gain, loss and deduction will be allocated among our common unitholders in accordance with their percentage interests in us. If distributions are made in respect of the incentive distribution rights, gross income will be allocated to the recipients to the extent of such distributions. If we have a net loss, that loss generally will be allocated to our common unitholders in accordance with their percentage interests in us to the extent of their positive capital accounts, as adjusted for certain items in accordance with applicable Treasury Regulations.</w:t>
      </w:r>
    </w:p>
    <w:p>
      <w:pPr>
        <w:spacing w:after="0" w:line="144"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Specified items of our income, gain, loss and deduction will be allocated to account for (i) any difference between the tax basis and the fair market value of our assets at the time of an offering and (ii) any difference between the tax basis and fair market value of any property contributed to us that exists at the time of such contribution, referred to in this discussion as the “Contributed Property.” The effect of these allocations, referred to as Section 704(c) Allocations, to a unitholder purchasing common units from us in an offering will be essentially the same as if the tax bases of our assets were equal to their fair market values at the time of the offering. In the event we issue additional common units or engage in certain other transactions in the future, “reverse Section 704(c) Allocations,” similar to the Section 704(c) Allocations described above, will be made to all of our unitholders immediately prior to such issuance or other transactions to account for the difference between the “book” basis for purposes of maintaining capital accounts and the fair market value of all property held by us at the time of such issuance or future transaction. However, it may not be administratively feasible to make the relevant adjustments to “book” basis and the relevant reverse Section 704(c) Allocations each time we issue common units, particularly in the case of small or frequent common unit issuances. If that is the case, we may use simplifying conventions to make those adjustments and allocations, which may include the aggregation of certain issuances of common units. Latham &amp; Watkins LLP is unable to opine as to the validity of such conventions. In addition, items of recapture income will be allocated to the extent possible to the unitholder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(subject to certain adjustments), if negative capital accounts (subject to certain adjustments) nevertheless result, items of our income and gain will be allocated in an amount and manner sufficient to eliminate such negative balance as quickly as possible.</w:t>
      </w:r>
    </w:p>
    <w:p>
      <w:pPr>
        <w:spacing w:after="0" w:line="151" w:lineRule="exact"/>
        <w:rPr>
          <w:sz w:val="20"/>
          <w:szCs w:val="20"/>
          <w:color w:val="auto"/>
        </w:rPr>
      </w:pPr>
    </w:p>
    <w:p>
      <w:pPr>
        <w:ind w:left="280" w:right="479" w:firstLine="337"/>
        <w:spacing w:after="0" w:line="251" w:lineRule="auto"/>
        <w:rPr>
          <w:sz w:val="20"/>
          <w:szCs w:val="20"/>
          <w:color w:val="auto"/>
        </w:rPr>
      </w:pPr>
      <w:r>
        <w:rPr>
          <w:rFonts w:ascii="Times New Roman" w:cs="Times New Roman" w:eastAsia="Times New Roman" w:hAnsi="Times New Roman"/>
          <w:sz w:val="14"/>
          <w:szCs w:val="14"/>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6" w:lineRule="exact"/>
        <w:rPr>
          <w:sz w:val="20"/>
          <w:szCs w:val="20"/>
          <w:color w:val="auto"/>
        </w:rPr>
      </w:pPr>
    </w:p>
    <w:p>
      <w:pPr>
        <w:ind w:left="1020" w:hanging="32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 relative contributions to us;</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interests of all the partners in profits and losses;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63" w:name="page64"/>
    <w:bookmarkEnd w:id="63"/>
    <w:p>
      <w:pPr>
        <w:ind w:left="1020" w:hanging="32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interest of all the partners in cash flow;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all the partners to distributions of capital upon liquidation.</w:t>
      </w:r>
    </w:p>
    <w:p>
      <w:pPr>
        <w:spacing w:after="0" w:line="170" w:lineRule="exact"/>
        <w:rPr>
          <w:sz w:val="20"/>
          <w:szCs w:val="20"/>
          <w:color w:val="auto"/>
        </w:rPr>
      </w:pPr>
    </w:p>
    <w:p>
      <w:pPr>
        <w:ind w:left="280" w:right="479" w:firstLine="337"/>
        <w:spacing w:after="0" w:line="259" w:lineRule="auto"/>
        <w:rPr>
          <w:sz w:val="20"/>
          <w:szCs w:val="20"/>
          <w:color w:val="auto"/>
        </w:rPr>
      </w:pPr>
      <w:r>
        <w:rPr>
          <w:rFonts w:ascii="Times New Roman" w:cs="Times New Roman" w:eastAsia="Times New Roman" w:hAnsi="Times New Roman"/>
          <w:sz w:val="14"/>
          <w:szCs w:val="14"/>
          <w:color w:val="auto"/>
        </w:rPr>
        <w:t>Latham &amp; Watkins LLP is of the opinion that, with the exception of the issues described in “—Section 754 Election” and “—Disposition of Common Units—Allocations Between Transferors and Transferees,” allocations under our partnership agreement will be given effect for U.S. federal income tax purposes in determining a partner’s share of an item of income, gain, loss or deduction.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Treatment of Short Sales</w:t>
      </w:r>
    </w:p>
    <w:p>
      <w:pPr>
        <w:spacing w:after="0" w:line="91" w:lineRule="exact"/>
        <w:rPr>
          <w:sz w:val="20"/>
          <w:szCs w:val="20"/>
          <w:color w:val="auto"/>
        </w:rPr>
      </w:pPr>
    </w:p>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w:t>
      </w:r>
    </w:p>
    <w:p>
      <w:pPr>
        <w:spacing w:after="0" w:line="68" w:lineRule="exact"/>
        <w:rPr>
          <w:sz w:val="20"/>
          <w:szCs w:val="20"/>
          <w:color w:val="auto"/>
        </w:rPr>
      </w:pPr>
    </w:p>
    <w:p>
      <w:pPr>
        <w:ind w:left="1020" w:hanging="32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income, gain, loss or deduction with respect to those units would not be reportable by the unitholder;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distributions received by the unitholder as to those units would be fully taxable;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not entirely free from doubt, all of these distributions would appear to be ordinary income.</w:t>
      </w:r>
    </w:p>
    <w:p>
      <w:pPr>
        <w:spacing w:after="0" w:line="170"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Because there is no direct or indirect controlling authority on the issue relating to partnership interests, Latham &amp; Watkins LLP has not rendered an opinion regarding the tax treatment of a unitholder whose common units are loaned to a short seller to cover a short sale of common units;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borrowing and loaning their units. The IRS has previously announced that it is studying issues relating to the tax treatment of short sales of partnership interests. Please also read “— Disposition of Common Units—Recognition of Gain or Loss.”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Tax Rates</w:t>
      </w:r>
    </w:p>
    <w:p>
      <w:pPr>
        <w:spacing w:after="0" w:line="91" w:lineRule="exact"/>
        <w:rPr>
          <w:sz w:val="20"/>
          <w:szCs w:val="20"/>
          <w:color w:val="auto"/>
        </w:rPr>
      </w:pPr>
    </w:p>
    <w:p>
      <w:pPr>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Currently, the highest marginal U.S. federal income tax rate applicable to ordinary income of individuals is 37% and the highest marginal U.S. federal income tax rate applicable to long-term capital gains (generally, capital gains on certain assets held for more than twelve months) of individuals is 20%. Such rates are subject to change by new legislation at any time.</w:t>
      </w:r>
    </w:p>
    <w:p>
      <w:pPr>
        <w:spacing w:after="0" w:line="141"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In addition, a 3.8% Medicare tax (NIIT) is imposed on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or (ii) the amount by which the unitholder’s modified adjusted gross income exceeds $250,000 (if the unitholder is married and filing jointly or a surviving spouse), $125,000 (if the unitholder is married and filing separately) or $200,000 (in any other case). In the case of an estate or trust, the tax will be imposed on the lesser of (i) undistributed net investment income, or (ii) the excess adjusted gross income over the dollar amount at which the highest income tax bracket applicable to an estate or trust begins for such taxable year. The U.S. Department of the Treasury and the IRS have issued Treasury Regulations that provide guidance regarding the NIIT. Prospective common unitholders are urged to consult with their tax advisors as to the impact of the NIIT on an investment in our common units.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64" w:name="page65"/>
    <w:bookmarkEnd w:id="64"/>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Also, a non-corporate unitholder is entitled to a deduction equal to 20% of its “qualified business income” attributable to us, subject to certain limitations. For purposes of this deduction, a unitholder’s “qualified business income” attributable to us is equal to the sum of:</w:t>
      </w:r>
    </w:p>
    <w:p>
      <w:pPr>
        <w:spacing w:after="0" w:line="58" w:lineRule="exact"/>
        <w:rPr>
          <w:sz w:val="20"/>
          <w:szCs w:val="20"/>
          <w:color w:val="auto"/>
        </w:rPr>
      </w:pPr>
    </w:p>
    <w:p>
      <w:pPr>
        <w:ind w:left="1020" w:right="339" w:hanging="322"/>
        <w:spacing w:after="0" w:line="259"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such unitholder’s allocable share of certain of our items of income, gain, deduction and loss (generally excluding certain items related to our investment activities, including capital gains and dividends, which are subject to a U.S. federal income tax rate of 20%); and</w:t>
      </w:r>
    </w:p>
    <w:p>
      <w:pPr>
        <w:spacing w:after="0" w:line="68" w:lineRule="exact"/>
        <w:rPr>
          <w:rFonts w:ascii="Times New Roman" w:cs="Times New Roman" w:eastAsia="Times New Roman" w:hAnsi="Times New Roman"/>
          <w:sz w:val="14"/>
          <w:szCs w:val="14"/>
          <w:color w:val="auto"/>
        </w:rPr>
      </w:pPr>
    </w:p>
    <w:p>
      <w:pPr>
        <w:ind w:left="1020" w:right="499" w:hanging="322"/>
        <w:spacing w:after="0" w:line="273"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by such unitholder on the disposition of its units to the extent such gain is attributable to certain Section 751 assets, including depreciation recapture and “inventory items” we own.</w:t>
      </w:r>
    </w:p>
    <w:p>
      <w:pPr>
        <w:spacing w:after="0" w:line="130"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Prospective unitholders should consult their tax advisors regarding the application of this deduction and its interaction with the overall deduction for qualified business income.</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Section 754 Election</w:t>
      </w:r>
    </w:p>
    <w:p>
      <w:pPr>
        <w:spacing w:after="0" w:line="91" w:lineRule="exact"/>
        <w:rPr>
          <w:sz w:val="20"/>
          <w:szCs w:val="20"/>
          <w:color w:val="auto"/>
        </w:rPr>
      </w:pPr>
    </w:p>
    <w:p>
      <w:pPr>
        <w:ind w:left="280" w:right="519" w:firstLine="337"/>
        <w:spacing w:after="0" w:line="251" w:lineRule="auto"/>
        <w:rPr>
          <w:sz w:val="20"/>
          <w:szCs w:val="20"/>
          <w:color w:val="auto"/>
        </w:rPr>
      </w:pPr>
      <w:r>
        <w:rPr>
          <w:rFonts w:ascii="Times New Roman" w:cs="Times New Roman" w:eastAsia="Times New Roman" w:hAnsi="Times New Roman"/>
          <w:sz w:val="14"/>
          <w:szCs w:val="14"/>
          <w:color w:val="auto"/>
        </w:rPr>
        <w:t>We have made the election permitted by Section 754 of the Internal Revenue Code. That election is irrevocable without the consent of the IRS. The election generally permits us to adjust a common unit purchaser’s tax basis in our assets (“inside basis”) under Section 743(b) of the Internal Revenue Code to reflect his purchase price. This election does not apply with respect to a person who purchases common units directly from us. The Section 743(b) adjustment belongs to the purchaser and not to other unitholders. For purposes of this discussion, the inside basis in our assets with respect to a unitholder will be considered to have two components: (i) his share of our tax basis in our assets (“common basis”) and (ii) his Section 743(b) adjustment to that basis.</w:t>
      </w:r>
    </w:p>
    <w:p>
      <w:pPr>
        <w:spacing w:after="0" w:line="148"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We have adopted the remedial allocation method as to all our properties. Where the remedial allocation method is adopted, the Treasury Regulations under Section 743 of the Internal Revenue Code require a portion of the Section 743(b) adjustment that is attributable to recovery property that is subject to depreciation under Section 168 of the Internal Revenue Code and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our general partner is authorized to take a position to preserve the uniformity of units even if that position is not consistent with these and any other Treasury Regulations. Please read “—Uniformity of Units.”</w:t>
      </w:r>
    </w:p>
    <w:p>
      <w:pPr>
        <w:spacing w:after="0" w:line="148" w:lineRule="exact"/>
        <w:rPr>
          <w:sz w:val="20"/>
          <w:szCs w:val="20"/>
          <w:color w:val="auto"/>
        </w:rPr>
      </w:pPr>
    </w:p>
    <w:p>
      <w:pPr>
        <w:ind w:left="280" w:right="339" w:firstLine="337"/>
        <w:spacing w:after="0" w:line="270" w:lineRule="auto"/>
        <w:rPr>
          <w:sz w:val="20"/>
          <w:szCs w:val="20"/>
          <w:color w:val="auto"/>
        </w:rPr>
      </w:pPr>
      <w:r>
        <w:rPr>
          <w:rFonts w:ascii="Times New Roman" w:cs="Times New Roman" w:eastAsia="Times New Roman" w:hAnsi="Times New Roman"/>
          <w:sz w:val="13"/>
          <w:szCs w:val="13"/>
          <w:color w:val="auto"/>
        </w:rPr>
        <w:t>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that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A unitholder’s tax basis for his common units is reduced by his share of our deductions (whether or not such deductions were claimed on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65" w:name="page66"/>
    <w:bookmarkEnd w:id="65"/>
    <w:p>
      <w:pPr>
        <w:ind w:left="280" w:right="3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 individual’s income tax return) so that any position we take that understates deductions will overstate such unitholder’s basis in his common units, which may cause the unitholder to understate gain or overstate loss on any sale of such units. Please read “—Disposition of Common Units— Recognition of Gain or Loss.” Latham &amp; Watkins LLP is unable to opine as to whether our method for taking into account Section 743 adjustments is sustainable for property subject to depreciation under Section 167 of the Internal Revenue Code or if we use an aggregate approach as described above, as there is no direct or indirect controlling authority addressing the validity of these positions. Moreover, the IRS may challenge our position with respect to depreciating or amortizing the Section 743(b) adjustment we take to preserve the uniformity of the units. If such a challenge were sustained, the gain from the sale of units might be increased without the benefit of additional deductions.</w:t>
      </w:r>
    </w:p>
    <w:p>
      <w:pPr>
        <w:spacing w:after="0" w:line="145" w:lineRule="exact"/>
        <w:rPr>
          <w:sz w:val="20"/>
          <w:szCs w:val="20"/>
          <w:color w:val="auto"/>
        </w:rPr>
      </w:pPr>
    </w:p>
    <w:p>
      <w:pPr>
        <w:ind w:left="280" w:right="359" w:firstLine="337"/>
        <w:spacing w:after="0" w:line="255" w:lineRule="auto"/>
        <w:rPr>
          <w:sz w:val="20"/>
          <w:szCs w:val="20"/>
          <w:color w:val="auto"/>
        </w:rPr>
      </w:pPr>
      <w:r>
        <w:rPr>
          <w:rFonts w:ascii="Times New Roman" w:cs="Times New Roman" w:eastAsia="Times New Roman" w:hAnsi="Times New Roman"/>
          <w:sz w:val="14"/>
          <w:szCs w:val="14"/>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may elect out of the bonus depreciation provisions of Section 168(k) with respect to basis adjustments under Section 743(b).</w:t>
      </w:r>
    </w:p>
    <w:p>
      <w:pPr>
        <w:spacing w:after="0" w:line="143" w:lineRule="exact"/>
        <w:rPr>
          <w:sz w:val="20"/>
          <w:szCs w:val="20"/>
          <w:color w:val="auto"/>
        </w:rPr>
      </w:pPr>
    </w:p>
    <w:p>
      <w:pPr>
        <w:ind w:left="280" w:right="339" w:firstLine="337"/>
        <w:spacing w:after="0" w:line="269" w:lineRule="auto"/>
        <w:rPr>
          <w:sz w:val="20"/>
          <w:szCs w:val="20"/>
          <w:color w:val="auto"/>
        </w:rPr>
      </w:pPr>
      <w:r>
        <w:rPr>
          <w:rFonts w:ascii="Times New Roman" w:cs="Times New Roman" w:eastAsia="Times New Roman" w:hAnsi="Times New Roman"/>
          <w:sz w:val="13"/>
          <w:szCs w:val="13"/>
          <w:color w:val="auto"/>
        </w:rPr>
        <w:t>A Section 754 election is advantageous if the transferee’s tax basis in his units is higher than the units’ share of the aggregate tax basis of our assets immediately prior to the transfer.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Generally, a built-in loss is substantial if (i) it exceeds $250,000 or</w:t>
      </w:r>
    </w:p>
    <w:p>
      <w:pPr>
        <w:spacing w:after="0" w:line="3" w:lineRule="exact"/>
        <w:rPr>
          <w:sz w:val="20"/>
          <w:szCs w:val="20"/>
          <w:color w:val="auto"/>
        </w:rPr>
      </w:pPr>
    </w:p>
    <w:p>
      <w:pPr>
        <w:ind w:left="280" w:right="339" w:firstLine="5"/>
        <w:spacing w:after="0" w:line="248" w:lineRule="auto"/>
        <w:tabs>
          <w:tab w:leader="none" w:pos="48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transferee would be allocated a net loss in excess of $250,000 on a hypothetical sale of our assets for their fair market value immediately after a transfer of the interests at issue. In addition, a basis adjustment is required regardless of whether a Section 754 election is made if we distribute property and have a substantial basis reduction. A substantial basis reduction exists if, on a liquidating distribution of property to a unitholder, there would be a negative basis adjustment to our assets in excess of $250,000 if a Section 754 election were in place.</w:t>
      </w:r>
    </w:p>
    <w:p>
      <w:pPr>
        <w:spacing w:after="0" w:line="149" w:lineRule="exact"/>
        <w:rPr>
          <w:sz w:val="20"/>
          <w:szCs w:val="20"/>
          <w:color w:val="auto"/>
        </w:rPr>
      </w:pPr>
    </w:p>
    <w:p>
      <w:pPr>
        <w:ind w:left="280" w:right="419" w:firstLine="337"/>
        <w:spacing w:after="0" w:line="272" w:lineRule="auto"/>
        <w:rPr>
          <w:sz w:val="20"/>
          <w:szCs w:val="20"/>
          <w:color w:val="auto"/>
        </w:rPr>
      </w:pPr>
      <w:r>
        <w:rPr>
          <w:rFonts w:ascii="Times New Roman" w:cs="Times New Roman" w:eastAsia="Times New Roman" w:hAnsi="Times New Roman"/>
          <w:sz w:val="13"/>
          <w:szCs w:val="13"/>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2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 Treatment of Operations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Accounting Method and Taxable Year</w:t>
      </w:r>
    </w:p>
    <w:p>
      <w:pPr>
        <w:spacing w:after="0" w:line="91" w:lineRule="exact"/>
        <w:rPr>
          <w:sz w:val="20"/>
          <w:szCs w:val="20"/>
          <w:color w:val="auto"/>
        </w:rPr>
      </w:pPr>
    </w:p>
    <w:p>
      <w:pPr>
        <w:ind w:left="280" w:right="439" w:firstLine="337"/>
        <w:spacing w:after="0" w:line="253" w:lineRule="auto"/>
        <w:rPr>
          <w:sz w:val="20"/>
          <w:szCs w:val="20"/>
          <w:color w:val="auto"/>
        </w:rPr>
      </w:pPr>
      <w:r>
        <w:rPr>
          <w:rFonts w:ascii="Times New Roman" w:cs="Times New Roman" w:eastAsia="Times New Roman" w:hAnsi="Times New Roman"/>
          <w:sz w:val="14"/>
          <w:szCs w:val="14"/>
          <w:color w:val="auto"/>
        </w:rPr>
        <w:t>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66" w:name="page67"/>
    <w:bookmarkEnd w:id="66"/>
    <w:p>
      <w:pPr>
        <w:ind w:left="280" w:right="39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taxable year his share of more than twelve months of our income, gain, loss and deduction. Please read “—Disposition of Common Units—Allocations Between Transferors and Transferees.”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Tax Basis, Depreciation and Amortization</w:t>
      </w:r>
    </w:p>
    <w:p>
      <w:pPr>
        <w:spacing w:after="0" w:line="91" w:lineRule="exact"/>
        <w:rPr>
          <w:sz w:val="20"/>
          <w:szCs w:val="20"/>
          <w:color w:val="auto"/>
        </w:rPr>
      </w:pPr>
    </w:p>
    <w:p>
      <w:pPr>
        <w:ind w:left="280" w:right="459" w:firstLine="337"/>
        <w:spacing w:after="0" w:line="255" w:lineRule="auto"/>
        <w:rPr>
          <w:sz w:val="20"/>
          <w:szCs w:val="20"/>
          <w:color w:val="auto"/>
        </w:rPr>
      </w:pPr>
      <w:r>
        <w:rPr>
          <w:rFonts w:ascii="Times New Roman" w:cs="Times New Roman" w:eastAsia="Times New Roman" w:hAnsi="Times New Roman"/>
          <w:sz w:val="14"/>
          <w:szCs w:val="14"/>
          <w:color w:val="auto"/>
        </w:rPr>
        <w:t>The tax basis of our assets will be used for purposes of computing depreciation and cost recovery deductions and, ultimately, gain or loss on the disposition of these assets. The U.S. federal income tax burden associated with the difference between the fair market value of our assets and their tax basis immediately prior to an offering will be borne by our unitholders holding interests in us prior to any such offering. Please read “—Tax Consequences of Unit Ownership—Allocation of Income, Gain, Loss and Deduction.”</w:t>
      </w:r>
    </w:p>
    <w:p>
      <w:pPr>
        <w:spacing w:after="0" w:line="143" w:lineRule="exact"/>
        <w:rPr>
          <w:sz w:val="20"/>
          <w:szCs w:val="20"/>
          <w:color w:val="auto"/>
        </w:rPr>
      </w:pPr>
    </w:p>
    <w:p>
      <w:pPr>
        <w:jc w:val="both"/>
        <w:ind w:left="280" w:right="519" w:firstLine="337"/>
        <w:spacing w:after="0" w:line="259" w:lineRule="auto"/>
        <w:rPr>
          <w:sz w:val="20"/>
          <w:szCs w:val="20"/>
          <w:color w:val="auto"/>
        </w:rPr>
      </w:pPr>
      <w:r>
        <w:rPr>
          <w:rFonts w:ascii="Times New Roman" w:cs="Times New Roman" w:eastAsia="Times New Roman" w:hAnsi="Times New Roman"/>
          <w:sz w:val="14"/>
          <w:szCs w:val="14"/>
          <w:color w:val="auto"/>
        </w:rPr>
        <w:t>To the extent allowable, we may use the depreciation and cost recovery methods, including bonus depreciation to the extent available, that will result in the largest deductions being taken in the early years after assets subject to these allowances are placed in service. Property we subsequently acquire or construct may be depreciated using accelerated methods permitted by the Internal Revenue Code.</w:t>
      </w:r>
    </w:p>
    <w:p>
      <w:pPr>
        <w:spacing w:after="0" w:line="14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w:t>
      </w:r>
    </w:p>
    <w:p>
      <w:pPr>
        <w:spacing w:after="0" w:line="144" w:lineRule="exact"/>
        <w:rPr>
          <w:sz w:val="20"/>
          <w:szCs w:val="20"/>
          <w:color w:val="auto"/>
        </w:rPr>
      </w:pPr>
    </w:p>
    <w:p>
      <w:pPr>
        <w:ind w:left="280" w:right="439" w:firstLine="337"/>
        <w:spacing w:after="0" w:line="289" w:lineRule="auto"/>
        <w:rPr>
          <w:sz w:val="20"/>
          <w:szCs w:val="20"/>
          <w:color w:val="auto"/>
        </w:rPr>
      </w:pPr>
      <w:r>
        <w:rPr>
          <w:rFonts w:ascii="Times New Roman" w:cs="Times New Roman" w:eastAsia="Times New Roman" w:hAnsi="Times New Roman"/>
          <w:sz w:val="13"/>
          <w:szCs w:val="13"/>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Valuation and Tax Basis of Our Properties</w:t>
      </w:r>
    </w:p>
    <w:p>
      <w:pPr>
        <w:spacing w:after="0" w:line="9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The U.S.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determinations of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Disposition of Common Units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Recognition of Gain or Loss</w:t>
      </w:r>
    </w:p>
    <w:p>
      <w:pPr>
        <w:spacing w:after="0" w:line="91"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143"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Prior distributions on our common units that in the aggregate were in excess of cumulative net taxable income for a common unit and, therefore,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67" w:name="page68"/>
    <w:bookmarkEnd w:id="67"/>
    <w:p>
      <w:pPr>
        <w:ind w:left="280" w:right="359" w:firstLine="337"/>
        <w:spacing w:after="0" w:line="24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Except as noted below, gain or loss recognized by a unitholder, other than a “dealer” in units, on the sale or exchange of a unit will generally be taxable as capital gain or loss. Capital gain recognized by an individual on the sale of units held for more than twelve months will generally be taxed at the U.S. federal income tax rate applicable to long-term capital gains. However, a portion of this gain or loss, which will likely be substantial, will be separately computed and taxed as ordinary income or loss under Section 751 of the Internal Revenue Code to the extent attributable to assets giving rise to “unrealized receivables,” including potential recapture items such as depreciation recapture, or to “inventory items” we own. Ordinary income attributable to unrealized receivables and inventory items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Ordinary income recognized by a unitholder on disposition of our common units may be reduced by such unitholder’s deduction for qualified business income. Both ordinary income and capital gain recognized on a sale of units may be subject to the NIIT in certain circumstances. Please read “—Tax Consequences of Unit Ownership—Tax Rates.”</w:t>
      </w:r>
    </w:p>
    <w:p>
      <w:pPr>
        <w:spacing w:after="0" w:line="148" w:lineRule="exact"/>
        <w:rPr>
          <w:sz w:val="20"/>
          <w:szCs w:val="20"/>
          <w:color w:val="auto"/>
        </w:rPr>
      </w:pPr>
    </w:p>
    <w:p>
      <w:pPr>
        <w:ind w:left="280" w:right="319" w:firstLine="337"/>
        <w:spacing w:after="0" w:line="249" w:lineRule="auto"/>
        <w:rPr>
          <w:sz w:val="20"/>
          <w:szCs w:val="20"/>
          <w:color w:val="auto"/>
        </w:rPr>
      </w:pPr>
      <w:r>
        <w:rPr>
          <w:rFonts w:ascii="Times New Roman" w:cs="Times New Roman" w:eastAsia="Times New Roman" w:hAnsi="Times New Roman"/>
          <w:sz w:val="14"/>
          <w:szCs w:val="14"/>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discussed above, a common unitholder will be unable to select high or low basis common units to sell as would be the case with corporate stock, but, according to the Treasury Regulations, he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147" w:lineRule="exact"/>
        <w:rPr>
          <w:sz w:val="20"/>
          <w:szCs w:val="20"/>
          <w:color w:val="auto"/>
        </w:rPr>
      </w:pPr>
    </w:p>
    <w:p>
      <w:pPr>
        <w:jc w:val="both"/>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68" w:lineRule="exact"/>
        <w:rPr>
          <w:sz w:val="20"/>
          <w:szCs w:val="20"/>
          <w:color w:val="auto"/>
        </w:rPr>
      </w:pPr>
    </w:p>
    <w:p>
      <w:pPr>
        <w:ind w:left="1020" w:hanging="32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in each case, with respect to the partnership interest or substantially identical property.</w:t>
      </w:r>
    </w:p>
    <w:p>
      <w:pPr>
        <w:spacing w:after="0" w:line="170" w:lineRule="exact"/>
        <w:rPr>
          <w:sz w:val="20"/>
          <w:szCs w:val="20"/>
          <w:color w:val="auto"/>
        </w:rPr>
      </w:pPr>
    </w:p>
    <w:p>
      <w:pPr>
        <w:ind w:left="280" w:right="619" w:firstLine="337"/>
        <w:spacing w:after="0" w:line="253" w:lineRule="auto"/>
        <w:rPr>
          <w:sz w:val="20"/>
          <w:szCs w:val="20"/>
          <w:color w:val="auto"/>
        </w:rPr>
      </w:pPr>
      <w:r>
        <w:rPr>
          <w:rFonts w:ascii="Times New Roman" w:cs="Times New Roman" w:eastAsia="Times New Roman" w:hAnsi="Times New Roman"/>
          <w:sz w:val="14"/>
          <w:szCs w:val="14"/>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Allocations Between Transferors and Transferees</w:t>
      </w:r>
    </w:p>
    <w:p>
      <w:pPr>
        <w:spacing w:after="0" w:line="9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In general, our taxable income and losses will be determined annually, will be prorated on a monthly basis in proportion to the number of days in each month and will be subsequently apportioned among our unitholders in proportion to the number of common units owned by each of them as of the opening of the applicable exchange on the first business day of the month, which we refer to as the “Allocation Date.” However, gain or loss realized on a sale or other disposition of our assets other than in the ordinary course of business will be allocated among our unitholders on the Allocation Date in the month in which that gain or loss is recognized. As a result, a unitholder transferring units may be allocated income, gain, loss and deduction realized after the date of transfer.</w:t>
      </w:r>
    </w:p>
    <w:p>
      <w:pPr>
        <w:spacing w:after="0" w:line="148"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The U.S. Department of Treasury and the IRS have issued Treasury Regulations that permit publicly traded partnerships to use a monthly simplifying convention that is similar to ours, but they do not specifically authorize all aspects of the proration method we have adopted. Accordingly, Latham &amp; Watkins LLP is unable to opine on the validity of this method of allocating income and deductions between transferor and transferee unitholders. If this method is not allowed under the Treasury Regulations, our taxable income or losses might be reallocated among the unitholders. We are authorized to revise our method of allocation between transferor and transferee unitholders, as well as unitholders whose interests vary during a taxable year.</w:t>
      </w:r>
    </w:p>
    <w:p>
      <w:pPr>
        <w:spacing w:after="0" w:line="148"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 unitholder who owns common units at any time during a quarter and who disposes of them prior to the record date set for a cash distribution for that quarter will be allocated items of our income, gain, loss and deductions attributable to that quarter through the month of disposition but will not be entitled to receive that cash distribution.</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Notification Requirements</w:t>
      </w:r>
    </w:p>
    <w:p>
      <w:pPr>
        <w:spacing w:after="0" w:line="9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Uniformity of Units</w:t>
      </w:r>
    </w:p>
    <w:p>
      <w:pPr>
        <w:spacing w:after="0" w:line="91" w:lineRule="exact"/>
        <w:rPr>
          <w:sz w:val="20"/>
          <w:szCs w:val="20"/>
          <w:color w:val="auto"/>
        </w:rPr>
      </w:pPr>
    </w:p>
    <w:p>
      <w:pPr>
        <w:jc w:val="both"/>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Because we cannot match transferors and transferees of common units, we must maintain uniformity of the economic and tax characteristics of the common units to a purchaser of these units. In the absence of uniformity, we may be unable to completely comply with a number of U.S. federal income tax requirements, both statutory and regulatory. A lack of uniformity can result from a literal application of Treasury Regulation</w:t>
      </w:r>
    </w:p>
    <w:p>
      <w:pPr>
        <w:spacing w:after="0" w:line="1" w:lineRule="exact"/>
        <w:rPr>
          <w:sz w:val="20"/>
          <w:szCs w:val="20"/>
          <w:color w:val="auto"/>
        </w:rPr>
      </w:pPr>
    </w:p>
    <w:p>
      <w:pPr>
        <w:ind w:left="280" w:right="299"/>
        <w:spacing w:after="0" w:line="247" w:lineRule="auto"/>
        <w:rPr>
          <w:sz w:val="20"/>
          <w:szCs w:val="20"/>
          <w:color w:val="auto"/>
        </w:rPr>
      </w:pPr>
      <w:r>
        <w:rPr>
          <w:rFonts w:ascii="Times New Roman" w:cs="Times New Roman" w:eastAsia="Times New Roman" w:hAnsi="Times New Roman"/>
          <w:sz w:val="14"/>
          <w:szCs w:val="14"/>
          <w:color w:val="auto"/>
        </w:rPr>
        <w:t>Section 1.167(c)-1(a)(6). Any non-uniformity could have a negative impact on the value of the common units. Please read “—Tax Consequences of Unit Ownership—Section 754 Election.” We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7" w:right="1440" w:bottom="1440" w:gutter="0" w:footer="0" w:header="0"/>
        </w:sectPr>
      </w:pPr>
    </w:p>
    <w:bookmarkStart w:id="69" w:name="page70"/>
    <w:bookmarkEnd w:id="69"/>
    <w:p>
      <w:pPr>
        <w:ind w:left="280" w:right="299"/>
        <w:spacing w:after="0" w:line="26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history. If we determine that this position cannot reasonably be taken, we may adopt a depreciation and amortization position under which all purchasers acquiring units in the same month would receive depreciation and amortization deductions, whether attributable to common basis or a Section 743(b) adjustment, based upon the same applicable rate as if they had purchased a direct interest in our assets.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In either case, and as stated above under “—Tax Consequences of Unit Ownership— Section 754 Election,” Latham &amp; Watkins LLP has not rendered an opinion with respect to these methods. Moreover,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In addition, as described above under “—Tax Consequences of Unit Ownership—Allocation of Income, Gain, Loss and Deduction,” if we aggregate multiple issuances of common units for purposes of making adjustments to “book” basis and the related tax allocations, we will treat each of our common units as having the same capital account balance, regardless of the price actually paid by each purchaser of common units in the aggregated offerings. Latham &amp; Watkins LLP is unable to opine as to the validity of such an approach. We do not expect the number of affected common units, or the differences between the purchase price of a common unit and the initial capital account balance assigned to the common unit, to be material, and we do not expect this convention will have a material effect upon the trading of our common units.</w:t>
      </w:r>
    </w:p>
    <w:p>
      <w:pPr>
        <w:spacing w:after="0" w:line="3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Tax-Exempt Organizations and Other Investors</w:t>
      </w:r>
    </w:p>
    <w:p>
      <w:pPr>
        <w:spacing w:after="0" w:line="91" w:lineRule="exact"/>
        <w:rPr>
          <w:sz w:val="20"/>
          <w:szCs w:val="20"/>
          <w:color w:val="auto"/>
        </w:rPr>
      </w:pPr>
    </w:p>
    <w:p>
      <w:pPr>
        <w:jc w:val="both"/>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Ownership of units by employee benefit plans, other tax-exempt organizations, non-resident aliens, foreign corporations and other foreign persons raises issues unique to those investors and, as described below to a limited extent, may have substantially adverse tax consequences to them. If you are a tax-exempt entity or a foreign person, you should consult your tax advisor before investing in our common units.</w:t>
      </w:r>
    </w:p>
    <w:p>
      <w:pPr>
        <w:spacing w:after="0" w:line="141"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Employee benefit plans and most other organizations exempt from U.S. federal income tax, including IRAs and other retirement plans, are subject to U.S. federal income tax on unrelated business taxable income. Virtually all of our income allocated to a unitholder that is a tax-exempt organization will be unrelated business taxable income and will be taxable to it. Further, a tax exempt organization with more than one unrelated trade or business (including by attribution from investments in a partnership, such as us, that is engaged in one or more unrelated trades or businesses) must compute its unrelated business taxable income separately for each such trade or business, including for purposes of determining any net operating loss deduction. As a result, it may not be possible for tax exempt organizations to use losses from an investment in us to offset taxable income from another unrelated trade or business.</w:t>
      </w:r>
    </w:p>
    <w:p>
      <w:pPr>
        <w:spacing w:after="0" w:line="145" w:lineRule="exact"/>
        <w:rPr>
          <w:sz w:val="20"/>
          <w:szCs w:val="20"/>
          <w:color w:val="auto"/>
        </w:rPr>
      </w:pPr>
    </w:p>
    <w:p>
      <w:pPr>
        <w:ind w:left="280" w:right="419" w:firstLine="337"/>
        <w:spacing w:after="0" w:line="251" w:lineRule="auto"/>
        <w:rPr>
          <w:sz w:val="20"/>
          <w:szCs w:val="20"/>
          <w:color w:val="auto"/>
        </w:rPr>
      </w:pPr>
      <w:r>
        <w:rPr>
          <w:rFonts w:ascii="Times New Roman" w:cs="Times New Roman" w:eastAsia="Times New Roman" w:hAnsi="Times New Roman"/>
          <w:sz w:val="14"/>
          <w:szCs w:val="14"/>
          <w:color w:val="auto"/>
        </w:rPr>
        <w:t>Non-resident aliens and foreign corporations, trusts or estates that own common units will be considered to be engaged in business in the United States because of the ownership of such common units. As a consequence, they will be required to file federal tax returns to report their share of our income, gain, loss or deduction and pay U.S. federal income tax at regular rates on their share of our net income or gain. Moreover, under rules applicable to publicly traded partnerships, our quarterly distribution to foreign unitholders will be subject to withholding at the highest applicable effective tax rate. Each foreign unitholder must obtain a taxpayer identification number from the IRS and submit that number to our transfer agent on a Form W-8BEN, W-8BEN-E or applicable substitute form in order to obtain credit for these withholding taxes. A change in applicable law may require us to change these procedures.</w:t>
      </w:r>
    </w:p>
    <w:p>
      <w:pPr>
        <w:spacing w:after="0" w:line="145"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In addition, because a foreign corporation that owns common units will be treated as engaged in a U.S. trade or business, that corporation may be subject to the U.S. branch profits tax at a rate of 30%, in addition to regular</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70" w:name="page71"/>
    <w:bookmarkEnd w:id="70"/>
    <w:p>
      <w:pPr>
        <w:jc w:val="both"/>
        <w:ind w:left="28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U.S. federal income tax, on its share of our earnings and profits, as adjusted for changes in the foreign corporation’s “U.S. net equity,” that is effectively connected with the conduct of a U.S.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60"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 foreign unitholder who sells or otherwise disposes of a common unit will be subject to U.S. federal income tax on gain realized from the sale or disposition of that unit to the extent the gain is effectively connected with a U.S. trade or business of the foreign unitholder. Gain on the sale or disposition of a common unit will be treated as effectively connected with a U.S. trade or business to the extent that a foreign unitholder would recognize gain effectively connected with a U.S. trade or business upon the hypothetical sale of our assets at fair market value on the date of the sale or exchange of that unit. Such gain shall be reduced by certain amounts treated as effectively connected with a U.S. trade or business attributable to certain real property interests, as set forth in the following paragraph.</w:t>
      </w:r>
    </w:p>
    <w:p>
      <w:pPr>
        <w:spacing w:after="0" w:line="148" w:lineRule="exact"/>
        <w:rPr>
          <w:sz w:val="20"/>
          <w:szCs w:val="20"/>
          <w:color w:val="auto"/>
        </w:rPr>
      </w:pPr>
    </w:p>
    <w:p>
      <w:pPr>
        <w:ind w:left="280" w:right="319" w:firstLine="337"/>
        <w:spacing w:after="0" w:line="249" w:lineRule="auto"/>
        <w:rPr>
          <w:sz w:val="20"/>
          <w:szCs w:val="20"/>
          <w:color w:val="auto"/>
        </w:rPr>
      </w:pPr>
      <w:r>
        <w:rPr>
          <w:rFonts w:ascii="Times New Roman" w:cs="Times New Roman" w:eastAsia="Times New Roman" w:hAnsi="Times New Roman"/>
          <w:sz w:val="14"/>
          <w:szCs w:val="14"/>
          <w:color w:val="auto"/>
        </w:rPr>
        <w:t>Under the Foreign Investment in Real Property Tax Act, a foreign common unitholder (other than certain “qualified foreign pension funds” (or an entity all of the interests of which are held by such a qualified foreign pension fund), which generally are entities or arrangements that are established and regulated by foreign law to provide retirement or other pension benefits to employees, do not have a single participant or beneficiary that is entitled to more than 5% of the assets or income of the entity or arrangement and are subject to certain preferential tax treatment under the laws of the applicable foreign country) generally will be subject to U.S. federal income tax upon the sale or disposition of a common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five-year period ending on the date of disposition. Currently, more than 50% of our assets consist of U.S. real property interests and we do not expect that to change in the foreseeable future. Therefore, foreign unitholders may be subject to U.S. federal income tax on gain from the sale or disposition of their units.</w:t>
      </w:r>
    </w:p>
    <w:p>
      <w:pPr>
        <w:spacing w:after="0" w:line="150" w:lineRule="exact"/>
        <w:rPr>
          <w:sz w:val="20"/>
          <w:szCs w:val="20"/>
          <w:color w:val="auto"/>
        </w:rPr>
      </w:pPr>
    </w:p>
    <w:p>
      <w:pPr>
        <w:ind w:left="280" w:right="359" w:firstLine="337"/>
        <w:spacing w:after="0" w:line="250" w:lineRule="auto"/>
        <w:rPr>
          <w:sz w:val="20"/>
          <w:szCs w:val="20"/>
          <w:color w:val="auto"/>
        </w:rPr>
      </w:pPr>
      <w:r>
        <w:rPr>
          <w:rFonts w:ascii="Times New Roman" w:cs="Times New Roman" w:eastAsia="Times New Roman" w:hAnsi="Times New Roman"/>
          <w:sz w:val="14"/>
          <w:szCs w:val="14"/>
          <w:color w:val="auto"/>
        </w:rPr>
        <w:t>Upon the sale, exchange or other disposition of a common unit by a foreign unitholder, the transferee is generally required to withhold 10% of the amount realized on such sale, exchange or other disposition if any portion of the gain on such sale, exchange or other disposition would be treated as effectively connected with a U.S. trade or business. The U.S. Department of the Treasury and the IRS have issued final regulations providing guidance on the application of these rules for transfers of certain publicly traded partnership interests, including transfers of our common units. Under these regulations, the “amount realized” on a transfer of our common units will generally be the amount of gross proceeds paid to the broker effecting the applicable transfer on behalf of the transferor, and such broker will generally be responsible for the relevant withholding obligations. Quarterly distributions made to our foreign unitholders may also be subject to withholding under these rules to the extent a portion of a distribution is attributable to an amount in excess of our cumulative net income that has not previously been distributed. Prospective foreign unitholders should consult their tax advisors regarding the impact of these rules on an investment in our common units.</w:t>
      </w:r>
    </w:p>
    <w:p>
      <w:pPr>
        <w:spacing w:after="0" w:line="145"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Additional withholding requirements may also affect certain foreign unitholders. Please read “—Administrative Matters—Additional Withholding Requirements.”</w:t>
      </w: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Administrative Matters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Information Returns and Audit Procedures</w:t>
      </w:r>
    </w:p>
    <w:p>
      <w:pPr>
        <w:spacing w:after="0" w:line="91" w:lineRule="exact"/>
        <w:rPr>
          <w:sz w:val="20"/>
          <w:szCs w:val="20"/>
          <w:color w:val="auto"/>
        </w:rPr>
      </w:pPr>
    </w:p>
    <w:p>
      <w:pPr>
        <w:ind w:left="280" w:right="459" w:firstLine="337"/>
        <w:spacing w:after="0" w:line="259" w:lineRule="auto"/>
        <w:rPr>
          <w:sz w:val="20"/>
          <w:szCs w:val="20"/>
          <w:color w:val="auto"/>
        </w:rPr>
      </w:pPr>
      <w:r>
        <w:rPr>
          <w:rFonts w:ascii="Times New Roman" w:cs="Times New Roman" w:eastAsia="Times New Roman" w:hAnsi="Times New Roman"/>
          <w:sz w:val="14"/>
          <w:szCs w:val="14"/>
          <w:color w:val="auto"/>
        </w:rPr>
        <w:t>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71" w:name="page72"/>
    <w:bookmarkEnd w:id="71"/>
    <w:p>
      <w:pPr>
        <w:ind w:left="28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unitholder’s share of income, gain, loss and deduction. We cannot assure you that those positions will yield a result that conforms to the requirements of the Internal Revenue Code, Treasury Regulations or administrative interpretations of the IRS. Neither we nor Latham &amp; Watkins LLP can assure prospective common unitholders that the IRS will not successfully contend in court that those positions are impermissible. Any challenge by the IRS could negatively affect the value of the units.</w:t>
      </w:r>
    </w:p>
    <w:p>
      <w:pPr>
        <w:spacing w:after="0" w:line="143" w:lineRule="exact"/>
        <w:rPr>
          <w:sz w:val="20"/>
          <w:szCs w:val="20"/>
          <w:color w:val="auto"/>
        </w:rPr>
      </w:pPr>
    </w:p>
    <w:p>
      <w:pPr>
        <w:jc w:val="both"/>
        <w:ind w:left="280" w:right="639" w:firstLine="337"/>
        <w:spacing w:after="0" w:line="259" w:lineRule="auto"/>
        <w:rPr>
          <w:sz w:val="20"/>
          <w:szCs w:val="20"/>
          <w:color w:val="auto"/>
        </w:rPr>
      </w:pPr>
      <w:r>
        <w:rPr>
          <w:rFonts w:ascii="Times New Roman" w:cs="Times New Roman" w:eastAsia="Times New Roman" w:hAnsi="Times New Roman"/>
          <w:sz w:val="14"/>
          <w:szCs w:val="14"/>
          <w:color w:val="auto"/>
        </w:rPr>
        <w:t>The IRS may audit our U.S.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141" w:lineRule="exact"/>
        <w:rPr>
          <w:sz w:val="20"/>
          <w:szCs w:val="20"/>
          <w:color w:val="auto"/>
        </w:rPr>
      </w:pPr>
    </w:p>
    <w:p>
      <w:pPr>
        <w:jc w:val="both"/>
        <w:ind w:left="280" w:right="459" w:firstLine="337"/>
        <w:spacing w:after="0" w:line="259" w:lineRule="auto"/>
        <w:rPr>
          <w:sz w:val="20"/>
          <w:szCs w:val="20"/>
          <w:color w:val="auto"/>
        </w:rPr>
      </w:pPr>
      <w:r>
        <w:rPr>
          <w:rFonts w:ascii="Times New Roman" w:cs="Times New Roman" w:eastAsia="Times New Roman" w:hAnsi="Times New Roman"/>
          <w:sz w:val="14"/>
          <w:szCs w:val="14"/>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w:t>
      </w:r>
    </w:p>
    <w:p>
      <w:pPr>
        <w:spacing w:after="0" w:line="141"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unitholders and former unitholders take such audit adjustment into account in accordance with their interest in us during the tax year under audit, but there can be no assurance that such election will be effective in all circumstances. If we are unable to have our unitholders and former unitholders take such audit adjustment into account in accordance with their interests in us during the tax year under audit, our current unitholders may bear some or all of the tax liability resulting from such audit adjustment, even if such unitholders did not own our common units during the tax year under audit. If, as a result of any such audit adjustment, we are required to make payments of taxes, penalties and interest, our cash available for distribution to our common unitholders might be substantially reduced.</w:t>
      </w:r>
    </w:p>
    <w:p>
      <w:pPr>
        <w:spacing w:after="0" w:line="150"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Additionally, pursuant to the Bipartisan Budget Act of 2015, we are required to designate a partner, or other person, with a substantial presence in the United States as the partnership representative (“Partnership Representative”). The Partnership Representative has the sole authority to act on our behalf for purposes of, among other things, U.S. federal income tax audits and judicial review of administrative adjustments by the IRS. If we do not make such a designation, the IRS can select any person as the Partnership Representative. We have designated our general partner as our Partnership Representative. Further, any actions taken by us or by the Partnership Representative on our behalf with respect to, among other things, U.S. federal income tax audits and judicial review of administrative adjustments by the IRS, will be binding on us and all of our unitholders.</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Additional Withholding Requirements</w:t>
      </w:r>
    </w:p>
    <w:p>
      <w:pPr>
        <w:spacing w:after="0" w:line="91"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Withholding taxes may apply to certain types of payments made to “foreign financial institutions” (as specially defined in the Internal Revenue Code) and certain other foreign entities. Specifically, a 30% withholding tax may be imposed on interest, dividends and other fixed or determinable annual or periodical gains, profits and income from sources within the United States (“FDAP Income”), or subject to the proposed Treasury Regulations discussed below, gross proceeds from the sale or other disposition of any property of a type that can produce interest or dividends from sources within the United States (“Gross Proceeds”) paid to a foreign financial institution or to a “non-financial foreign entity” (as specially defined in the Internal Revenue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72" w:name="page73"/>
    <w:bookmarkEnd w:id="72"/>
    <w:p>
      <w:pPr>
        <w:ind w:left="28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qualifies for an exemption from these rules. If the payee is a foreign financial institution and is subject to the diligence and reporting requirements in clause (i) above, it must enter into an agreement with the U.S. Department of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44"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These rules generally apply to payments of FDAP Income currently and, while these rules generally would have applied to payments of relevant Gross Proceeds made on or after January 1, 2019, proposed Treasury Regulations eliminate these withholding taxes on payments of Gross Proceeds entirely. Unitholders generally may rely on these proposed Treasury Regulations until final Treasury Regulations are issued. Thus, to the extent we have FDAP Income that is not treated as effectively connected with a U.S. trade or business (please read “—Tax-Exempt Organizations and Other Investors”), unitholders who are foreign financial institutions or certain other foreign entities, or persons that hold their common units through such foreign entities, may be subject to withholding on distributions they receive from us, or their distributive share of our income, pursuant to the rules described above.</w:t>
      </w:r>
    </w:p>
    <w:p>
      <w:pPr>
        <w:spacing w:after="0" w:line="145" w:lineRule="exact"/>
        <w:rPr>
          <w:sz w:val="20"/>
          <w:szCs w:val="20"/>
          <w:color w:val="auto"/>
        </w:rPr>
      </w:pPr>
    </w:p>
    <w:p>
      <w:pPr>
        <w:ind w:left="280" w:right="359" w:firstLine="337"/>
        <w:spacing w:after="0" w:line="273" w:lineRule="auto"/>
        <w:rPr>
          <w:sz w:val="20"/>
          <w:szCs w:val="20"/>
          <w:color w:val="auto"/>
        </w:rPr>
      </w:pPr>
      <w:r>
        <w:rPr>
          <w:rFonts w:ascii="Times New Roman" w:cs="Times New Roman" w:eastAsia="Times New Roman" w:hAnsi="Times New Roman"/>
          <w:sz w:val="14"/>
          <w:szCs w:val="14"/>
          <w:color w:val="auto"/>
        </w:rPr>
        <w:t>Prospective common unitholders should consult their own tax advisors regarding the potential application of these withholding provisions to their investment in our common units.</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Nominee Reporting</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Persons who hold an interest in us as a nominee for another person are required to furnish to us:</w:t>
      </w:r>
    </w:p>
    <w:p>
      <w:pPr>
        <w:spacing w:after="0" w:line="98" w:lineRule="exact"/>
        <w:rPr>
          <w:sz w:val="20"/>
          <w:szCs w:val="20"/>
          <w:color w:val="auto"/>
        </w:rPr>
      </w:pPr>
    </w:p>
    <w:p>
      <w:pPr>
        <w:ind w:left="1020" w:hanging="322"/>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beneficial owner is:</w:t>
      </w:r>
    </w:p>
    <w:p>
      <w:pPr>
        <w:spacing w:after="0" w:line="97" w:lineRule="exact"/>
        <w:rPr>
          <w:rFonts w:ascii="Times New Roman" w:cs="Times New Roman" w:eastAsia="Times New Roman" w:hAnsi="Times New Roman"/>
          <w:sz w:val="14"/>
          <w:szCs w:val="14"/>
          <w:color w:val="auto"/>
        </w:rPr>
      </w:pPr>
    </w:p>
    <w:p>
      <w:pPr>
        <w:ind w:left="1380" w:hanging="258"/>
        <w:spacing w:after="0"/>
        <w:tabs>
          <w:tab w:leader="none" w:pos="138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that is not a U.S. person;</w:t>
      </w:r>
    </w:p>
    <w:p>
      <w:pPr>
        <w:spacing w:after="0" w:line="97" w:lineRule="exact"/>
        <w:rPr>
          <w:rFonts w:ascii="Times New Roman" w:cs="Times New Roman" w:eastAsia="Times New Roman" w:hAnsi="Times New Roman"/>
          <w:sz w:val="14"/>
          <w:szCs w:val="14"/>
          <w:color w:val="auto"/>
        </w:rPr>
      </w:pPr>
    </w:p>
    <w:p>
      <w:pPr>
        <w:ind w:left="1380" w:hanging="258"/>
        <w:spacing w:after="0"/>
        <w:tabs>
          <w:tab w:leader="none" w:pos="138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government, an international organization or any wholly owned agency or instrumentality of either of the foregoing; or</w:t>
      </w:r>
    </w:p>
    <w:p>
      <w:pPr>
        <w:spacing w:after="0" w:line="97" w:lineRule="exact"/>
        <w:rPr>
          <w:rFonts w:ascii="Times New Roman" w:cs="Times New Roman" w:eastAsia="Times New Roman" w:hAnsi="Times New Roman"/>
          <w:sz w:val="14"/>
          <w:szCs w:val="14"/>
          <w:color w:val="auto"/>
        </w:rPr>
      </w:pPr>
    </w:p>
    <w:p>
      <w:pPr>
        <w:ind w:left="1380" w:hanging="258"/>
        <w:spacing w:after="0"/>
        <w:tabs>
          <w:tab w:leader="none" w:pos="138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tax-exempt entity;</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units held, acquired or transferred for the beneficial owner; and</w:t>
      </w:r>
    </w:p>
    <w:p>
      <w:pPr>
        <w:spacing w:after="0" w:line="97" w:lineRule="exact"/>
        <w:rPr>
          <w:rFonts w:ascii="Times New Roman" w:cs="Times New Roman" w:eastAsia="Times New Roman" w:hAnsi="Times New Roman"/>
          <w:sz w:val="14"/>
          <w:szCs w:val="14"/>
          <w:color w:val="auto"/>
        </w:rPr>
      </w:pPr>
    </w:p>
    <w:p>
      <w:pPr>
        <w:ind w:left="1020" w:right="859" w:hanging="322"/>
        <w:spacing w:after="0" w:line="273" w:lineRule="auto"/>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dispositions.</w:t>
      </w:r>
    </w:p>
    <w:p>
      <w:pPr>
        <w:spacing w:after="0" w:line="130"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Brokers and financial institutions are required to furnish additional information, including whether they are U.S. persons and specific information on units they acquire, hold or transfer for their own account. A penalty per failure, with a significant penalty per calendar year, is imposed by the Internal Revenue Code for failure to report that information to us. The nominee is required to supply the beneficial owner of the units with the information furnished to us.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i w:val="1"/>
          <w:iCs w:val="1"/>
          <w:color w:val="auto"/>
        </w:rPr>
        <w:t>Accuracy-Related Penalties</w:t>
      </w:r>
    </w:p>
    <w:p>
      <w:pPr>
        <w:spacing w:after="0" w:line="91" w:lineRule="exact"/>
        <w:rPr>
          <w:sz w:val="20"/>
          <w:szCs w:val="20"/>
          <w:color w:val="auto"/>
        </w:rPr>
      </w:pPr>
    </w:p>
    <w:p>
      <w:pPr>
        <w:ind w:left="280" w:right="359" w:firstLine="337"/>
        <w:spacing w:after="0" w:line="276" w:lineRule="auto"/>
        <w:rPr>
          <w:sz w:val="20"/>
          <w:szCs w:val="20"/>
          <w:color w:val="auto"/>
        </w:rPr>
      </w:pPr>
      <w:r>
        <w:rPr>
          <w:rFonts w:ascii="Times New Roman" w:cs="Times New Roman" w:eastAsia="Times New Roman" w:hAnsi="Times New Roman"/>
          <w:sz w:val="13"/>
          <w:szCs w:val="13"/>
          <w:color w:val="auto"/>
        </w:rPr>
        <w:t>Certain penalties may be imposed on taxpayers as a result of an underpayment of tax that is attributable to one or more specified causes, including: (i) negligence or disregard of rules or regulations, (ii) substantial understatements of income tax, (iii) substantial valuation misstatements and</w:t>
      </w:r>
    </w:p>
    <w:p>
      <w:pPr>
        <w:ind w:left="280" w:right="379" w:firstLine="5"/>
        <w:spacing w:after="0" w:line="250" w:lineRule="auto"/>
        <w:tabs>
          <w:tab w:leader="none" w:pos="51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disallowance of claimed tax benefits by reason of a transaction lacking economic substance or failing to meet the requirements of any similar rule of law. Except with respect to the disallowance of claimed tax benefits by reason of a transaction lacking economic substance or failing to meet the requirements of any similar rule of law, however, no penalty will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73" w:name="page74"/>
    <w:bookmarkEnd w:id="73"/>
    <w:p>
      <w:pPr>
        <w:ind w:left="280" w:right="57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imposed for any portion of any such underpayment if it is shown that there was a reasonable cause for the underpayment of that portion and that the taxpayer acted in good faith regarding the underpayment of that portion.</w:t>
      </w:r>
    </w:p>
    <w:p>
      <w:pPr>
        <w:spacing w:after="0" w:line="130"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With respect to substantial understatements of income tax, the amount of any understatement subject to penalty generally is reduced by that portion of the understatement which is attributable to a position adopted on the return: (A) for which there is, or was, “substantial authority”; or (B) as to which there is a reasonable basis and the relevant facts of that position are adequately disclosed on the return. If any item of income, gain, loss or deduction included in the distributive shares of unitholders might result in that kind of an “understatement” of income for which no “substantial authority” exists, we must adequately disclose the relevant facts on our return. In addition, we will make a reasonable effort to furnish sufficient information for unitholders to make adequate disclosure on their returns and to take other actions as may be appropriate to permit unitholders to avoid liability for this penalty.</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Recent Legislative Developments</w:t>
      </w:r>
    </w:p>
    <w:p>
      <w:pPr>
        <w:spacing w:after="0" w:line="91"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The present U.S. federal income tax treatment of publicly traded partnerships, including us, or an investment in our common units may be modified by administrative, legislative or judicial interpretation at any time. For example, from time to time, members of Congress and the President propose and consider substantive changes to the existing federal income tax laws that affect publicly traded partnerships, including the elimination of partnership tax treatment for publicly traded partnerships. Moreover, notwithstanding that the Treasury Regulations and our private letter ruling treat our income from the production, transportation, storage and marketing of ethylene and its co-products as “qualifying income,” there can be no assurance that there will not be further changes to the Treasury Department’s interpretation of the qualifying income rules in a manner that could impact our ability to qualify as a partnership in the future.</w:t>
      </w:r>
    </w:p>
    <w:p>
      <w:pPr>
        <w:spacing w:after="0" w:line="145"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Any modification to the U.S. federal income tax laws and interpretations thereof may or may not be retroactively applied and could make it more difficult or impossible to meet the exception for us to be treated as a partnership for U.S. federal income tax purposes. Please read “—Partnership Status.” We are unable to predict whether any such changes will ultimately be enacted. However, it is possible that a change in law could affect us, and any such changes could negatively impact the value of an investment in our common units.</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State, Local, Foreign and Other Tax Considerations</w:t>
      </w:r>
    </w:p>
    <w:p>
      <w:pPr>
        <w:spacing w:after="0" w:line="91"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In addition to U.S. federal income taxes, you will likely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common unitholder should consider their potential impact on his investment in us. We currently own property or do business in Kentucky, Louisiana and Texas; Kentucky and Louisiana currently impose an income tax on individuals, corporations and other entities. We may also own property or do business in other jurisdictions in the future. 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In some jurisdictions, tax losses may not produce a tax benefit in the year incurred and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 Collections.” Based on current law and our estimate of our future operations, our general partner anticipates that any amounts required to be withheld will not be material.</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74" w:name="page75"/>
    <w:bookmarkEnd w:id="74"/>
    <w:p>
      <w:pPr>
        <w:ind w:left="280" w:right="359" w:firstLine="337"/>
        <w:spacing w:after="0" w:line="254"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 is the responsibility of each unitholder to investigate the legal and tax consequences, under the laws of pertinent states, localities and foreign jurisdictions, of his investment in us. Accordingly, each prospective common unitholder is urged to consult his own tax counsel or other advisor with regard to those matters. Further, it is the responsibility of each unitholder to file all state, local and foreign, as well as U.S. federal tax returns, that may be required of him. Latham &amp; Watkins LLP has not rendered an opinion on the state tax, local tax, alternative minimum tax or foreign tax consequences of an investment in us.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6"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CERTAIN ERISA CONSIDERATIONS</w:t>
      </w:r>
    </w:p>
    <w:p>
      <w:pPr>
        <w:spacing w:after="0" w:line="174"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The following is a summary of certain considerations associated with the acquisition and holding of our common units by employee benefit plans that are subject to Title I of the Employee Retirement Income Security Act of 1974, as amended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145"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 Fiduciary Matters</w:t>
      </w:r>
    </w:p>
    <w:p>
      <w:pPr>
        <w:spacing w:after="0" w:line="9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44"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In considering an investment in our common units with a portion of the assets of any Plan, a fiduciary should consider the Plan’s particular circumstances and all of the facts and circumstances of the investment and determine whether the acquisition and holding of such units is in accordance with the documents and instruments governing the Plan and the applicable provisions of ERISA, the Code, or any Similar Law relating to the fiduciary’s duties to the Plan, including, without limitation:</w:t>
      </w:r>
    </w:p>
    <w:p>
      <w:pPr>
        <w:spacing w:after="0" w:line="71" w:lineRule="exact"/>
        <w:rPr>
          <w:sz w:val="20"/>
          <w:szCs w:val="20"/>
          <w:color w:val="auto"/>
        </w:rPr>
      </w:pPr>
    </w:p>
    <w:p>
      <w:pPr>
        <w:ind w:left="1020" w:hanging="322"/>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prudent under Section 404(a)(1)(B) of ERISA and any other applicable Similar Laws;</w:t>
      </w:r>
    </w:p>
    <w:p>
      <w:pPr>
        <w:spacing w:after="0" w:line="97" w:lineRule="exact"/>
        <w:rPr>
          <w:rFonts w:ascii="Times New Roman" w:cs="Times New Roman" w:eastAsia="Times New Roman" w:hAnsi="Times New Roman"/>
          <w:sz w:val="14"/>
          <w:szCs w:val="14"/>
          <w:color w:val="auto"/>
        </w:rPr>
      </w:pPr>
    </w:p>
    <w:p>
      <w:pPr>
        <w:ind w:left="1020" w:right="319" w:hanging="322"/>
        <w:spacing w:after="0" w:line="273"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 making the investment, the ERISA Plan will satisfy the diversification requirements of Section 404(a)(1)(C) of ERISA and any other applicable Similar Laws;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is permitted under the terms of the applicable documents governing the Plan;</w:t>
      </w:r>
    </w:p>
    <w:p>
      <w:pPr>
        <w:spacing w:after="0" w:line="97" w:lineRule="exact"/>
        <w:rPr>
          <w:rFonts w:ascii="Times New Roman" w:cs="Times New Roman" w:eastAsia="Times New Roman" w:hAnsi="Times New Roman"/>
          <w:sz w:val="14"/>
          <w:szCs w:val="14"/>
          <w:color w:val="auto"/>
        </w:rPr>
      </w:pPr>
    </w:p>
    <w:p>
      <w:pPr>
        <w:ind w:left="1020" w:right="879" w:hanging="322"/>
        <w:spacing w:after="0" w:line="273"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acquisition or holding of the common units will constitute a “prohibited transaction” under Section 406 of ERISA or Section 4975 of the Code (please see discussion under “—Prohibited Transaction Issues” below);</w:t>
      </w:r>
    </w:p>
    <w:p>
      <w:pPr>
        <w:spacing w:after="0" w:line="57" w:lineRule="exact"/>
        <w:rPr>
          <w:rFonts w:ascii="Times New Roman" w:cs="Times New Roman" w:eastAsia="Times New Roman" w:hAnsi="Times New Roman"/>
          <w:sz w:val="14"/>
          <w:szCs w:val="14"/>
          <w:color w:val="auto"/>
        </w:rPr>
      </w:pPr>
    </w:p>
    <w:p>
      <w:pPr>
        <w:ind w:left="1020" w:right="599" w:hanging="322"/>
        <w:spacing w:after="0" w:line="273"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Plan will be considered to hold, as plan assets, (i) only common units or (ii) an undivided interest in our underlying assets (please see the discussion under “—Plan Asset Issues” below); and</w:t>
      </w:r>
    </w:p>
    <w:p>
      <w:pPr>
        <w:spacing w:after="0" w:line="57" w:lineRule="exact"/>
        <w:rPr>
          <w:rFonts w:ascii="Times New Roman" w:cs="Times New Roman" w:eastAsia="Times New Roman" w:hAnsi="Times New Roman"/>
          <w:sz w:val="14"/>
          <w:szCs w:val="14"/>
          <w:color w:val="auto"/>
        </w:rPr>
      </w:pPr>
    </w:p>
    <w:p>
      <w:pPr>
        <w:ind w:left="1020" w:right="699" w:hanging="322"/>
        <w:spacing w:after="0" w:line="312" w:lineRule="auto"/>
        <w:tabs>
          <w:tab w:leader="none" w:pos="10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investment will result in recognition of unrelated business taxable income by the Plan and, if so, the potential after-tax investment return. Please read “Material U.S. Federal Income Tax Consequences—Tax-Exempt Organizations and Other Investors.”</w:t>
      </w:r>
    </w:p>
    <w:p>
      <w:pPr>
        <w:spacing w:after="0" w:line="1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Prohibited Transaction Issues</w:t>
      </w:r>
    </w:p>
    <w:p>
      <w:pPr>
        <w:spacing w:after="0" w:line="91"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Section 406 of ERISA and Section 4975 of the Code prohibit ERISA Plans from engaging in specified transactions involving plan assets with persons or entities who are “parties in interest,” within the meaning of</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7" w:right="1440" w:bottom="1440" w:gutter="0" w:footer="0" w:header="0"/>
        </w:sectPr>
      </w:pPr>
    </w:p>
    <w:bookmarkStart w:id="76" w:name="page77"/>
    <w:bookmarkEnd w:id="76"/>
    <w:p>
      <w:pPr>
        <w:ind w:left="28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our common units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145" w:lineRule="exact"/>
        <w:rPr>
          <w:sz w:val="20"/>
          <w:szCs w:val="20"/>
          <w:color w:val="auto"/>
        </w:rPr>
      </w:pPr>
    </w:p>
    <w:p>
      <w:pPr>
        <w:ind w:left="280" w:right="679" w:firstLine="337"/>
        <w:spacing w:after="0" w:line="259" w:lineRule="auto"/>
        <w:rPr>
          <w:sz w:val="20"/>
          <w:szCs w:val="20"/>
          <w:color w:val="auto"/>
        </w:rPr>
      </w:pPr>
      <w:r>
        <w:rPr>
          <w:rFonts w:ascii="Times New Roman" w:cs="Times New Roman" w:eastAsia="Times New Roman" w:hAnsi="Times New Roman"/>
          <w:sz w:val="14"/>
          <w:szCs w:val="14"/>
          <w:color w:val="auto"/>
        </w:rPr>
        <w:t>Because of the foregoing, our common units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2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Plan Asset Issues</w:t>
      </w:r>
    </w:p>
    <w:p>
      <w:pPr>
        <w:spacing w:after="0" w:line="91"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Additionally, a fiduciary of a Plan should consider whether the Plan will, by investing in us, be deemed to own an undivided interest in our assets, with the result that our general partner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141" w:lineRule="exact"/>
        <w:rPr>
          <w:sz w:val="20"/>
          <w:szCs w:val="20"/>
          <w:color w:val="auto"/>
        </w:rPr>
      </w:pPr>
    </w:p>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68" w:lineRule="exact"/>
        <w:rPr>
          <w:sz w:val="20"/>
          <w:szCs w:val="20"/>
          <w:color w:val="auto"/>
        </w:rPr>
      </w:pPr>
    </w:p>
    <w:p>
      <w:pPr>
        <w:ind w:left="1020" w:right="479" w:hanging="404"/>
        <w:spacing w:after="0" w:line="255" w:lineRule="auto"/>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and are either registered under certain provisions of the federal securities laws or sold to the ERISA Plan as part of a public offering under certain conditions;</w:t>
      </w:r>
    </w:p>
    <w:p>
      <w:pPr>
        <w:spacing w:after="0" w:line="70" w:lineRule="exact"/>
        <w:rPr>
          <w:rFonts w:ascii="Times New Roman" w:cs="Times New Roman" w:eastAsia="Times New Roman" w:hAnsi="Times New Roman"/>
          <w:sz w:val="14"/>
          <w:szCs w:val="14"/>
          <w:color w:val="auto"/>
        </w:rPr>
      </w:pPr>
    </w:p>
    <w:p>
      <w:pPr>
        <w:ind w:left="1020" w:right="719" w:hanging="404"/>
        <w:spacing w:after="0" w:line="312" w:lineRule="auto"/>
        <w:tabs>
          <w:tab w:leader="none" w:pos="102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35" w:lineRule="exact"/>
        <w:rPr>
          <w:rFonts w:ascii="Times New Roman" w:cs="Times New Roman" w:eastAsia="Times New Roman" w:hAnsi="Times New Roman"/>
          <w:sz w:val="13"/>
          <w:szCs w:val="13"/>
          <w:color w:val="auto"/>
        </w:rPr>
      </w:pPr>
    </w:p>
    <w:p>
      <w:pPr>
        <w:ind w:left="1020" w:right="419" w:hanging="404"/>
        <w:spacing w:after="0" w:line="251" w:lineRule="auto"/>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significant investment by “benefit plan investors” (as defined in the DOL regulations)—i.e.,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148"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common units on behalf of, or with the assets of, any Plan, consult with their counsel regarding the potential applicability of ERISA, Section 4975 of the Code and any Similar Laws to such investment and whether an exemption would be applicable to the acquisition and holding of our common units. Purchasers of our common units have the exclusive responsibility for ensuring that their acquisition and holding of such units complies with the fiduciary responsibility rules of ERISA and does not violate the prohibited transaction rules of ERISA, the Code or applicable Similar Laws. The sale of common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77" w:name="page78"/>
    <w:bookmarkEnd w:id="77"/>
    <w:p>
      <w:pPr>
        <w:ind w:left="280" w:right="919"/>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units to a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PLAN OF DISTRIBUTION</w:t>
      </w:r>
    </w:p>
    <w:p>
      <w:pPr>
        <w:spacing w:after="0" w:line="174"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As of the date of this prospectus, we have not been advised by the selling unitholder as to any plan of distribution. The selling unitholder may choose not to sell any of the common units. The selling unitholder may sell the common units offered pursuant to this prospectus and any accompanying prospectus supplement directly, through agents or to or through underwriters, brokers or dealers, in privately negotiated transactions, in a combination of any such methods of disposition, and through any other method permitted pursuant to applicable law. The selling unitholder may distribute the common units offered pursuant to this prospectus and any accompanying prospectus supplement from time to time in one or more transactions at: a fixed price; market prices prevailing at the time of sale; prices related to prevailing market prices; varying prices determined at the time of sale; or negotiated prices. The selling unitholder may make sales of our common units on the NYSE or otherwise at prices and under terms prevailing at the time of sale, or at prices related to the then-current market price, at fixed prices, or in privately negotiated transactions.</w:t>
      </w:r>
    </w:p>
    <w:p>
      <w:pPr>
        <w:spacing w:after="0" w:line="148" w:lineRule="exact"/>
        <w:rPr>
          <w:sz w:val="20"/>
          <w:szCs w:val="20"/>
          <w:color w:val="auto"/>
        </w:rPr>
      </w:pPr>
    </w:p>
    <w:p>
      <w:pPr>
        <w:ind w:left="280" w:right="299" w:firstLine="337"/>
        <w:spacing w:after="0" w:line="255" w:lineRule="auto"/>
        <w:rPr>
          <w:sz w:val="20"/>
          <w:szCs w:val="20"/>
          <w:color w:val="auto"/>
        </w:rPr>
      </w:pPr>
      <w:r>
        <w:rPr>
          <w:rFonts w:ascii="Times New Roman" w:cs="Times New Roman" w:eastAsia="Times New Roman" w:hAnsi="Times New Roman"/>
          <w:sz w:val="14"/>
          <w:szCs w:val="14"/>
          <w:color w:val="auto"/>
        </w:rPr>
        <w:t>In connection with sales of the common units under this prospectus, the selling unitholder may enter into hedging transactions with broker-dealers, who may in turn engage in short sales of the common units in the course of hedging the positions they assume. The selling unitholder also may engage in short sales, short sales against the box, puts and calls and other transactions in common units, or derivatives thereof, and may sell and deliver their common units in connection therewith, or loan or pledge the common units to broker-dealers that in turn may sell them.</w:t>
      </w:r>
    </w:p>
    <w:p>
      <w:pPr>
        <w:spacing w:after="0" w:line="143" w:lineRule="exact"/>
        <w:rPr>
          <w:sz w:val="20"/>
          <w:szCs w:val="20"/>
          <w:color w:val="auto"/>
        </w:rPr>
      </w:pPr>
    </w:p>
    <w:p>
      <w:pPr>
        <w:ind w:left="280" w:right="459" w:firstLine="337"/>
        <w:spacing w:after="0" w:line="255" w:lineRule="auto"/>
        <w:rPr>
          <w:sz w:val="20"/>
          <w:szCs w:val="20"/>
          <w:color w:val="auto"/>
        </w:rPr>
      </w:pPr>
      <w:r>
        <w:rPr>
          <w:rFonts w:ascii="Times New Roman" w:cs="Times New Roman" w:eastAsia="Times New Roman" w:hAnsi="Times New Roman"/>
          <w:sz w:val="14"/>
          <w:szCs w:val="14"/>
          <w:color w:val="auto"/>
        </w:rPr>
        <w:t>In addition, the selling unitholder may from time to time sell common units in compliance with Rule 144 under the Securities Act of 1933, as amended (“Securities Act”), if available, or pursuant to other available exemptions from the registration requirements under the Securities Act, rather than pursuant to this prospectus. The selling unitholder may be required by the securities laws of certain states to offer and sell the common units only through registered or licensed brokers or dealers.</w:t>
      </w:r>
    </w:p>
    <w:p>
      <w:pPr>
        <w:spacing w:after="0" w:line="143" w:lineRule="exact"/>
        <w:rPr>
          <w:sz w:val="20"/>
          <w:szCs w:val="20"/>
          <w:color w:val="auto"/>
        </w:rPr>
      </w:pPr>
    </w:p>
    <w:p>
      <w:pPr>
        <w:ind w:left="280" w:right="319" w:firstLine="337"/>
        <w:spacing w:after="0" w:line="253" w:lineRule="auto"/>
        <w:rPr>
          <w:sz w:val="20"/>
          <w:szCs w:val="20"/>
          <w:color w:val="auto"/>
        </w:rPr>
      </w:pPr>
      <w:r>
        <w:rPr>
          <w:rFonts w:ascii="Times New Roman" w:cs="Times New Roman" w:eastAsia="Times New Roman" w:hAnsi="Times New Roman"/>
          <w:sz w:val="14"/>
          <w:szCs w:val="14"/>
          <w:color w:val="auto"/>
        </w:rPr>
        <w:t>As of the date of this prospectus, neither we nor any selling unitholder has engaged any underwriter, broker, dealer or agent in connection with the distribution of common units pursuant to this prospectus by the selling unitholder. To the extent required, the number of common units to be sold, the purchase price, the name of any applicable agent, broker, dealer or underwriter and any applicable commissions with respect to a particular offer will be set forth in a prospectus supplement. The aggregate net proceeds to the selling unitholder from the sale of their common units offered hereby will be the sale price of those common units, less any commissions, if any, and other expenses of issuance and distribution not borne by us.</w:t>
      </w:r>
    </w:p>
    <w:p>
      <w:pPr>
        <w:spacing w:after="0" w:line="144" w:lineRule="exact"/>
        <w:rPr>
          <w:sz w:val="20"/>
          <w:szCs w:val="20"/>
          <w:color w:val="auto"/>
        </w:rPr>
      </w:pPr>
    </w:p>
    <w:p>
      <w:pPr>
        <w:jc w:val="both"/>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We will pay the costs and expenses related to the registration and offering of the common units offered hereby. We will not pay any underwriting fees, discounts and selling commissions (and similar fees or arrangements associated therewith) and transfer taxes allocable to the selling unitholder’s sale of its common units; these expenses will be paid by the selling unitholder.</w:t>
      </w:r>
    </w:p>
    <w:p>
      <w:pPr>
        <w:spacing w:after="0" w:line="141"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The selling unitholder may agree to indemnify any underwriter, broker-dealer or agent that participates in transactions involving sales of the common units against certain liabilities, including liabilities arising under the Securities Act. We have agreed to indemnify the selling unitholder against certain liabilities to which they may become subject in connection with the sale of the common units owned by the selling unitholder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 and registered under this prospectus, including liabilities under the Securities Act.</w:t>
      </w:r>
    </w:p>
    <w:p>
      <w:pPr>
        <w:spacing w:after="0" w:line="148" w:lineRule="exact"/>
        <w:rPr>
          <w:sz w:val="20"/>
          <w:szCs w:val="20"/>
          <w:color w:val="auto"/>
        </w:rPr>
      </w:pPr>
    </w:p>
    <w:p>
      <w:pPr>
        <w:ind w:left="280" w:right="419" w:firstLine="337"/>
        <w:spacing w:after="0" w:line="259" w:lineRule="auto"/>
        <w:rPr>
          <w:sz w:val="20"/>
          <w:szCs w:val="20"/>
          <w:color w:val="auto"/>
        </w:rPr>
      </w:pPr>
      <w:r>
        <w:rPr>
          <w:rFonts w:ascii="Times New Roman" w:cs="Times New Roman" w:eastAsia="Times New Roman" w:hAnsi="Times New Roman"/>
          <w:sz w:val="14"/>
          <w:szCs w:val="14"/>
          <w:color w:val="auto"/>
        </w:rPr>
        <w:t>Because the Financial Industry Regulatory Authority, Inc. (“FINRA”) views our common units as interests in a direct participation program, any offering of common units under the registration statement of which this prospectus forms a part will be made in compliance with Rule 2310 of the FINRA Conduct Rules.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6" w:right="1440"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SELLING UNITHOLDER</w:t>
      </w:r>
    </w:p>
    <w:p>
      <w:pPr>
        <w:spacing w:after="0" w:line="174"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This prospectus covers the offering for resale, from time to time, in one or more offerings, of up to an aggregate of 1,401,869 common units owned by the selling unitholder. These common units were issued to the selling unitholder on March 29, 2019 in a private placement transaction exempt from the registration requirements of the Securities Act under Section 4(a)(2) thereof pursuant to that certain Common Unit Purchase Agreement dated March 26, 2019, by and among Westlake Chemical Partners LP and the purchasers party thereto (the “Common Unit Purchase Agreement”). It is our understanding that the selling unitholder acquired these common units in the ordinary course of business and at the time of such acquisition did not have any arrangement or understanding with any person to distribute these common units.</w:t>
      </w:r>
    </w:p>
    <w:p>
      <w:pPr>
        <w:spacing w:after="0" w:line="148" w:lineRule="exact"/>
        <w:rPr>
          <w:sz w:val="20"/>
          <w:szCs w:val="20"/>
          <w:color w:val="auto"/>
        </w:rPr>
      </w:pPr>
    </w:p>
    <w:p>
      <w:pPr>
        <w:ind w:left="280" w:right="299" w:firstLine="337"/>
        <w:spacing w:after="0" w:line="259" w:lineRule="auto"/>
        <w:rPr>
          <w:sz w:val="20"/>
          <w:szCs w:val="20"/>
          <w:color w:val="auto"/>
        </w:rPr>
      </w:pPr>
      <w:r>
        <w:rPr>
          <w:rFonts w:ascii="Times New Roman" w:cs="Times New Roman" w:eastAsia="Times New Roman" w:hAnsi="Times New Roman"/>
          <w:sz w:val="14"/>
          <w:szCs w:val="14"/>
          <w:color w:val="auto"/>
        </w:rPr>
        <w:t>The selling unitholder may sell all, some or none of its common units being registered under this prospectus. Please read “Plan of Distribution.” We will bear all costs, expenses and fees in connection with the registration of the common units offered by this prospectus. Brokerage commissions and similar selling expenses, if any, attributable to the sale of the common units will be borne by the selling unitholder.</w:t>
      </w:r>
    </w:p>
    <w:p>
      <w:pPr>
        <w:spacing w:after="0" w:line="141"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The following table sets forth information relating to the selling unitholder as of February 25, 2026, based on information supplied to us by the selling unitholder on or prior to that date. We have not sought to verify such information. Information concerning the selling unitholder may change over time, and if necessary, we will supplement this prospectus accordingly. The selling unitholder may at any time hold or acquire common units in addition to those offered by this prospectus and may have acquired additional common units since the date on which the information reflected herein was provided to us. In addition, the selling unitholder may have sold, transferred or otherwise disposed of some or all of their common units since the date on which the information reflected herein was provided to us and may in the future sell, transfer or otherwise dispose of some or all of its common units in private placement transactions exempt from or not subject to the registration requirements of the Securities Act. Because the selling unitholder is not obligated to sell the offered common units, we cannot state with certainty the amount of our common units that the selling unitholder will hold upon consummation of any such sales.</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8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Common Units Beneficially</w:t>
            </w:r>
          </w:p>
        </w:tc>
        <w:tc>
          <w:tcPr>
            <w:tcW w:w="174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Units Beneficially</w:t>
            </w:r>
          </w:p>
        </w:tc>
        <w:tc>
          <w:tcPr>
            <w:tcW w:w="0" w:type="dxa"/>
            <w:vAlign w:val="bottom"/>
          </w:tcPr>
          <w:p>
            <w:pPr>
              <w:spacing w:after="0"/>
              <w:rPr>
                <w:sz w:val="1"/>
                <w:szCs w:val="1"/>
                <w:color w:val="auto"/>
              </w:rPr>
            </w:pPr>
          </w:p>
        </w:tc>
      </w:tr>
      <w:tr>
        <w:trPr>
          <w:trHeight w:val="114"/>
        </w:trPr>
        <w:tc>
          <w:tcPr>
            <w:tcW w:w="8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000" w:type="dxa"/>
            <w:vAlign w:val="bottom"/>
            <w:gridSpan w:val="4"/>
          </w:tcPr>
          <w:p>
            <w:pPr>
              <w:ind w:left="120"/>
              <w:spacing w:after="0" w:line="114" w:lineRule="exact"/>
              <w:rPr>
                <w:sz w:val="20"/>
                <w:szCs w:val="20"/>
                <w:color w:val="auto"/>
              </w:rPr>
            </w:pPr>
            <w:r>
              <w:rPr>
                <w:rFonts w:ascii="Times New Roman" w:cs="Times New Roman" w:eastAsia="Times New Roman" w:hAnsi="Times New Roman"/>
                <w:sz w:val="11"/>
                <w:szCs w:val="11"/>
                <w:b w:val="1"/>
                <w:bCs w:val="1"/>
                <w:color w:val="auto"/>
              </w:rPr>
              <w:t>Owned Prior to Completion</w:t>
            </w:r>
          </w:p>
        </w:tc>
        <w:tc>
          <w:tcPr>
            <w:tcW w:w="1740" w:type="dxa"/>
            <w:vAlign w:val="bottom"/>
            <w:gridSpan w:val="4"/>
          </w:tcPr>
          <w:p>
            <w:pPr>
              <w:jc w:val="center"/>
              <w:ind w:right="140"/>
              <w:spacing w:after="0" w:line="114" w:lineRule="exact"/>
              <w:rPr>
                <w:sz w:val="20"/>
                <w:szCs w:val="20"/>
                <w:color w:val="auto"/>
              </w:rPr>
            </w:pPr>
            <w:r>
              <w:rPr>
                <w:rFonts w:ascii="Times New Roman" w:cs="Times New Roman" w:eastAsia="Times New Roman" w:hAnsi="Times New Roman"/>
                <w:sz w:val="11"/>
                <w:szCs w:val="11"/>
                <w:b w:val="1"/>
                <w:bCs w:val="1"/>
                <w:color w:val="auto"/>
                <w:w w:val="99"/>
              </w:rPr>
              <w:t>Owned After the Completion</w:t>
            </w:r>
          </w:p>
        </w:tc>
        <w:tc>
          <w:tcPr>
            <w:tcW w:w="0" w:type="dxa"/>
            <w:vAlign w:val="bottom"/>
          </w:tcPr>
          <w:p>
            <w:pPr>
              <w:spacing w:after="0"/>
              <w:rPr>
                <w:sz w:val="1"/>
                <w:szCs w:val="1"/>
                <w:color w:val="auto"/>
              </w:rPr>
            </w:pPr>
          </w:p>
        </w:tc>
      </w:tr>
      <w:tr>
        <w:trPr>
          <w:trHeight w:val="133"/>
        </w:trPr>
        <w:tc>
          <w:tcPr>
            <w:tcW w:w="8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Selling Unitholder</w:t>
            </w:r>
          </w:p>
        </w:tc>
        <w:tc>
          <w:tcPr>
            <w:tcW w:w="3820" w:type="dxa"/>
            <w:vAlign w:val="bottom"/>
            <w:vMerge w:val="restart"/>
          </w:tcPr>
          <w:p>
            <w:pPr>
              <w:spacing w:after="0"/>
              <w:rPr>
                <w:sz w:val="11"/>
                <w:szCs w:val="11"/>
                <w:color w:val="auto"/>
              </w:rPr>
            </w:pPr>
          </w:p>
        </w:tc>
        <w:tc>
          <w:tcPr>
            <w:tcW w:w="200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of Offering</w:t>
            </w:r>
            <w:r>
              <w:rPr>
                <w:rFonts w:ascii="Times New Roman" w:cs="Times New Roman" w:eastAsia="Times New Roman" w:hAnsi="Times New Roman"/>
                <w:sz w:val="8"/>
                <w:szCs w:val="8"/>
                <w:b w:val="1"/>
                <w:bCs w:val="1"/>
                <w:color w:val="auto"/>
              </w:rPr>
              <w:t>(1)</w:t>
            </w:r>
          </w:p>
        </w:tc>
        <w:tc>
          <w:tcPr>
            <w:tcW w:w="174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of 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99"/>
        </w:trPr>
        <w:tc>
          <w:tcPr>
            <w:tcW w:w="880" w:type="dxa"/>
            <w:vAlign w:val="bottom"/>
            <w:tcBorders>
              <w:bottom w:val="single" w:sz="8" w:color="auto"/>
            </w:tcBorders>
            <w:vMerge w:val="continue"/>
          </w:tcPr>
          <w:p>
            <w:pPr>
              <w:spacing w:after="0"/>
              <w:rPr>
                <w:sz w:val="8"/>
                <w:szCs w:val="8"/>
                <w:color w:val="auto"/>
              </w:rPr>
            </w:pPr>
          </w:p>
        </w:tc>
        <w:tc>
          <w:tcPr>
            <w:tcW w:w="3820" w:type="dxa"/>
            <w:vAlign w:val="bottom"/>
            <w:vMerge w:val="continue"/>
          </w:tcPr>
          <w:p>
            <w:pPr>
              <w:spacing w:after="0"/>
              <w:rPr>
                <w:sz w:val="8"/>
                <w:szCs w:val="8"/>
                <w:color w:val="auto"/>
              </w:rPr>
            </w:pPr>
          </w:p>
        </w:tc>
        <w:tc>
          <w:tcPr>
            <w:tcW w:w="100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540" w:type="dxa"/>
            <w:vAlign w:val="bottom"/>
            <w:tcBorders>
              <w:top w:val="single" w:sz="8" w:color="auto"/>
            </w:tcBorders>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460" w:type="dxa"/>
            <w:vAlign w:val="bottom"/>
          </w:tcPr>
          <w:p>
            <w:pPr>
              <w:spacing w:after="0"/>
              <w:rPr>
                <w:sz w:val="8"/>
                <w:szCs w:val="8"/>
                <w:color w:val="auto"/>
              </w:rPr>
            </w:pPr>
          </w:p>
        </w:tc>
        <w:tc>
          <w:tcPr>
            <w:tcW w:w="1020" w:type="dxa"/>
            <w:vAlign w:val="bottom"/>
            <w:tcBorders>
              <w:top w:val="single" w:sz="8" w:color="auto"/>
            </w:tcBorders>
            <w:gridSpan w:val="2"/>
          </w:tcPr>
          <w:p>
            <w:pPr>
              <w:ind w:left="140"/>
              <w:spacing w:after="0" w:line="94" w:lineRule="exact"/>
              <w:rPr>
                <w:sz w:val="20"/>
                <w:szCs w:val="20"/>
                <w:color w:val="auto"/>
              </w:rPr>
            </w:pPr>
            <w:r>
              <w:rPr>
                <w:rFonts w:ascii="Times New Roman" w:cs="Times New Roman" w:eastAsia="Times New Roman" w:hAnsi="Times New Roman"/>
                <w:sz w:val="10"/>
                <w:szCs w:val="10"/>
                <w:b w:val="1"/>
                <w:bCs w:val="1"/>
                <w:color w:val="auto"/>
              </w:rPr>
              <w:t>Number</w:t>
            </w:r>
          </w:p>
        </w:tc>
        <w:tc>
          <w:tcPr>
            <w:tcW w:w="580" w:type="dxa"/>
            <w:vAlign w:val="bottom"/>
            <w:tcBorders>
              <w:top w:val="single" w:sz="8" w:color="auto"/>
            </w:tcBorders>
          </w:tcPr>
          <w:p>
            <w:pPr>
              <w:ind w:left="20"/>
              <w:spacing w:after="0" w:line="94"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TTWFGP LLC</w:t>
            </w:r>
            <w:r>
              <w:rPr>
                <w:rFonts w:ascii="Times New Roman" w:cs="Times New Roman" w:eastAsia="Times New Roman" w:hAnsi="Times New Roman"/>
                <w:sz w:val="19"/>
                <w:szCs w:val="19"/>
                <w:color w:val="auto"/>
                <w:vertAlign w:val="superscript"/>
              </w:rPr>
              <w:t>(2)</w:t>
            </w: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700" w:type="dxa"/>
            <w:vAlign w:val="bottom"/>
            <w:gridSpan w:val="2"/>
            <w:vMerge w:val="continue"/>
            <w:shd w:val="clear" w:color="auto" w:fill="CCEEFF"/>
          </w:tcPr>
          <w:p>
            <w:pPr>
              <w:spacing w:after="0"/>
              <w:rPr>
                <w:sz w:val="12"/>
                <w:szCs w:val="12"/>
                <w:color w:val="auto"/>
              </w:rPr>
            </w:pPr>
          </w:p>
        </w:tc>
        <w:tc>
          <w:tcPr>
            <w:tcW w:w="66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4"/>
                <w:szCs w:val="14"/>
                <w:color w:val="auto"/>
                <w:w w:val="95"/>
              </w:rPr>
              <w:t>15,524,099</w:t>
            </w:r>
          </w:p>
        </w:tc>
        <w:tc>
          <w:tcPr>
            <w:tcW w:w="34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6" w:lineRule="exact"/>
              <w:rPr>
                <w:sz w:val="20"/>
                <w:szCs w:val="20"/>
                <w:color w:val="auto"/>
              </w:rPr>
            </w:pPr>
            <w:r>
              <w:rPr>
                <w:rFonts w:ascii="Times New Roman" w:cs="Times New Roman" w:eastAsia="Times New Roman" w:hAnsi="Times New Roman"/>
                <w:sz w:val="14"/>
                <w:szCs w:val="14"/>
                <w:color w:val="auto"/>
              </w:rPr>
              <w:t>44.1%</w:t>
            </w:r>
          </w:p>
        </w:tc>
        <w:tc>
          <w:tcPr>
            <w:tcW w:w="6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14,122,230</w:t>
            </w:r>
          </w:p>
        </w:tc>
        <w:tc>
          <w:tcPr>
            <w:tcW w:w="34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6" w:lineRule="exact"/>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72390</wp:posOffset>
            </wp:positionV>
            <wp:extent cx="5842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112" w:lineRule="exact"/>
        <w:rPr>
          <w:sz w:val="20"/>
          <w:szCs w:val="20"/>
          <w:color w:val="auto"/>
        </w:rPr>
      </w:pPr>
    </w:p>
    <w:p>
      <w:pPr>
        <w:ind w:left="620" w:right="579" w:hanging="335"/>
        <w:spacing w:after="0" w:line="256" w:lineRule="auto"/>
        <w:tabs>
          <w:tab w:leader="none" w:pos="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is based on 35,245,879 common units outstanding on February 25, 2026 and assumes that the selling unitholder disposes of all the common units covered by this prospectus and does not acquire beneficial ownership of any additional common units.</w:t>
      </w:r>
    </w:p>
    <w:p>
      <w:pPr>
        <w:ind w:left="620" w:right="459" w:hanging="335"/>
        <w:spacing w:after="0" w:line="248" w:lineRule="auto"/>
        <w:tabs>
          <w:tab w:leader="none" w:pos="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unitholder is managed by two trusts for the benefit of members of the Chao Family (the “Chao Family”), including Albert Chao and James Chao, each of whom serve on the board of directors of our general partner. WPT LLC (“WPT”) owns 14,122,230 common units. The selling unitholder is the general partner of TTWF LP, which owns 72.2% of Westlake Corporation, which owns 100% of Westlake Olefins LLC, which owns 100% of Westlake Chemical Investments, Inc., which owns 84.25% of Westlake Polymers LLC, which owns 100% of WPT. The selling unitholder may be deemed to indirectly own the common units held by such entities but disclaims beneficial ownership of such units in excess of its pecuniary interest therein.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6"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LEGAL MATTERS</w:t>
      </w:r>
    </w:p>
    <w:p>
      <w:pPr>
        <w:spacing w:after="0" w:line="174" w:lineRule="exact"/>
        <w:rPr>
          <w:sz w:val="20"/>
          <w:szCs w:val="20"/>
          <w:color w:val="auto"/>
        </w:rPr>
      </w:pPr>
    </w:p>
    <w:p>
      <w:pPr>
        <w:jc w:val="both"/>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The validity of the issuance of, and the material federal income tax considerations regarding, the securities offered hereby will be passed upon for us by Latham &amp; Watkins LLP, Houston, Texas. Additional legal matters may be passed on for us, or any underwriters, dealers or agents, by counsel we will name in the applicable prospectus supplement.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280" w:right="499" w:firstLine="337"/>
        <w:spacing w:after="0" w:line="281" w:lineRule="auto"/>
        <w:rPr>
          <w:sz w:val="20"/>
          <w:szCs w:val="20"/>
          <w:color w:val="auto"/>
        </w:rPr>
      </w:pPr>
      <w:r>
        <w:rPr>
          <w:rFonts w:ascii="Times New Roman" w:cs="Times New Roman" w:eastAsia="Times New Roman" w:hAnsi="Times New Roman"/>
          <w:sz w:val="13"/>
          <w:szCs w:val="13"/>
          <w:color w:val="auto"/>
        </w:rPr>
        <w:t>The financial statements and management’s assessment of the effectiveness of internal control over financial reporting (which is included in Management’s Report on Internal Control over Financial Reporting) incorporated in this Prospectus by reference to Westlake Chemical Partners LP’s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6" w:right="1440"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PART II</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91"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Set forth below are the expenses expected to be incurred in connection with the issuance and distribution of the securities registered hereby. With the exception of the SEC registration fee, the amounts set forth below are estimates.</w:t>
      </w:r>
    </w:p>
    <w:p>
      <w:pPr>
        <w:spacing w:after="0" w:line="99"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86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0.00</w:t>
            </w:r>
            <w:r>
              <w:rPr>
                <w:rFonts w:ascii="Times New Roman" w:cs="Times New Roman" w:eastAsia="Times New Roman" w:hAnsi="Times New Roman"/>
                <w:sz w:val="20"/>
                <w:szCs w:val="20"/>
                <w:color w:val="auto"/>
                <w:w w:val="84"/>
                <w:vertAlign w:val="superscript"/>
              </w:rPr>
              <w:t>(1)</w:t>
            </w:r>
          </w:p>
        </w:tc>
      </w:tr>
      <w:tr>
        <w:trPr>
          <w:trHeight w:val="16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6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Listing fee</w:t>
            </w:r>
          </w:p>
        </w:tc>
        <w:tc>
          <w:tcPr>
            <w:tcW w:w="16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costs</w:t>
            </w: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680" w:type="dxa"/>
            <w:vAlign w:val="bottom"/>
          </w:tcPr>
          <w:p>
            <w:pPr>
              <w:spacing w:after="0"/>
              <w:rPr>
                <w:sz w:val="14"/>
                <w:szCs w:val="14"/>
                <w:color w:val="auto"/>
              </w:rPr>
            </w:pP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40" w:type="dxa"/>
            <w:vAlign w:val="bottom"/>
            <w:tcBorders>
              <w:bottom w:val="single" w:sz="8" w:color="auto"/>
            </w:tcBorders>
          </w:tcPr>
          <w:p>
            <w:pPr>
              <w:spacing w:after="0"/>
              <w:rPr>
                <w:sz w:val="14"/>
                <w:szCs w:val="14"/>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r>
      <w:tr>
        <w:trPr>
          <w:trHeight w:val="165"/>
        </w:trPr>
        <w:tc>
          <w:tcPr>
            <w:tcW w:w="3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86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78740</wp:posOffset>
            </wp:positionV>
            <wp:extent cx="5842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122" w:lineRule="exact"/>
        <w:rPr>
          <w:sz w:val="20"/>
          <w:szCs w:val="20"/>
          <w:color w:val="auto"/>
        </w:rPr>
      </w:pPr>
    </w:p>
    <w:p>
      <w:pPr>
        <w:ind w:left="620" w:hanging="335"/>
        <w:spacing w:after="0"/>
        <w:tabs>
          <w:tab w:leader="none" w:pos="6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number of issuances and amount of securities to be offered and accordingly cannot be estimated at this</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time.</w:t>
      </w:r>
    </w:p>
    <w:p>
      <w:pPr>
        <w:spacing w:after="0" w:line="4" w:lineRule="exact"/>
        <w:rPr>
          <w:sz w:val="20"/>
          <w:szCs w:val="20"/>
          <w:color w:val="auto"/>
        </w:rPr>
      </w:pPr>
    </w:p>
    <w:p>
      <w:pPr>
        <w:ind w:left="620" w:hanging="335"/>
        <w:spacing w:after="0"/>
        <w:tabs>
          <w:tab w:leader="none" w:pos="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previously registered $500,000,000 in aggregate offering price of securities pursuant to the Registration Statement on Form S-3 (No.</w:t>
      </w:r>
    </w:p>
    <w:p>
      <w:pPr>
        <w:spacing w:after="0" w:line="4" w:lineRule="exact"/>
        <w:rPr>
          <w:rFonts w:ascii="Times New Roman" w:cs="Times New Roman" w:eastAsia="Times New Roman" w:hAnsi="Times New Roman"/>
          <w:sz w:val="14"/>
          <w:szCs w:val="14"/>
          <w:color w:val="auto"/>
        </w:rPr>
      </w:pPr>
    </w:p>
    <w:p>
      <w:pPr>
        <w:ind w:left="620" w:right="33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333-236768), initially filed with the SEC on February 28, 2020 and declared effective on April 16, 2020 (the “2020 Registration Statement”), and carried forward to the Registration on Form S-3 (No. 333-270176) filed with the SEC on March 1, 2023 and declared effective March 20, 2023 (the “2023 Registration Statement”), all of which remain unsold (the “Unsold Primary Securities”). Pursuant to Rule 415(a)(6) under the Securities Act, we are carrying forward to this Registration Statement $500,000,000 in aggregate offering price of securities that were initially registered under the 2020 Registration Statement, were carried forward to the 2023 Registration Statement, and remain unsold. In addition, we previously registered for resale 2,940,818 common units pursuant to the Registration Statement on Form S-3 (No. 333-230611), initially filed on March 29, 2019 and declared effective on April 12, 2019 (the “2019 Registration Statement”), 1,401,869 common units of which were carried forward to the 2023 Registration Statement, all of which remain unsold (the “Unsold Secondary Units”). Pursuant to Rule 415(a)(6) under the Securities Act, we are carrying forward to this Registration Statement 1,401,869 common units that were initially registered for resale under the 2019 Registration Statement, were carried forward to the 2023 Registration Statement, and remain unsold. We are offsetting the entire registration fee due under this registration statement by $68,812.23, which represents a portion of the registration fee relating to (i) the Unsold Primary Securities previously paid in connection with the 2020 Registration Statement, and (ii) the Unsold Secondary Units previously paid in connection with the 2019 Registration Statement. Accordingly, no filing fee is due under this Registration Statement.</w:t>
      </w:r>
    </w:p>
    <w:p>
      <w:pPr>
        <w:spacing w:after="0" w:line="2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Westlake Chemical Partners LP</w:t>
      </w:r>
    </w:p>
    <w:p>
      <w:pPr>
        <w:spacing w:after="0" w:line="91"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Under our partnership agreement, in most circumstances, we will indemnify the following persons, to the fullest extent permitted by law, from and against all losses, claims, damages or similar events:</w:t>
      </w:r>
    </w:p>
    <w:p>
      <w:pPr>
        <w:spacing w:after="0" w:line="58" w:lineRule="exact"/>
        <w:rPr>
          <w:sz w:val="20"/>
          <w:szCs w:val="20"/>
          <w:color w:val="auto"/>
        </w:rPr>
      </w:pPr>
    </w:p>
    <w:p>
      <w:pPr>
        <w:ind w:left="1020" w:hanging="322"/>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general partner;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departing general partner;</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was an affiliate of our general partner or any departing general partner;</w:t>
      </w:r>
    </w:p>
    <w:p>
      <w:pPr>
        <w:spacing w:after="0" w:line="97" w:lineRule="exact"/>
        <w:rPr>
          <w:rFonts w:ascii="Times New Roman" w:cs="Times New Roman" w:eastAsia="Times New Roman" w:hAnsi="Times New Roman"/>
          <w:sz w:val="14"/>
          <w:szCs w:val="14"/>
          <w:color w:val="auto"/>
        </w:rPr>
      </w:pPr>
    </w:p>
    <w:p>
      <w:pPr>
        <w:ind w:left="1020" w:right="699" w:hanging="322"/>
        <w:spacing w:after="0" w:line="273"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was a manager, managing member, general partner, director, officer, fiduciary or trustee of our partnership, our subsidiaries, our general partner, any departing general partner or any of their affiliates;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6" w:right="1440" w:bottom="1440" w:gutter="0" w:footer="0" w:header="0"/>
        </w:sectPr>
      </w:pPr>
    </w:p>
    <w:bookmarkStart w:id="82" w:name="page83"/>
    <w:bookmarkEnd w:id="82"/>
    <w:p>
      <w:pPr>
        <w:ind w:left="1020" w:right="299" w:hanging="322"/>
        <w:spacing w:after="0" w:line="273"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any person who is or was serving as a manager, managing member, general partner, officer, employee, agent, fiduciary or trustee of another person owning a fiduciary duty to us or our subsidiaries;</w:t>
      </w:r>
    </w:p>
    <w:p>
      <w:pPr>
        <w:spacing w:after="0" w:line="5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controls our general partner or any departing general partner; and</w:t>
      </w:r>
    </w:p>
    <w:p>
      <w:pPr>
        <w:spacing w:after="0" w:line="97" w:lineRule="exact"/>
        <w:rPr>
          <w:rFonts w:ascii="Times New Roman" w:cs="Times New Roman" w:eastAsia="Times New Roman" w:hAnsi="Times New Roman"/>
          <w:sz w:val="14"/>
          <w:szCs w:val="14"/>
          <w:color w:val="auto"/>
        </w:rPr>
      </w:pPr>
    </w:p>
    <w:p>
      <w:pPr>
        <w:ind w:left="1020" w:hanging="322"/>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designated by our general partner.</w:t>
      </w:r>
    </w:p>
    <w:p>
      <w:pPr>
        <w:spacing w:after="0" w:line="170"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Any indemnification under these provisions will only be out of our assets. Unless our general partner otherwise agrees, it will not be personally liable for, or have any obligations to contribute or lend funds or assets to us to enable us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2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WLKP Finance Corp.</w:t>
      </w:r>
    </w:p>
    <w:p>
      <w:pPr>
        <w:spacing w:after="0" w:line="91"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Section 145 of the General Corporation Law of the State of Delaware, among other things, empowers a Delaware corporation to indemnify any person who was or is a party or is threatened to be made a party to any threatened, pending or completed action, suit or proceeding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Similar indemnity is authorized for such persons against expenses (including attorneys’ fees) actually and reasonably incurred by such persons in connection with the defense or settlement of any such threatened, pending or completed action or suit if such person acted in good faith and in a manner he reasonably believed to be in or not opposed to the best interests of the corporation, and provided further that (unless a court of competent jurisdiction otherwise provides) such person shall not have been adjudged liable to the corporation. Any such indemnification may be made only as authorized in each specific case upon a determination by the stockholders or disinterested directors or by independent legal counsel in a written opinion that indemnification is proper because the indemnitee has met the applicable standard of conduct.</w:t>
      </w:r>
    </w:p>
    <w:p>
      <w:pPr>
        <w:spacing w:after="0" w:line="154" w:lineRule="exact"/>
        <w:rPr>
          <w:sz w:val="20"/>
          <w:szCs w:val="20"/>
          <w:color w:val="auto"/>
        </w:rPr>
      </w:pPr>
    </w:p>
    <w:p>
      <w:pPr>
        <w:ind w:left="280" w:right="839" w:firstLine="337"/>
        <w:spacing w:after="0" w:line="259"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if any, as the corporation deems appropriate.</w:t>
      </w:r>
    </w:p>
    <w:p>
      <w:pPr>
        <w:spacing w:after="0" w:line="141" w:lineRule="exact"/>
        <w:rPr>
          <w:sz w:val="20"/>
          <w:szCs w:val="20"/>
          <w:color w:val="auto"/>
        </w:rPr>
      </w:pPr>
    </w:p>
    <w:p>
      <w:pPr>
        <w:jc w:val="center"/>
        <w:ind w:left="1800" w:right="260"/>
        <w:spacing w:after="0" w:line="442" w:lineRule="auto"/>
        <w:rPr>
          <w:sz w:val="20"/>
          <w:szCs w:val="20"/>
          <w:color w:val="auto"/>
        </w:rPr>
      </w:pPr>
      <w:r>
        <w:rPr>
          <w:rFonts w:ascii="Times New Roman" w:cs="Times New Roman" w:eastAsia="Times New Roman" w:hAnsi="Times New Roman"/>
          <w:sz w:val="14"/>
          <w:szCs w:val="14"/>
          <w:color w:val="auto"/>
        </w:rPr>
        <w:t>The bylaws of WLKP Finance Corp. provide for indemnification obligations substantially similar to those otherwise provided by Section 145. II-2</w:t>
      </w:r>
    </w:p>
    <w:p>
      <w:pPr>
        <w:sectPr>
          <w:pgSz w:w="11900" w:h="16838" w:orient="portrait"/>
          <w:cols w:equalWidth="0" w:num="1">
            <w:col w:w="9019"/>
          </w:cols>
          <w:pgMar w:left="1440" w:top="240" w:right="1440" w:bottom="1440" w:gutter="0" w:footer="0" w:header="0"/>
        </w:sectPr>
      </w:pPr>
    </w:p>
    <w:bookmarkStart w:id="83" w:name="page84"/>
    <w:bookmarkEnd w:id="83"/>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Item 16. Exhibits.</w:t>
      </w:r>
    </w:p>
    <w:p>
      <w:pPr>
        <w:spacing w:after="0" w:line="91" w:lineRule="exact"/>
        <w:rPr>
          <w:sz w:val="20"/>
          <w:szCs w:val="20"/>
          <w:color w:val="auto"/>
        </w:rPr>
      </w:pPr>
    </w:p>
    <w:p>
      <w:pPr>
        <w:ind w:left="280" w:right="659" w:firstLine="337"/>
        <w:spacing w:after="0" w:line="273" w:lineRule="auto"/>
        <w:rPr>
          <w:sz w:val="20"/>
          <w:szCs w:val="20"/>
          <w:color w:val="auto"/>
        </w:rPr>
      </w:pPr>
      <w:r>
        <w:rPr>
          <w:rFonts w:ascii="Times New Roman" w:cs="Times New Roman" w:eastAsia="Times New Roman" w:hAnsi="Times New Roman"/>
          <w:sz w:val="14"/>
          <w:szCs w:val="14"/>
          <w:color w:val="auto"/>
        </w:rPr>
        <w:t>Unless otherwise indicated below as being incorporated by reference to another filing of the Partnership with the SEC, each of the following exhibits is filed herewith:</w:t>
      </w:r>
    </w:p>
    <w:p>
      <w:pPr>
        <w:spacing w:after="0" w:line="292"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20" w:type="dxa"/>
            <w:vAlign w:val="bottom"/>
            <w:gridSpan w:val="20"/>
          </w:tcPr>
          <w:p>
            <w:pPr>
              <w:ind w:left="420"/>
              <w:spacing w:after="0"/>
              <w:rPr>
                <w:sz w:val="20"/>
                <w:szCs w:val="20"/>
                <w:color w:val="auto"/>
              </w:rPr>
            </w:pPr>
            <w:r>
              <w:rPr>
                <w:rFonts w:ascii="Times New Roman" w:cs="Times New Roman" w:eastAsia="Times New Roman" w:hAnsi="Times New Roman"/>
                <w:sz w:val="14"/>
                <w:szCs w:val="14"/>
                <w:b w:val="1"/>
                <w:bCs w:val="1"/>
                <w:color w:val="auto"/>
              </w:rPr>
              <w:t>INDEX TO EXHIBITS</w:t>
            </w:r>
          </w:p>
        </w:tc>
        <w:tc>
          <w:tcPr>
            <w:tcW w:w="0" w:type="dxa"/>
            <w:vAlign w:val="bottom"/>
          </w:tcPr>
          <w:p>
            <w:pPr>
              <w:spacing w:after="0"/>
              <w:rPr>
                <w:sz w:val="1"/>
                <w:szCs w:val="1"/>
                <w:color w:val="auto"/>
              </w:rPr>
            </w:pPr>
          </w:p>
        </w:tc>
      </w:tr>
      <w:tr>
        <w:trPr>
          <w:trHeight w:val="280"/>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60" w:type="dxa"/>
            <w:vAlign w:val="bottom"/>
          </w:tcPr>
          <w:p>
            <w:pPr>
              <w:spacing w:after="0"/>
              <w:rPr>
                <w:sz w:val="24"/>
                <w:szCs w:val="24"/>
                <w:color w:val="auto"/>
              </w:rPr>
            </w:pPr>
          </w:p>
        </w:tc>
        <w:tc>
          <w:tcPr>
            <w:tcW w:w="7580" w:type="dxa"/>
            <w:vAlign w:val="bottom"/>
            <w:gridSpan w:val="24"/>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4"/>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60" w:type="dxa"/>
            <w:vAlign w:val="bottom"/>
          </w:tcPr>
          <w:p>
            <w:pPr>
              <w:spacing w:after="0"/>
              <w:rPr>
                <w:sz w:val="11"/>
                <w:szCs w:val="11"/>
                <w:color w:val="auto"/>
              </w:rPr>
            </w:pPr>
          </w:p>
        </w:tc>
        <w:tc>
          <w:tcPr>
            <w:tcW w:w="7580" w:type="dxa"/>
            <w:vAlign w:val="bottom"/>
            <w:tcBorders>
              <w:bottom w:val="single" w:sz="8" w:color="auto"/>
            </w:tcBorders>
            <w:gridSpan w:val="2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0"/>
              </w:rPr>
              <w:t>    1.1*</w:t>
            </w:r>
          </w:p>
        </w:tc>
        <w:tc>
          <w:tcPr>
            <w:tcW w:w="460" w:type="dxa"/>
            <w:vAlign w:val="bottom"/>
          </w:tcPr>
          <w:p>
            <w:pPr>
              <w:spacing w:after="0"/>
              <w:rPr>
                <w:sz w:val="20"/>
                <w:szCs w:val="20"/>
                <w:color w:val="auto"/>
              </w:rPr>
            </w:pPr>
          </w:p>
        </w:tc>
        <w:tc>
          <w:tcPr>
            <w:tcW w:w="75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60" w:type="dxa"/>
            <w:vAlign w:val="bottom"/>
          </w:tcPr>
          <w:p>
            <w:pPr>
              <w:spacing w:after="0"/>
              <w:rPr>
                <w:sz w:val="18"/>
                <w:szCs w:val="18"/>
                <w:color w:val="auto"/>
              </w:rPr>
            </w:pPr>
          </w:p>
        </w:tc>
        <w:tc>
          <w:tcPr>
            <w:tcW w:w="73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7"/>
              </w:rPr>
            </w:pPr>
            <w:hyperlink r:id="rId126">
              <w:r>
                <w:rPr>
                  <w:rFonts w:ascii="Times New Roman" w:cs="Times New Roman" w:eastAsia="Times New Roman" w:hAnsi="Times New Roman"/>
                  <w:sz w:val="14"/>
                  <w:szCs w:val="14"/>
                  <w:color w:val="0000EE"/>
                  <w:w w:val="97"/>
                </w:rPr>
                <w:t>Certificate of Limited Partnership of Westlake Chemical Partners LP (incorporated by reference to Exhibit 3.1 to Westlake Chemical</w:t>
              </w:r>
            </w:hyperlink>
          </w:p>
        </w:tc>
        <w:tc>
          <w:tcPr>
            <w:tcW w:w="2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0" w:type="dxa"/>
            <w:vAlign w:val="bottom"/>
            <w:tcBorders>
              <w:bottom w:val="single" w:sz="8" w:color="0000EE"/>
            </w:tcBorders>
            <w:gridSpan w:val="14"/>
          </w:tcPr>
          <w:p>
            <w:pPr>
              <w:spacing w:after="0" w:line="145" w:lineRule="exact"/>
              <w:rPr>
                <w:rFonts w:ascii="Times New Roman" w:cs="Times New Roman" w:eastAsia="Times New Roman" w:hAnsi="Times New Roman"/>
                <w:sz w:val="14"/>
                <w:szCs w:val="14"/>
                <w:color w:val="0000EE"/>
                <w:w w:val="97"/>
              </w:rPr>
            </w:pPr>
            <w:hyperlink r:id="rId126">
              <w:r>
                <w:rPr>
                  <w:rFonts w:ascii="Times New Roman" w:cs="Times New Roman" w:eastAsia="Times New Roman" w:hAnsi="Times New Roman"/>
                  <w:sz w:val="14"/>
                  <w:szCs w:val="14"/>
                  <w:color w:val="0000EE"/>
                  <w:w w:val="97"/>
                </w:rPr>
                <w:t>Partners LP’s Registration Statement on Form S-1, filed on April 29, 2014, File No. 333-195551.)</w:t>
              </w:r>
            </w:hyperlink>
          </w:p>
        </w:tc>
        <w:tc>
          <w:tcPr>
            <w:tcW w:w="218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460" w:type="dxa"/>
            <w:vAlign w:val="bottom"/>
          </w:tcPr>
          <w:p>
            <w:pPr>
              <w:spacing w:after="0"/>
              <w:rPr>
                <w:sz w:val="19"/>
                <w:szCs w:val="19"/>
                <w:color w:val="auto"/>
              </w:rPr>
            </w:pPr>
          </w:p>
        </w:tc>
        <w:tc>
          <w:tcPr>
            <w:tcW w:w="75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7"/>
              </w:rPr>
            </w:pPr>
            <w:hyperlink r:id="rId127">
              <w:r>
                <w:rPr>
                  <w:rFonts w:ascii="Times New Roman" w:cs="Times New Roman" w:eastAsia="Times New Roman" w:hAnsi="Times New Roman"/>
                  <w:sz w:val="14"/>
                  <w:szCs w:val="14"/>
                  <w:color w:val="0000EE"/>
                  <w:w w:val="97"/>
                </w:rPr>
                <w:t>First Amended and Restated Agreement of Limited Partnership of Westlake Chemical Partners LP (incorporated by reference to Exhibit</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80" w:type="dxa"/>
            <w:vAlign w:val="bottom"/>
            <w:gridSpan w:val="24"/>
          </w:tcPr>
          <w:p>
            <w:pPr>
              <w:spacing w:after="0" w:line="145"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3.</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Westlake Chemical Partners LP’s Current Report on Form 8-K, filed on August 8, 2014, File No. 001-36567).</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460" w:type="dxa"/>
            <w:vAlign w:val="bottom"/>
          </w:tcPr>
          <w:p>
            <w:pPr>
              <w:spacing w:after="0"/>
              <w:rPr>
                <w:sz w:val="19"/>
                <w:szCs w:val="19"/>
                <w:color w:val="auto"/>
              </w:rPr>
            </w:pPr>
          </w:p>
        </w:tc>
        <w:tc>
          <w:tcPr>
            <w:tcW w:w="7500" w:type="dxa"/>
            <w:vAlign w:val="bottom"/>
            <w:tcBorders>
              <w:bottom w:val="single" w:sz="8" w:color="0000EE"/>
            </w:tcBorders>
            <w:gridSpan w:val="22"/>
          </w:tcPr>
          <w:p>
            <w:pPr>
              <w:spacing w:after="0"/>
              <w:rPr>
                <w:rFonts w:ascii="Times New Roman" w:cs="Times New Roman" w:eastAsia="Times New Roman" w:hAnsi="Times New Roman"/>
                <w:sz w:val="14"/>
                <w:szCs w:val="14"/>
                <w:color w:val="0000EE"/>
                <w:w w:val="98"/>
              </w:rPr>
            </w:pPr>
            <w:hyperlink r:id="rId128">
              <w:r>
                <w:rPr>
                  <w:rFonts w:ascii="Times New Roman" w:cs="Times New Roman" w:eastAsia="Times New Roman" w:hAnsi="Times New Roman"/>
                  <w:sz w:val="14"/>
                  <w:szCs w:val="14"/>
                  <w:color w:val="0000EE"/>
                  <w:w w:val="98"/>
                </w:rPr>
                <w:t>Amendment No. 1 to the First Amended and Restated Agreement of Limited Partnership of Westlake Chemical Partners LP dated as of</w:t>
              </w:r>
            </w:hyperlink>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80" w:type="dxa"/>
            <w:vAlign w:val="bottom"/>
            <w:gridSpan w:val="24"/>
          </w:tcPr>
          <w:p>
            <w:pPr>
              <w:spacing w:after="0" w:line="145" w:lineRule="exact"/>
              <w:rPr>
                <w:rFonts w:ascii="Times New Roman" w:cs="Times New Roman" w:eastAsia="Times New Roman" w:hAnsi="Times New Roman"/>
                <w:sz w:val="14"/>
                <w:szCs w:val="14"/>
                <w:color w:val="0000EE"/>
                <w:w w:val="98"/>
              </w:rPr>
            </w:pPr>
            <w:hyperlink r:id="rId128">
              <w:r>
                <w:rPr>
                  <w:rFonts w:ascii="Times New Roman" w:cs="Times New Roman" w:eastAsia="Times New Roman" w:hAnsi="Times New Roman"/>
                  <w:sz w:val="14"/>
                  <w:szCs w:val="14"/>
                  <w:color w:val="0000EE"/>
                  <w:w w:val="98"/>
                </w:rPr>
                <w:t>November 16, 2017 (incorporated by reference to Exhibit 3.1 to Westlake Chemical Partners LP’s Current Report on Form 8-K, filed on</w:t>
              </w:r>
            </w:hyperlink>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60" w:type="dxa"/>
            <w:vAlign w:val="bottom"/>
            <w:tcBorders>
              <w:top w:val="single" w:sz="8" w:color="0000EE"/>
              <w:bottom w:val="single" w:sz="8" w:color="0000EE"/>
            </w:tcBorders>
            <w:gridSpan w:val="4"/>
          </w:tcPr>
          <w:p>
            <w:pPr>
              <w:spacing w:after="0" w:line="145" w:lineRule="exact"/>
              <w:rPr>
                <w:rFonts w:ascii="Times New Roman" w:cs="Times New Roman" w:eastAsia="Times New Roman" w:hAnsi="Times New Roman"/>
                <w:sz w:val="14"/>
                <w:szCs w:val="14"/>
                <w:color w:val="0000EE"/>
                <w:w w:val="97"/>
              </w:rPr>
            </w:pPr>
            <w:hyperlink r:id="rId128">
              <w:r>
                <w:rPr>
                  <w:rFonts w:ascii="Times New Roman" w:cs="Times New Roman" w:eastAsia="Times New Roman" w:hAnsi="Times New Roman"/>
                  <w:sz w:val="14"/>
                  <w:szCs w:val="14"/>
                  <w:color w:val="0000EE"/>
                  <w:w w:val="97"/>
                </w:rPr>
                <w:t>November 16, 2017, File No. 01-36567).</w:t>
              </w:r>
            </w:hyperlink>
          </w:p>
        </w:tc>
        <w:tc>
          <w:tcPr>
            <w:tcW w:w="5240" w:type="dxa"/>
            <w:vAlign w:val="bottom"/>
            <w:tcBorders>
              <w:top w:val="single" w:sz="8" w:color="0000EE"/>
            </w:tcBorders>
            <w:gridSpan w:val="18"/>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3.4</w:t>
            </w:r>
          </w:p>
        </w:tc>
        <w:tc>
          <w:tcPr>
            <w:tcW w:w="460" w:type="dxa"/>
            <w:vAlign w:val="bottom"/>
          </w:tcPr>
          <w:p>
            <w:pPr>
              <w:spacing w:after="0"/>
              <w:rPr>
                <w:sz w:val="19"/>
                <w:szCs w:val="19"/>
                <w:color w:val="auto"/>
              </w:rPr>
            </w:pPr>
          </w:p>
        </w:tc>
        <w:tc>
          <w:tcPr>
            <w:tcW w:w="7580" w:type="dxa"/>
            <w:vAlign w:val="bottom"/>
            <w:gridSpan w:val="24"/>
          </w:tcPr>
          <w:p>
            <w:pPr>
              <w:spacing w:after="0"/>
              <w:rPr>
                <w:rFonts w:ascii="Times New Roman" w:cs="Times New Roman" w:eastAsia="Times New Roman" w:hAnsi="Times New Roman"/>
                <w:sz w:val="14"/>
                <w:szCs w:val="14"/>
                <w:color w:val="0000EE"/>
                <w:w w:val="99"/>
              </w:rPr>
            </w:pPr>
            <w:hyperlink r:id="rId129">
              <w:r>
                <w:rPr>
                  <w:rFonts w:ascii="Times New Roman" w:cs="Times New Roman" w:eastAsia="Times New Roman" w:hAnsi="Times New Roman"/>
                  <w:sz w:val="14"/>
                  <w:szCs w:val="14"/>
                  <w:color w:val="0000EE"/>
                  <w:w w:val="99"/>
                </w:rPr>
                <w:t>Amendment No. 2 to the First Amended and Restated Agreement of Limited Partnership of Westlake Chemical Partners LP dated as of</w:t>
              </w:r>
            </w:hyperlink>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160" w:type="dxa"/>
            <w:vAlign w:val="bottom"/>
            <w:tcBorders>
              <w:top w:val="single" w:sz="8" w:color="0000EE"/>
              <w:bottom w:val="single" w:sz="8" w:color="0000EE"/>
            </w:tcBorders>
            <w:gridSpan w:val="18"/>
          </w:tcPr>
          <w:p>
            <w:pPr>
              <w:spacing w:after="0" w:line="145" w:lineRule="exact"/>
              <w:rPr>
                <w:rFonts w:ascii="Times New Roman" w:cs="Times New Roman" w:eastAsia="Times New Roman" w:hAnsi="Times New Roman"/>
                <w:sz w:val="14"/>
                <w:szCs w:val="14"/>
                <w:color w:val="0000EE"/>
                <w:w w:val="97"/>
              </w:rPr>
            </w:pPr>
            <w:hyperlink r:id="rId129">
              <w:r>
                <w:rPr>
                  <w:rFonts w:ascii="Times New Roman" w:cs="Times New Roman" w:eastAsia="Times New Roman" w:hAnsi="Times New Roman"/>
                  <w:sz w:val="14"/>
                  <w:szCs w:val="14"/>
                  <w:color w:val="0000EE"/>
                  <w:w w:val="97"/>
                </w:rPr>
                <w:t>July 27, 2018 (incorporated by reference to Exhibit 3.1 to Westlake Chemical Partners LP’s Current Report on Form 8-K, filed on</w:t>
              </w:r>
            </w:hyperlink>
          </w:p>
        </w:tc>
        <w:tc>
          <w:tcPr>
            <w:tcW w:w="320" w:type="dxa"/>
            <w:vAlign w:val="bottom"/>
            <w:tcBorders>
              <w:top w:val="single" w:sz="8" w:color="0000EE"/>
            </w:tcBorders>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80" w:type="dxa"/>
            <w:vAlign w:val="bottom"/>
            <w:gridSpan w:val="24"/>
          </w:tcPr>
          <w:p>
            <w:pPr>
              <w:spacing w:after="0" w:line="145"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July 30, 2018, File No. 01-36567).</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3.5</w:t>
            </w:r>
          </w:p>
        </w:tc>
        <w:tc>
          <w:tcPr>
            <w:tcW w:w="460" w:type="dxa"/>
            <w:vAlign w:val="bottom"/>
          </w:tcPr>
          <w:p>
            <w:pPr>
              <w:spacing w:after="0"/>
              <w:rPr>
                <w:sz w:val="19"/>
                <w:szCs w:val="19"/>
                <w:color w:val="auto"/>
              </w:rPr>
            </w:pPr>
          </w:p>
        </w:tc>
        <w:tc>
          <w:tcPr>
            <w:tcW w:w="7580" w:type="dxa"/>
            <w:vAlign w:val="bottom"/>
            <w:gridSpan w:val="24"/>
          </w:tcPr>
          <w:p>
            <w:pPr>
              <w:spacing w:after="0"/>
              <w:rPr>
                <w:rFonts w:ascii="Times New Roman" w:cs="Times New Roman" w:eastAsia="Times New Roman" w:hAnsi="Times New Roman"/>
                <w:sz w:val="14"/>
                <w:szCs w:val="14"/>
                <w:color w:val="0000EE"/>
                <w:w w:val="98"/>
              </w:rPr>
            </w:pPr>
            <w:hyperlink r:id="rId130">
              <w:r>
                <w:rPr>
                  <w:rFonts w:ascii="Times New Roman" w:cs="Times New Roman" w:eastAsia="Times New Roman" w:hAnsi="Times New Roman"/>
                  <w:sz w:val="14"/>
                  <w:szCs w:val="14"/>
                  <w:color w:val="0000EE"/>
                  <w:w w:val="98"/>
                </w:rPr>
                <w:t>Bylaws of WLKP Finance Corp., dated February 21, 2017 (incorporated by reference to Exhibit 3.3 to Westlake Chemical Partners LP’s</w:t>
              </w:r>
            </w:hyperlink>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40" w:type="dxa"/>
            <w:vAlign w:val="bottom"/>
            <w:tcBorders>
              <w:top w:val="single" w:sz="8" w:color="0000EE"/>
            </w:tcBorders>
            <w:gridSpan w:val="23"/>
          </w:tcPr>
          <w:p>
            <w:pPr>
              <w:spacing w:after="0" w:line="145"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Registration Statement on Form S-3, filed on March 10, 2017, File No. 333-216617).</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3.6</w:t>
            </w:r>
          </w:p>
        </w:tc>
        <w:tc>
          <w:tcPr>
            <w:tcW w:w="460" w:type="dxa"/>
            <w:vAlign w:val="bottom"/>
          </w:tcPr>
          <w:p>
            <w:pPr>
              <w:spacing w:after="0"/>
              <w:rPr>
                <w:sz w:val="19"/>
                <w:szCs w:val="19"/>
                <w:color w:val="auto"/>
              </w:rPr>
            </w:pPr>
          </w:p>
        </w:tc>
        <w:tc>
          <w:tcPr>
            <w:tcW w:w="73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8"/>
              </w:rPr>
            </w:pPr>
            <w:hyperlink r:id="rId131">
              <w:r>
                <w:rPr>
                  <w:rFonts w:ascii="Times New Roman" w:cs="Times New Roman" w:eastAsia="Times New Roman" w:hAnsi="Times New Roman"/>
                  <w:sz w:val="14"/>
                  <w:szCs w:val="14"/>
                  <w:color w:val="0000EE"/>
                  <w:w w:val="98"/>
                </w:rPr>
                <w:t>Certificate of Incorporation of WLKP Finance Corp., dated February 21, 2017 (incorporated by reference to Exhibit 3.4 to Westlake</w:t>
              </w:r>
            </w:hyperlink>
          </w:p>
        </w:tc>
        <w:tc>
          <w:tcPr>
            <w:tcW w:w="2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80" w:type="dxa"/>
            <w:vAlign w:val="bottom"/>
            <w:gridSpan w:val="24"/>
          </w:tcPr>
          <w:p>
            <w:pPr>
              <w:spacing w:after="0" w:line="145"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Chemical Partners LP’s Registration Statement on Form S-3, filed on March 10, 2017, File No. 333-216617).</w:t>
              </w:r>
            </w:hyperlink>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460" w:type="dxa"/>
            <w:vAlign w:val="bottom"/>
          </w:tcPr>
          <w:p>
            <w:pPr>
              <w:spacing w:after="0"/>
              <w:rPr>
                <w:sz w:val="19"/>
                <w:szCs w:val="19"/>
                <w:color w:val="auto"/>
              </w:rPr>
            </w:pPr>
          </w:p>
        </w:tc>
        <w:tc>
          <w:tcPr>
            <w:tcW w:w="10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6"/>
              </w:rPr>
              <w:t>Form of Indenture.</w:t>
            </w:r>
          </w:p>
        </w:tc>
        <w:tc>
          <w:tcPr>
            <w:tcW w:w="5020" w:type="dxa"/>
            <w:vAlign w:val="bottom"/>
            <w:tcBorders>
              <w:top w:val="single" w:sz="8" w:color="0000EE"/>
            </w:tcBorders>
            <w:gridSpan w:val="14"/>
          </w:tcPr>
          <w:p>
            <w:pPr>
              <w:spacing w:after="0"/>
              <w:rPr>
                <w:sz w:val="19"/>
                <w:szCs w:val="19"/>
                <w:color w:val="auto"/>
              </w:rPr>
            </w:pPr>
          </w:p>
        </w:tc>
        <w:tc>
          <w:tcPr>
            <w:tcW w:w="15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460" w:type="dxa"/>
            <w:vAlign w:val="bottom"/>
          </w:tcPr>
          <w:p>
            <w:pPr>
              <w:spacing w:after="0"/>
              <w:rPr>
                <w:sz w:val="19"/>
                <w:szCs w:val="19"/>
                <w:color w:val="auto"/>
              </w:rPr>
            </w:pPr>
          </w:p>
        </w:tc>
        <w:tc>
          <w:tcPr>
            <w:tcW w:w="73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w w:val="98"/>
              </w:rPr>
            </w:pPr>
            <w:hyperlink r:id="rId132">
              <w:r>
                <w:rPr>
                  <w:rFonts w:ascii="Times New Roman" w:cs="Times New Roman" w:eastAsia="Times New Roman" w:hAnsi="Times New Roman"/>
                  <w:sz w:val="14"/>
                  <w:szCs w:val="14"/>
                  <w:color w:val="0000EE"/>
                  <w:w w:val="98"/>
                </w:rPr>
                <w:t>Registration Rights Agreement by and among Westlake Chemical Partners LP and the persons named therein, dated as of March 29,</w:t>
              </w:r>
            </w:hyperlink>
          </w:p>
        </w:tc>
        <w:tc>
          <w:tcPr>
            <w:tcW w:w="2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80" w:type="dxa"/>
            <w:vAlign w:val="bottom"/>
            <w:gridSpan w:val="24"/>
          </w:tcPr>
          <w:p>
            <w:pPr>
              <w:spacing w:after="0" w:line="14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2019 (incorporated by reference to Exhibit 4.1 to Westlake Chemical Partners LP’s Current Report on Form 8-K, filed on March 29,</w:t>
              </w:r>
            </w:hyperlink>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80" w:type="dxa"/>
            <w:vAlign w:val="bottom"/>
            <w:tcBorders>
              <w:top w:val="single" w:sz="8" w:color="0000EE"/>
            </w:tcBorders>
            <w:gridSpan w:val="19"/>
          </w:tcPr>
          <w:p>
            <w:pPr>
              <w:spacing w:after="0" w:line="145"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2019, File No. 01-36567).</w:t>
              </w:r>
            </w:hyperlink>
          </w:p>
        </w:tc>
        <w:tc>
          <w:tcPr>
            <w:tcW w:w="3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460" w:type="dxa"/>
            <w:vAlign w:val="bottom"/>
          </w:tcPr>
          <w:p>
            <w:pPr>
              <w:spacing w:after="0"/>
              <w:rPr>
                <w:sz w:val="19"/>
                <w:szCs w:val="19"/>
                <w:color w:val="auto"/>
              </w:rPr>
            </w:pPr>
          </w:p>
        </w:tc>
        <w:tc>
          <w:tcPr>
            <w:tcW w:w="7580" w:type="dxa"/>
            <w:vAlign w:val="bottom"/>
            <w:tcBorders>
              <w:bottom w:val="single" w:sz="8" w:color="0000EE"/>
            </w:tcBorders>
            <w:gridSpan w:val="24"/>
          </w:tcPr>
          <w:p>
            <w:pPr>
              <w:spacing w:after="0"/>
              <w:rPr>
                <w:rFonts w:ascii="Times New Roman" w:cs="Times New Roman" w:eastAsia="Times New Roman" w:hAnsi="Times New Roman"/>
                <w:sz w:val="14"/>
                <w:szCs w:val="14"/>
                <w:color w:val="0000EE"/>
                <w:w w:val="98"/>
              </w:rPr>
            </w:pPr>
            <w:hyperlink r:id="rId133">
              <w:r>
                <w:rPr>
                  <w:rFonts w:ascii="Times New Roman" w:cs="Times New Roman" w:eastAsia="Times New Roman" w:hAnsi="Times New Roman"/>
                  <w:sz w:val="14"/>
                  <w:szCs w:val="14"/>
                  <w:color w:val="0000EE"/>
                  <w:w w:val="98"/>
                </w:rPr>
                <w:t>Description of Securities Registered Pursuant to Section 12 of the Securities Exchange Act of 1934 (incorporated by reference to Exhibit</w:t>
              </w:r>
            </w:hyperlink>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0" w:type="dxa"/>
            <w:vAlign w:val="bottom"/>
            <w:tcBorders>
              <w:bottom w:val="single" w:sz="8" w:color="0000EE"/>
            </w:tcBorders>
            <w:gridSpan w:val="17"/>
          </w:tcPr>
          <w:p>
            <w:pPr>
              <w:spacing w:after="0" w:line="145" w:lineRule="exact"/>
              <w:rPr>
                <w:rFonts w:ascii="Times New Roman" w:cs="Times New Roman" w:eastAsia="Times New Roman" w:hAnsi="Times New Roman"/>
                <w:sz w:val="14"/>
                <w:szCs w:val="14"/>
                <w:color w:val="0000EE"/>
                <w:w w:val="97"/>
              </w:rPr>
            </w:pPr>
            <w:hyperlink r:id="rId133">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w:t>
              </w:r>
              <w:r>
                <w:rPr>
                  <w:rFonts w:ascii="Times New Roman" w:cs="Times New Roman" w:eastAsia="Times New Roman" w:hAnsi="Times New Roman"/>
                  <w:sz w:val="14"/>
                  <w:szCs w:val="14"/>
                  <w:color w:val="0000EE"/>
                  <w:w w:val="97"/>
                </w:rPr>
                <w:t xml:space="preserve"> to Westlake Chemical Partners’ Annual Report on Form 10-K for the year ended December 31, 2019, File No. 001-36567).</w:t>
              </w:r>
            </w:hyperlink>
          </w:p>
        </w:tc>
        <w:tc>
          <w:tcPr>
            <w:tcW w:w="5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60" w:type="dxa"/>
            <w:vAlign w:val="bottom"/>
          </w:tcPr>
          <w:p>
            <w:pPr>
              <w:spacing w:after="0"/>
              <w:rPr>
                <w:sz w:val="19"/>
                <w:szCs w:val="19"/>
                <w:color w:val="auto"/>
              </w:rPr>
            </w:pPr>
          </w:p>
        </w:tc>
        <w:tc>
          <w:tcPr>
            <w:tcW w:w="47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7"/>
              </w:rPr>
              <w:t>Opinion of Latham &amp; Watkins LLP as to the legality of the securities being registered.</w:t>
            </w:r>
          </w:p>
        </w:tc>
        <w:tc>
          <w:tcPr>
            <w:tcW w:w="28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8.1</w:t>
            </w:r>
          </w:p>
        </w:tc>
        <w:tc>
          <w:tcPr>
            <w:tcW w:w="460" w:type="dxa"/>
            <w:vAlign w:val="bottom"/>
          </w:tcPr>
          <w:p>
            <w:pPr>
              <w:spacing w:after="0"/>
              <w:rPr>
                <w:sz w:val="19"/>
                <w:szCs w:val="19"/>
                <w:color w:val="auto"/>
              </w:rPr>
            </w:pPr>
          </w:p>
        </w:tc>
        <w:tc>
          <w:tcPr>
            <w:tcW w:w="758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Opinion of Latham &amp; Watkins LLP relating to tax matters.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460" w:type="dxa"/>
            <w:vAlign w:val="bottom"/>
          </w:tcPr>
          <w:p>
            <w:pPr>
              <w:spacing w:after="0"/>
              <w:rPr>
                <w:sz w:val="19"/>
                <w:szCs w:val="19"/>
                <w:color w:val="auto"/>
              </w:rPr>
            </w:pPr>
          </w:p>
        </w:tc>
        <w:tc>
          <w:tcPr>
            <w:tcW w:w="33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Consent of Independent Registered Public Accounting Firm</w:t>
            </w:r>
          </w:p>
        </w:tc>
        <w:tc>
          <w:tcPr>
            <w:tcW w:w="428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60" w:type="dxa"/>
            <w:vAlign w:val="bottom"/>
          </w:tcPr>
          <w:p>
            <w:pPr>
              <w:spacing w:after="0"/>
              <w:rPr>
                <w:sz w:val="19"/>
                <w:szCs w:val="19"/>
                <w:color w:val="auto"/>
              </w:rPr>
            </w:pPr>
          </w:p>
        </w:tc>
        <w:tc>
          <w:tcPr>
            <w:tcW w:w="75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 xml:space="preserve">Consent of Latham &amp; Watkins LLP (contained in Exhibits </w:t>
            </w:r>
            <w:r>
              <w:rPr>
                <w:rFonts w:ascii="Times New Roman" w:cs="Times New Roman" w:eastAsia="Times New Roman" w:hAnsi="Times New Roman"/>
                <w:sz w:val="14"/>
                <w:szCs w:val="14"/>
                <w:color w:val="0000EE"/>
              </w:rPr>
              <w:t>5.1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0000EE"/>
              </w:rPr>
              <w:t>8.1</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60" w:type="dxa"/>
            <w:vAlign w:val="bottom"/>
          </w:tcPr>
          <w:p>
            <w:pPr>
              <w:spacing w:after="0"/>
              <w:rPr>
                <w:sz w:val="19"/>
                <w:szCs w:val="19"/>
                <w:color w:val="auto"/>
              </w:rPr>
            </w:pPr>
          </w:p>
        </w:tc>
        <w:tc>
          <w:tcPr>
            <w:tcW w:w="32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Powers of Attorney (contained on signature pages).</w:t>
            </w:r>
          </w:p>
        </w:tc>
        <w:tc>
          <w:tcPr>
            <w:tcW w:w="180" w:type="dxa"/>
            <w:vAlign w:val="bottom"/>
            <w:tcBorders>
              <w:top w:val="single" w:sz="8" w:color="0000EE"/>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72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47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0"/>
              </w:rPr>
              <w:t>  25.1†</w:t>
            </w:r>
          </w:p>
        </w:tc>
        <w:tc>
          <w:tcPr>
            <w:tcW w:w="460" w:type="dxa"/>
            <w:vAlign w:val="bottom"/>
          </w:tcPr>
          <w:p>
            <w:pPr>
              <w:spacing w:after="0"/>
              <w:rPr>
                <w:sz w:val="21"/>
                <w:szCs w:val="21"/>
                <w:color w:val="auto"/>
              </w:rPr>
            </w:pPr>
          </w:p>
        </w:tc>
        <w:tc>
          <w:tcPr>
            <w:tcW w:w="75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Statement of Eligibility and Qualification of the Trustee under the Indenture under the Trust Indenture Act of 1939, as amended, on</w:t>
            </w: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5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Form T-1.</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140" w:hanging="855"/>
        <w:spacing w:after="0"/>
        <w:tabs>
          <w:tab w:leader="none" w:pos="11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83185</wp:posOffset>
            </wp:positionV>
            <wp:extent cx="5842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129" w:lineRule="exact"/>
        <w:rPr>
          <w:sz w:val="20"/>
          <w:szCs w:val="20"/>
          <w:color w:val="auto"/>
        </w:rPr>
      </w:pPr>
    </w:p>
    <w:p>
      <w:pPr>
        <w:ind w:left="460" w:hanging="175"/>
        <w:spacing w:after="0"/>
        <w:tabs>
          <w:tab w:leader="none" w:pos="4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as an exhibit to a Current Report on Form 8-K or in a post-effective amendment to this registration statement.</w:t>
      </w:r>
    </w:p>
    <w:p>
      <w:pPr>
        <w:spacing w:after="0" w:line="17" w:lineRule="exact"/>
        <w:rPr>
          <w:rFonts w:ascii="Times New Roman" w:cs="Times New Roman" w:eastAsia="Times New Roman" w:hAnsi="Times New Roman"/>
          <w:sz w:val="14"/>
          <w:szCs w:val="14"/>
          <w:color w:val="auto"/>
        </w:rPr>
      </w:pPr>
    </w:p>
    <w:p>
      <w:pPr>
        <w:ind w:left="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To be filed under subsection (a) of Section 310 of the Trust Indenture Act of 1939, as amended.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36" w:right="1440" w:bottom="1440" w:gutter="0" w:footer="0" w:header="0"/>
        </w:sectPr>
      </w:pPr>
    </w:p>
    <w:bookmarkStart w:id="84" w:name="page85"/>
    <w:bookmarkEnd w:id="84"/>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Item 17. Undertakings.</w:t>
      </w:r>
    </w:p>
    <w:p>
      <w:pPr>
        <w:spacing w:after="0" w:line="102" w:lineRule="exact"/>
        <w:rPr>
          <w:sz w:val="20"/>
          <w:szCs w:val="20"/>
          <w:color w:val="auto"/>
        </w:rPr>
      </w:pPr>
    </w:p>
    <w:p>
      <w:pPr>
        <w:ind w:left="1020" w:hanging="404"/>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undersigned registrants hereby undertakes:</w:t>
      </w:r>
    </w:p>
    <w:p>
      <w:pPr>
        <w:spacing w:after="0" w:line="97" w:lineRule="exact"/>
        <w:rPr>
          <w:rFonts w:ascii="Times New Roman" w:cs="Times New Roman" w:eastAsia="Times New Roman" w:hAnsi="Times New Roman"/>
          <w:sz w:val="14"/>
          <w:szCs w:val="14"/>
          <w:color w:val="auto"/>
        </w:rPr>
      </w:pPr>
    </w:p>
    <w:p>
      <w:pPr>
        <w:ind w:left="1380" w:hanging="340"/>
        <w:spacing w:after="0"/>
        <w:tabs>
          <w:tab w:leader="none" w:pos="138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97" w:lineRule="exact"/>
        <w:rPr>
          <w:rFonts w:ascii="Times New Roman" w:cs="Times New Roman" w:eastAsia="Times New Roman" w:hAnsi="Times New Roman"/>
          <w:sz w:val="14"/>
          <w:szCs w:val="14"/>
          <w:color w:val="auto"/>
        </w:rPr>
      </w:pPr>
    </w:p>
    <w:p>
      <w:pPr>
        <w:ind w:left="1800" w:hanging="419"/>
        <w:spacing w:after="0"/>
        <w:tabs>
          <w:tab w:leader="none" w:pos="1800" w:val="left"/>
        </w:tabs>
        <w:numPr>
          <w:ilvl w:val="2"/>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97" w:lineRule="exact"/>
        <w:rPr>
          <w:rFonts w:ascii="Times New Roman" w:cs="Times New Roman" w:eastAsia="Times New Roman" w:hAnsi="Times New Roman"/>
          <w:sz w:val="14"/>
          <w:szCs w:val="14"/>
          <w:color w:val="auto"/>
        </w:rPr>
      </w:pPr>
    </w:p>
    <w:p>
      <w:pPr>
        <w:ind w:left="1800" w:right="299" w:hanging="419"/>
        <w:spacing w:after="0" w:line="250" w:lineRule="auto"/>
        <w:tabs>
          <w:tab w:leader="none" w:pos="1800" w:val="left"/>
        </w:tabs>
        <w:numPr>
          <w:ilvl w:val="2"/>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5" w:lineRule="exact"/>
        <w:rPr>
          <w:rFonts w:ascii="Times New Roman" w:cs="Times New Roman" w:eastAsia="Times New Roman" w:hAnsi="Times New Roman"/>
          <w:sz w:val="14"/>
          <w:szCs w:val="14"/>
          <w:color w:val="auto"/>
        </w:rPr>
      </w:pPr>
    </w:p>
    <w:p>
      <w:pPr>
        <w:ind w:left="1800" w:right="719" w:hanging="419"/>
        <w:spacing w:after="0" w:line="273" w:lineRule="auto"/>
        <w:tabs>
          <w:tab w:leader="none" w:pos="1800" w:val="left"/>
        </w:tabs>
        <w:numPr>
          <w:ilvl w:val="2"/>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47" w:lineRule="exact"/>
        <w:rPr>
          <w:sz w:val="20"/>
          <w:szCs w:val="20"/>
          <w:color w:val="auto"/>
        </w:rPr>
      </w:pPr>
    </w:p>
    <w:p>
      <w:pPr>
        <w:ind w:left="280" w:right="319"/>
        <w:spacing w:after="0" w:line="255" w:lineRule="auto"/>
        <w:rPr>
          <w:sz w:val="20"/>
          <w:szCs w:val="20"/>
          <w:color w:val="auto"/>
        </w:rPr>
      </w:pPr>
      <w:r>
        <w:rPr>
          <w:rFonts w:ascii="Times New Roman" w:cs="Times New Roman" w:eastAsia="Times New Roman" w:hAnsi="Times New Roman"/>
          <w:sz w:val="14"/>
          <w:szCs w:val="14"/>
          <w:color w:val="auto"/>
        </w:rPr>
        <w:t>provided, however, that paragraphs (i), (ii) and (iii)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1" w:lineRule="exact"/>
        <w:rPr>
          <w:sz w:val="20"/>
          <w:szCs w:val="20"/>
          <w:color w:val="auto"/>
        </w:rPr>
      </w:pPr>
    </w:p>
    <w:p>
      <w:pPr>
        <w:ind w:left="1380" w:right="439" w:hanging="340"/>
        <w:spacing w:after="0" w:line="259" w:lineRule="auto"/>
        <w:tabs>
          <w:tab w:leader="none" w:pos="13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8" w:lineRule="exact"/>
        <w:rPr>
          <w:rFonts w:ascii="Times New Roman" w:cs="Times New Roman" w:eastAsia="Times New Roman" w:hAnsi="Times New Roman"/>
          <w:sz w:val="14"/>
          <w:szCs w:val="14"/>
          <w:color w:val="auto"/>
        </w:rPr>
      </w:pPr>
    </w:p>
    <w:p>
      <w:pPr>
        <w:ind w:left="1380" w:right="439" w:hanging="340"/>
        <w:spacing w:after="0" w:line="273" w:lineRule="auto"/>
        <w:tabs>
          <w:tab w:leader="none" w:pos="13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7" w:lineRule="exact"/>
        <w:rPr>
          <w:rFonts w:ascii="Times New Roman" w:cs="Times New Roman" w:eastAsia="Times New Roman" w:hAnsi="Times New Roman"/>
          <w:sz w:val="14"/>
          <w:szCs w:val="14"/>
          <w:color w:val="auto"/>
        </w:rPr>
      </w:pPr>
    </w:p>
    <w:p>
      <w:pPr>
        <w:ind w:left="1380" w:hanging="340"/>
        <w:spacing w:after="0"/>
        <w:tabs>
          <w:tab w:leader="none" w:pos="13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97" w:lineRule="exact"/>
        <w:rPr>
          <w:rFonts w:ascii="Times New Roman" w:cs="Times New Roman" w:eastAsia="Times New Roman" w:hAnsi="Times New Roman"/>
          <w:sz w:val="14"/>
          <w:szCs w:val="14"/>
          <w:color w:val="auto"/>
        </w:rPr>
      </w:pPr>
    </w:p>
    <w:p>
      <w:pPr>
        <w:ind w:left="1800" w:right="399" w:hanging="419"/>
        <w:spacing w:after="0" w:line="273" w:lineRule="auto"/>
        <w:tabs>
          <w:tab w:leader="none" w:pos="180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7" w:lineRule="exact"/>
        <w:rPr>
          <w:rFonts w:ascii="Times New Roman" w:cs="Times New Roman" w:eastAsia="Times New Roman" w:hAnsi="Times New Roman"/>
          <w:sz w:val="14"/>
          <w:szCs w:val="14"/>
          <w:color w:val="auto"/>
        </w:rPr>
      </w:pPr>
    </w:p>
    <w:p>
      <w:pPr>
        <w:ind w:left="1800" w:right="359" w:hanging="419"/>
        <w:spacing w:after="0" w:line="249" w:lineRule="auto"/>
        <w:tabs>
          <w:tab w:leader="none" w:pos="180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36" w:right="1440" w:bottom="1440" w:gutter="0" w:footer="0" w:header="0"/>
        </w:sectPr>
      </w:pPr>
    </w:p>
    <w:bookmarkStart w:id="85" w:name="page86"/>
    <w:bookmarkEnd w:id="85"/>
    <w:p>
      <w:pPr>
        <w:ind w:left="1800" w:right="4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8" w:lineRule="exact"/>
        <w:rPr>
          <w:sz w:val="20"/>
          <w:szCs w:val="20"/>
          <w:color w:val="auto"/>
        </w:rPr>
      </w:pPr>
    </w:p>
    <w:p>
      <w:pPr>
        <w:ind w:left="1380" w:right="339" w:hanging="340"/>
        <w:spacing w:after="0" w:line="253" w:lineRule="auto"/>
        <w:tabs>
          <w:tab w:leader="none" w:pos="13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1" w:lineRule="exact"/>
        <w:rPr>
          <w:rFonts w:ascii="Times New Roman" w:cs="Times New Roman" w:eastAsia="Times New Roman" w:hAnsi="Times New Roman"/>
          <w:sz w:val="14"/>
          <w:szCs w:val="14"/>
          <w:color w:val="auto"/>
        </w:rPr>
      </w:pPr>
    </w:p>
    <w:p>
      <w:pPr>
        <w:ind w:left="1800" w:right="419" w:hanging="419"/>
        <w:spacing w:after="0" w:line="273" w:lineRule="auto"/>
        <w:tabs>
          <w:tab w:leader="none" w:pos="180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7" w:lineRule="exact"/>
        <w:rPr>
          <w:rFonts w:ascii="Times New Roman" w:cs="Times New Roman" w:eastAsia="Times New Roman" w:hAnsi="Times New Roman"/>
          <w:sz w:val="14"/>
          <w:szCs w:val="14"/>
          <w:color w:val="auto"/>
        </w:rPr>
      </w:pPr>
    </w:p>
    <w:p>
      <w:pPr>
        <w:ind w:left="1800" w:right="339" w:hanging="419"/>
        <w:spacing w:after="0" w:line="273" w:lineRule="auto"/>
        <w:tabs>
          <w:tab w:leader="none" w:pos="180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7" w:lineRule="exact"/>
        <w:rPr>
          <w:rFonts w:ascii="Times New Roman" w:cs="Times New Roman" w:eastAsia="Times New Roman" w:hAnsi="Times New Roman"/>
          <w:sz w:val="14"/>
          <w:szCs w:val="14"/>
          <w:color w:val="auto"/>
        </w:rPr>
      </w:pPr>
    </w:p>
    <w:p>
      <w:pPr>
        <w:ind w:left="1800" w:right="959" w:hanging="419"/>
        <w:spacing w:after="0" w:line="273" w:lineRule="auto"/>
        <w:tabs>
          <w:tab w:leader="none" w:pos="180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7" w:lineRule="exact"/>
        <w:rPr>
          <w:rFonts w:ascii="Times New Roman" w:cs="Times New Roman" w:eastAsia="Times New Roman" w:hAnsi="Times New Roman"/>
          <w:sz w:val="14"/>
          <w:szCs w:val="14"/>
          <w:color w:val="auto"/>
        </w:rPr>
      </w:pPr>
    </w:p>
    <w:p>
      <w:pPr>
        <w:ind w:left="1800" w:hanging="419"/>
        <w:spacing w:after="0"/>
        <w:tabs>
          <w:tab w:leader="none" w:pos="180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97" w:lineRule="exact"/>
        <w:rPr>
          <w:rFonts w:ascii="Times New Roman" w:cs="Times New Roman" w:eastAsia="Times New Roman" w:hAnsi="Times New Roman"/>
          <w:sz w:val="14"/>
          <w:szCs w:val="14"/>
          <w:color w:val="auto"/>
        </w:rPr>
      </w:pPr>
    </w:p>
    <w:p>
      <w:pPr>
        <w:ind w:left="1020" w:right="379" w:hanging="404"/>
        <w:spacing w:after="0" w:line="253"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4"/>
          <w:szCs w:val="14"/>
          <w:color w:val="auto"/>
        </w:rPr>
      </w:pPr>
    </w:p>
    <w:p>
      <w:pPr>
        <w:ind w:left="1020" w:right="399" w:hanging="404"/>
        <w:spacing w:after="0" w:line="250"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5" w:lineRule="exact"/>
        <w:rPr>
          <w:rFonts w:ascii="Times New Roman" w:cs="Times New Roman" w:eastAsia="Times New Roman" w:hAnsi="Times New Roman"/>
          <w:sz w:val="14"/>
          <w:szCs w:val="14"/>
          <w:color w:val="auto"/>
        </w:rPr>
      </w:pPr>
    </w:p>
    <w:p>
      <w:pPr>
        <w:ind w:left="1020" w:hanging="404"/>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undersigned registrant hereby undertakes that:</w:t>
      </w:r>
    </w:p>
    <w:p>
      <w:pPr>
        <w:spacing w:after="0" w:line="97" w:lineRule="exact"/>
        <w:rPr>
          <w:rFonts w:ascii="Times New Roman" w:cs="Times New Roman" w:eastAsia="Times New Roman" w:hAnsi="Times New Roman"/>
          <w:sz w:val="14"/>
          <w:szCs w:val="14"/>
          <w:color w:val="auto"/>
        </w:rPr>
      </w:pPr>
    </w:p>
    <w:p>
      <w:pPr>
        <w:ind w:left="1380" w:right="339" w:hanging="340"/>
        <w:spacing w:after="0" w:line="255" w:lineRule="auto"/>
        <w:tabs>
          <w:tab w:leader="none" w:pos="13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0" w:lineRule="exact"/>
        <w:rPr>
          <w:rFonts w:ascii="Times New Roman" w:cs="Times New Roman" w:eastAsia="Times New Roman" w:hAnsi="Times New Roman"/>
          <w:sz w:val="14"/>
          <w:szCs w:val="14"/>
          <w:color w:val="auto"/>
        </w:rPr>
      </w:pPr>
    </w:p>
    <w:p>
      <w:pPr>
        <w:ind w:left="1380" w:right="659" w:hanging="340"/>
        <w:spacing w:after="0" w:line="259" w:lineRule="auto"/>
        <w:tabs>
          <w:tab w:leader="none" w:pos="13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40" w:right="1440" w:bottom="1440" w:gutter="0" w:footer="0" w:header="0"/>
        </w:sectPr>
      </w:pPr>
    </w:p>
    <w:bookmarkStart w:id="86" w:name="page87"/>
    <w:bookmarkEnd w:id="86"/>
    <w:p>
      <w:pPr>
        <w:jc w:val="both"/>
        <w:ind w:left="1020" w:right="439" w:hanging="404"/>
        <w:spacing w:after="0" w:line="259" w:lineRule="auto"/>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Each undersigned registrant hereby undertakes to file an application for the purpose of determining the eligibility of the trustee under the indenture to act under subsection (a) of Section 310 of the Trust Indenture Act in accordance with the rules and regulations prescribed by the SEC under Section 305(b)(2) of the Trust Indenture Act.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9019"/>
          </w:cols>
          <w:pgMar w:left="1440" w:top="240"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SIGNATURES</w:t>
      </w:r>
    </w:p>
    <w:p>
      <w:pPr>
        <w:spacing w:after="0" w:line="174"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March 4, 2026.</w:t>
      </w:r>
    </w:p>
    <w:p>
      <w:pPr>
        <w:spacing w:after="0" w:line="2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WESTLAKE CHEMICAL PARTNERS LP</w:t>
      </w:r>
    </w:p>
    <w:p>
      <w:pPr>
        <w:spacing w:after="0" w:line="174" w:lineRule="exact"/>
        <w:rPr>
          <w:sz w:val="20"/>
          <w:szCs w:val="20"/>
          <w:color w:val="auto"/>
        </w:rPr>
      </w:pPr>
    </w:p>
    <w:tbl>
      <w:tblPr>
        <w:tblLayout w:type="fixed"/>
        <w:tblInd w:w="5360" w:type="dxa"/>
        <w:tblCellMar>
          <w:top w:w="0" w:type="dxa"/>
          <w:left w:w="0" w:type="dxa"/>
          <w:bottom w:w="0" w:type="dxa"/>
          <w:right w:w="0" w:type="dxa"/>
        </w:tblCellMar>
      </w:tblPr>
      <w:tr>
        <w:trPr>
          <w:trHeight w:val="165"/>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Westlake Chemical Partners GP LLC, its general</w:t>
            </w:r>
          </w:p>
        </w:tc>
      </w:tr>
      <w:tr>
        <w:trPr>
          <w:trHeight w:val="179"/>
        </w:trPr>
        <w:tc>
          <w:tcPr>
            <w:tcW w:w="400" w:type="dxa"/>
            <w:vAlign w:val="bottom"/>
          </w:tcPr>
          <w:p>
            <w:pPr>
              <w:spacing w:after="0"/>
              <w:rPr>
                <w:sz w:val="15"/>
                <w:szCs w:val="15"/>
                <w:color w:val="auto"/>
              </w:rPr>
            </w:pP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w:t>
            </w:r>
          </w:p>
        </w:tc>
      </w:tr>
      <w:tr>
        <w:trPr>
          <w:trHeight w:val="33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Jean-Marc Gilson</w:t>
            </w:r>
          </w:p>
        </w:tc>
      </w:tr>
      <w:tr>
        <w:trPr>
          <w:trHeight w:val="143"/>
        </w:trPr>
        <w:tc>
          <w:tcPr>
            <w:tcW w:w="4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Jean-Marc Gilson</w:t>
            </w:r>
          </w:p>
        </w:tc>
      </w:tr>
      <w:tr>
        <w:trPr>
          <w:trHeight w:val="17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Jean-Marc Gilson, M. Steven Bender and L. Benjamin Ederington, and each of them, any of whom may act without joinder of the others, as his or her lawful attorneys-in-fact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such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and each of them, or the substitute or substitutes of any of them, may lawfully do or cause to be done by virtue hereof.</w:t>
      </w:r>
    </w:p>
    <w:p>
      <w:pPr>
        <w:spacing w:after="0" w:line="148" w:lineRule="exact"/>
        <w:rPr>
          <w:sz w:val="20"/>
          <w:szCs w:val="20"/>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indicated on March 4, 2026.</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4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r>
      <w:tr>
        <w:trPr>
          <w:trHeight w:val="311"/>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Jean-Marc Gilson</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President, Chief Executive Officer and Director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Jean-Marc Gilson</w:t>
            </w:r>
          </w:p>
        </w:tc>
        <w:tc>
          <w:tcPr>
            <w:tcW w:w="160" w:type="dxa"/>
            <w:vAlign w:val="bottom"/>
          </w:tcPr>
          <w:p>
            <w:pPr>
              <w:spacing w:after="0"/>
              <w:rPr>
                <w:sz w:val="14"/>
                <w:szCs w:val="14"/>
                <w:color w:val="auto"/>
              </w:rPr>
            </w:pPr>
          </w:p>
        </w:tc>
        <w:tc>
          <w:tcPr>
            <w:tcW w:w="44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(Principal Executive Officer)</w:t>
            </w: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 Steven Bender</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Executive Vice President, Chief Financial Officer and Director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 Steven Bender</w:t>
            </w:r>
          </w:p>
        </w:tc>
        <w:tc>
          <w:tcPr>
            <w:tcW w:w="160" w:type="dxa"/>
            <w:vAlign w:val="bottom"/>
          </w:tcPr>
          <w:p>
            <w:pPr>
              <w:spacing w:after="0"/>
              <w:rPr>
                <w:sz w:val="14"/>
                <w:szCs w:val="14"/>
                <w:color w:val="auto"/>
              </w:rPr>
            </w:pPr>
          </w:p>
        </w:tc>
        <w:tc>
          <w:tcPr>
            <w:tcW w:w="44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(Principal Financial Officer)</w:t>
            </w: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Jeffrey A. Holy</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Vice President and Chief Accounting Officer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Jeffrey A. Holy</w:t>
            </w:r>
          </w:p>
        </w:tc>
        <w:tc>
          <w:tcPr>
            <w:tcW w:w="160" w:type="dxa"/>
            <w:vAlign w:val="bottom"/>
          </w:tcPr>
          <w:p>
            <w:pPr>
              <w:spacing w:after="0"/>
              <w:rPr>
                <w:sz w:val="14"/>
                <w:szCs w:val="14"/>
                <w:color w:val="auto"/>
              </w:rPr>
            </w:pPr>
          </w:p>
        </w:tc>
        <w:tc>
          <w:tcPr>
            <w:tcW w:w="44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(Principal Accounting Officer)</w:t>
            </w: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James Chao</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Senior Chairman of the Board of Directors</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James Chao</w:t>
            </w:r>
          </w:p>
        </w:tc>
        <w:tc>
          <w:tcPr>
            <w:tcW w:w="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Albert Y. Chao</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Executive Chairman of the Board of Directors</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Albert Y. Chao</w:t>
            </w:r>
          </w:p>
        </w:tc>
        <w:tc>
          <w:tcPr>
            <w:tcW w:w="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277"/>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II-7</w:t>
            </w:r>
          </w:p>
        </w:tc>
      </w:tr>
    </w:tbl>
    <w:p>
      <w:pPr>
        <w:sectPr>
          <w:pgSz w:w="11900" w:h="16838" w:orient="portrait"/>
          <w:cols w:equalWidth="0" w:num="1">
            <w:col w:w="9019"/>
          </w:cols>
          <w:pgMar w:left="1440" w:top="236" w:right="1440" w:bottom="1440" w:gutter="0" w:footer="0" w:header="0"/>
        </w:sectPr>
      </w:pPr>
    </w:p>
    <w:bookmarkStart w:id="88" w:name="page89"/>
    <w:bookmarkEnd w:id="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4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r>
      <w:tr>
        <w:trPr>
          <w:trHeight w:val="311"/>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L. Benjamin Ederington</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Executive Vice President, Legal and External Affairs and Director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L. Benjamin Ederington</w:t>
            </w:r>
          </w:p>
        </w:tc>
        <w:tc>
          <w:tcPr>
            <w:tcW w:w="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G. Stephen Finley</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G. Stephen Finley</w:t>
            </w:r>
          </w:p>
        </w:tc>
        <w:tc>
          <w:tcPr>
            <w:tcW w:w="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/s/ Lisa Friel</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Lisa Friel</w:t>
            </w:r>
          </w:p>
        </w:tc>
        <w:tc>
          <w:tcPr>
            <w:tcW w:w="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2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Randy G. Woelfel</w:t>
            </w:r>
          </w:p>
        </w:tc>
        <w:tc>
          <w:tcPr>
            <w:tcW w:w="16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69"/>
        </w:trPr>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Randy G. Woelfel</w:t>
            </w:r>
          </w:p>
        </w:tc>
        <w:tc>
          <w:tcPr>
            <w:tcW w:w="16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277"/>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II-8</w:t>
            </w:r>
          </w:p>
        </w:tc>
      </w:tr>
    </w:tbl>
    <w:p>
      <w:pPr>
        <w:sectPr>
          <w:pgSz w:w="11900" w:h="16838" w:orient="portrait"/>
          <w:cols w:equalWidth="0" w:num="1">
            <w:col w:w="9019"/>
          </w:cols>
          <w:pgMar w:left="1440" w:top="234"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SIGNATURES</w:t>
      </w:r>
    </w:p>
    <w:p>
      <w:pPr>
        <w:spacing w:after="0" w:line="174"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March 4, 2026.</w:t>
      </w:r>
    </w:p>
    <w:p>
      <w:pPr>
        <w:spacing w:after="0" w:line="2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WLKP FINANCE CORP.</w:t>
      </w:r>
    </w:p>
    <w:p>
      <w:pPr>
        <w:spacing w:after="0" w:line="174" w:lineRule="exact"/>
        <w:rPr>
          <w:sz w:val="20"/>
          <w:szCs w:val="20"/>
          <w:color w:val="auto"/>
        </w:rPr>
      </w:pPr>
    </w:p>
    <w:tbl>
      <w:tblPr>
        <w:tblLayout w:type="fixed"/>
        <w:tblInd w:w="5360" w:type="dxa"/>
        <w:tblCellMar>
          <w:top w:w="0" w:type="dxa"/>
          <w:left w:w="0" w:type="dxa"/>
          <w:bottom w:w="0" w:type="dxa"/>
          <w:right w:w="0" w:type="dxa"/>
        </w:tblCellMar>
      </w:tblPr>
      <w:tr>
        <w:trPr>
          <w:trHeight w:val="17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Jean-Marc Gilson</w:t>
            </w:r>
          </w:p>
        </w:tc>
      </w:tr>
      <w:tr>
        <w:trPr>
          <w:trHeight w:val="143"/>
        </w:trPr>
        <w:tc>
          <w:tcPr>
            <w:tcW w:w="4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Jean-Marc Gilson</w:t>
            </w:r>
          </w:p>
        </w:tc>
      </w:tr>
      <w:tr>
        <w:trPr>
          <w:trHeight w:val="17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Jean-Marc Gilson, M. Steven Bender and L. Benjamin Ederington, and each of them, any of whom may act without joinder of the others, as his or her lawful attorneys-in-fact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such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and each of them, or the substitute or substitutes of any of them, may lawfully do or cause to be done by virtue hereof.</w:t>
      </w:r>
    </w:p>
    <w:p>
      <w:pPr>
        <w:spacing w:after="0" w:line="148" w:lineRule="exact"/>
        <w:rPr>
          <w:sz w:val="20"/>
          <w:szCs w:val="20"/>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indicated on March 4, 2026.</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43"/>
        </w:trPr>
        <w:tc>
          <w:tcPr>
            <w:tcW w:w="344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8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1"/>
        </w:trPr>
        <w:tc>
          <w:tcPr>
            <w:tcW w:w="344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4"/>
                <w:szCs w:val="14"/>
                <w:color w:val="auto"/>
                <w:w w:val="99"/>
              </w:rPr>
              <w:t>/s/ Jean-Marc Gilson</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President, Chief Executive Officer and Director</w:t>
            </w:r>
          </w:p>
        </w:tc>
      </w:tr>
      <w:tr>
        <w:trPr>
          <w:trHeight w:val="169"/>
        </w:trPr>
        <w:tc>
          <w:tcPr>
            <w:tcW w:w="3440" w:type="dxa"/>
            <w:vAlign w:val="bottom"/>
          </w:tcPr>
          <w:p>
            <w:pPr>
              <w:jc w:val="center"/>
              <w:ind w:left="813"/>
              <w:spacing w:after="0"/>
              <w:rPr>
                <w:sz w:val="20"/>
                <w:szCs w:val="20"/>
                <w:color w:val="auto"/>
              </w:rPr>
            </w:pPr>
            <w:r>
              <w:rPr>
                <w:rFonts w:ascii="Times New Roman" w:cs="Times New Roman" w:eastAsia="Times New Roman" w:hAnsi="Times New Roman"/>
                <w:sz w:val="14"/>
                <w:szCs w:val="14"/>
                <w:color w:val="auto"/>
              </w:rPr>
              <w:t>Jean-Marc Gilson</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(Principal Executive Officer)</w:t>
            </w:r>
          </w:p>
        </w:tc>
      </w:tr>
      <w:tr>
        <w:trPr>
          <w:trHeight w:val="328"/>
        </w:trPr>
        <w:tc>
          <w:tcPr>
            <w:tcW w:w="344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4"/>
                <w:szCs w:val="14"/>
                <w:color w:val="auto"/>
                <w:w w:val="98"/>
              </w:rPr>
              <w:t>/s/ M. Steven Bender</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Executive Vice President, Chief Financial Officer and Director</w:t>
            </w:r>
          </w:p>
        </w:tc>
      </w:tr>
      <w:tr>
        <w:trPr>
          <w:trHeight w:val="169"/>
        </w:trPr>
        <w:tc>
          <w:tcPr>
            <w:tcW w:w="3440" w:type="dxa"/>
            <w:vAlign w:val="bottom"/>
          </w:tcPr>
          <w:p>
            <w:pPr>
              <w:jc w:val="center"/>
              <w:ind w:left="813"/>
              <w:spacing w:after="0"/>
              <w:rPr>
                <w:sz w:val="20"/>
                <w:szCs w:val="20"/>
                <w:color w:val="auto"/>
              </w:rPr>
            </w:pPr>
            <w:r>
              <w:rPr>
                <w:rFonts w:ascii="Times New Roman" w:cs="Times New Roman" w:eastAsia="Times New Roman" w:hAnsi="Times New Roman"/>
                <w:sz w:val="14"/>
                <w:szCs w:val="14"/>
                <w:color w:val="auto"/>
                <w:w w:val="98"/>
              </w:rPr>
              <w:t>M. Steven Bender</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(Principal Financial Officer)</w:t>
            </w:r>
          </w:p>
        </w:tc>
      </w:tr>
      <w:tr>
        <w:trPr>
          <w:trHeight w:val="328"/>
        </w:trPr>
        <w:tc>
          <w:tcPr>
            <w:tcW w:w="344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4"/>
                <w:szCs w:val="14"/>
                <w:color w:val="auto"/>
                <w:w w:val="99"/>
              </w:rPr>
              <w:t>/s/ Jeffrey A. Holy</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Vice President and Chief Accounting Officer</w:t>
            </w:r>
          </w:p>
        </w:tc>
      </w:tr>
      <w:tr>
        <w:trPr>
          <w:trHeight w:val="169"/>
        </w:trPr>
        <w:tc>
          <w:tcPr>
            <w:tcW w:w="3440" w:type="dxa"/>
            <w:vAlign w:val="bottom"/>
          </w:tcPr>
          <w:p>
            <w:pPr>
              <w:jc w:val="center"/>
              <w:ind w:left="833"/>
              <w:spacing w:after="0"/>
              <w:rPr>
                <w:sz w:val="20"/>
                <w:szCs w:val="20"/>
                <w:color w:val="auto"/>
              </w:rPr>
            </w:pPr>
            <w:r>
              <w:rPr>
                <w:rFonts w:ascii="Times New Roman" w:cs="Times New Roman" w:eastAsia="Times New Roman" w:hAnsi="Times New Roman"/>
                <w:sz w:val="14"/>
                <w:szCs w:val="14"/>
                <w:color w:val="auto"/>
                <w:w w:val="98"/>
              </w:rPr>
              <w:t>Jeffrey A. Holy</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(Principal Accounting Officer)</w:t>
            </w:r>
          </w:p>
        </w:tc>
      </w:tr>
      <w:tr>
        <w:trPr>
          <w:trHeight w:val="328"/>
        </w:trPr>
        <w:tc>
          <w:tcPr>
            <w:tcW w:w="344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4"/>
                <w:szCs w:val="14"/>
                <w:color w:val="auto"/>
                <w:w w:val="97"/>
              </w:rPr>
              <w:t>/s/ Albert Y. Chao</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69"/>
        </w:trPr>
        <w:tc>
          <w:tcPr>
            <w:tcW w:w="3440" w:type="dxa"/>
            <w:vAlign w:val="bottom"/>
          </w:tcPr>
          <w:p>
            <w:pPr>
              <w:jc w:val="center"/>
              <w:ind w:left="813"/>
              <w:spacing w:after="0"/>
              <w:rPr>
                <w:sz w:val="20"/>
                <w:szCs w:val="20"/>
                <w:color w:val="auto"/>
              </w:rPr>
            </w:pPr>
            <w:r>
              <w:rPr>
                <w:rFonts w:ascii="Times New Roman" w:cs="Times New Roman" w:eastAsia="Times New Roman" w:hAnsi="Times New Roman"/>
                <w:sz w:val="14"/>
                <w:szCs w:val="14"/>
                <w:color w:val="auto"/>
                <w:w w:val="97"/>
              </w:rPr>
              <w:t>Albert Y. Chao</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277"/>
        </w:trPr>
        <w:tc>
          <w:tcPr>
            <w:tcW w:w="3440" w:type="dxa"/>
            <w:vAlign w:val="bottom"/>
          </w:tcPr>
          <w:p>
            <w:pPr>
              <w:spacing w:after="0"/>
              <w:rPr>
                <w:sz w:val="24"/>
                <w:szCs w:val="24"/>
                <w:color w:val="auto"/>
              </w:rPr>
            </w:pPr>
          </w:p>
        </w:tc>
        <w:tc>
          <w:tcPr>
            <w:tcW w:w="50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II-9</w:t>
            </w:r>
          </w:p>
        </w:tc>
      </w:tr>
    </w:tbl>
    <w:p>
      <w:pPr>
        <w:sectPr>
          <w:pgSz w:w="11900" w:h="16838" w:orient="portrait"/>
          <w:cols w:equalWidth="0" w:num="1">
            <w:col w:w="9019"/>
          </w:cols>
          <w:pgMar w:left="1440" w:top="237" w:right="1440" w:bottom="1440" w:gutter="0" w:footer="0" w:header="0"/>
        </w:sectPr>
      </w:pPr>
    </w:p>
    <w:bookmarkStart w:id="90" w:name="page91"/>
    <w:bookmarkEnd w:id="90"/>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Indenture]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WESTLAKE CHEMICAL PARTNERS LP</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WLKP FINANCE CORP.,</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Issuers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0" w:lineRule="exact"/>
        <w:rPr>
          <w:sz w:val="20"/>
          <w:szCs w:val="20"/>
          <w:color w:val="auto"/>
        </w:rPr>
      </w:pPr>
    </w:p>
    <w:p>
      <w:pPr>
        <w:ind w:left="4460" w:hanging="78"/>
        <w:spacing w:after="0"/>
        <w:tabs>
          <w:tab w:leader="none" w:pos="446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w:t>
      </w:r>
    </w:p>
    <w:p>
      <w:pPr>
        <w:spacing w:after="0" w:line="169" w:lineRule="exact"/>
        <w:rPr>
          <w:rFonts w:ascii="Times New Roman" w:cs="Times New Roman" w:eastAsia="Times New Roman" w:hAnsi="Times New Roman"/>
          <w:sz w:val="14"/>
          <w:szCs w:val="14"/>
          <w:b w:val="1"/>
          <w:bCs w:val="1"/>
          <w:color w:val="auto"/>
        </w:rPr>
      </w:pPr>
    </w:p>
    <w:p>
      <w:pPr>
        <w:ind w:left="42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 Trustee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ectPr>
          <w:pgSz w:w="11900" w:h="16838" w:orient="portrait"/>
          <w:cols w:equalWidth="0" w:num="1">
            <w:col w:w="9019"/>
          </w:cols>
          <w:pgMar w:left="1440" w:top="123" w:right="1440" w:bottom="1440" w:gutter="0" w:footer="0" w:header="0"/>
        </w:sectPr>
      </w:pPr>
    </w:p>
    <w:bookmarkStart w:id="91" w:name="page92"/>
    <w:bookmarkEnd w:id="91"/>
    <w:tbl>
      <w:tblPr>
        <w:tblLayout w:type="fixed"/>
        <w:tblInd w:w="28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1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CROSS-REFERENCE TABLE</w:t>
            </w:r>
          </w:p>
        </w:tc>
      </w:tr>
      <w:tr>
        <w:trPr>
          <w:trHeight w:val="310"/>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i w:val="1"/>
                <w:iCs w:val="1"/>
                <w:color w:val="auto"/>
              </w:rPr>
              <w:t>TIA Section</w:t>
            </w: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Indenture Section</w:t>
            </w:r>
          </w:p>
        </w:tc>
      </w:tr>
      <w:tr>
        <w:trPr>
          <w:trHeight w:val="143"/>
        </w:trPr>
        <w:tc>
          <w:tcPr>
            <w:tcW w:w="20" w:type="dxa"/>
            <w:vAlign w:val="bottom"/>
          </w:tcPr>
          <w:p>
            <w:pPr>
              <w:spacing w:after="0"/>
              <w:rPr>
                <w:sz w:val="12"/>
                <w:szCs w:val="12"/>
                <w:color w:val="auto"/>
              </w:rPr>
            </w:pPr>
          </w:p>
        </w:tc>
        <w:tc>
          <w:tcPr>
            <w:tcW w:w="22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310 (a)</w:t>
            </w:r>
          </w:p>
        </w:tc>
        <w:tc>
          <w:tcPr>
            <w:tcW w:w="2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9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7.10</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7.10</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 (a)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7.11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7.11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 (a)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5.02</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5.02</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 (a)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5.03</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5.03</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13.03</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5.03</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 (a)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4.05</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(c)(1)</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13.05</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(c)(2)</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13.05</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(c)(3)</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13.05</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N.A.</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 (a)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7.01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6.07 &amp; 13.03</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7.01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7.01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6.08</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 (a) (last sentence)</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1.01</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(a)(1)(A)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6.06</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(a)(1)(B)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6.06</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(a)(2)</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9.01(d)</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6.04</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5.04</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317 (a)(1)</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6.02</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(a)(2)</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6.02</w:t>
            </w:r>
          </w:p>
        </w:tc>
      </w:tr>
      <w:tr>
        <w:trPr>
          <w:trHeight w:val="165"/>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4.04</w:t>
            </w:r>
          </w:p>
        </w:tc>
      </w:tr>
      <w:tr>
        <w:trPr>
          <w:trHeight w:val="179"/>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318 (a)</w:t>
            </w:r>
          </w:p>
        </w:tc>
        <w:tc>
          <w:tcPr>
            <w:tcW w:w="6180" w:type="dxa"/>
            <w:vAlign w:val="bottom"/>
            <w:gridSpan w:val="3"/>
          </w:tcPr>
          <w:p>
            <w:pPr>
              <w:ind w:left="2220"/>
              <w:spacing w:after="0"/>
              <w:rPr>
                <w:sz w:val="20"/>
                <w:szCs w:val="20"/>
                <w:color w:val="auto"/>
              </w:rPr>
            </w:pPr>
            <w:r>
              <w:rPr>
                <w:rFonts w:ascii="Times New Roman" w:cs="Times New Roman" w:eastAsia="Times New Roman" w:hAnsi="Times New Roman"/>
                <w:sz w:val="14"/>
                <w:szCs w:val="14"/>
                <w:color w:val="auto"/>
              </w:rPr>
              <w:t>13.07</w:t>
            </w:r>
          </w:p>
        </w:tc>
      </w:tr>
    </w:tbl>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4"/>
          <w:szCs w:val="14"/>
          <w:color w:val="auto"/>
        </w:rPr>
        <w:t>N.A. means Not Applicable</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NOTE: This Cross-Reference table shall not, for any purpose, be deemed part of this Indenture.</w:t>
      </w:r>
    </w:p>
    <w:p>
      <w:pPr>
        <w:spacing w:after="0" w:line="1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6" w:right="1440" w:bottom="1440" w:gutter="0" w:footer="0" w:header="0"/>
        </w:sectPr>
      </w:pPr>
    </w:p>
    <w:bookmarkStart w:id="92" w:name="page93"/>
    <w:bookmarkEnd w:id="92"/>
    <w:tbl>
      <w:tblPr>
        <w:tblLayout w:type="fixed"/>
        <w:tblInd w:w="280" w:type="dxa"/>
        <w:tblCellMar>
          <w:top w:w="0" w:type="dxa"/>
          <w:left w:w="0" w:type="dxa"/>
          <w:bottom w:w="0" w:type="dxa"/>
          <w:right w:w="0" w:type="dxa"/>
        </w:tblCellMar>
      </w:tblPr>
      <w:tr>
        <w:trPr>
          <w:trHeight w:val="183"/>
        </w:trPr>
        <w:tc>
          <w:tcPr>
            <w:tcW w:w="860" w:type="dxa"/>
            <w:vAlign w:val="bottom"/>
          </w:tcPr>
          <w:p>
            <w:pPr>
              <w:spacing w:after="0"/>
              <w:rPr>
                <w:sz w:val="15"/>
                <w:szCs w:val="15"/>
                <w:color w:val="auto"/>
              </w:rPr>
            </w:pPr>
          </w:p>
        </w:tc>
        <w:tc>
          <w:tcPr>
            <w:tcW w:w="7240" w:type="dxa"/>
            <w:vAlign w:val="bottom"/>
          </w:tcPr>
          <w:p>
            <w:pPr>
              <w:ind w:left="26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80" w:type="dxa"/>
            <w:vAlign w:val="bottom"/>
          </w:tcPr>
          <w:p>
            <w:pPr>
              <w:spacing w:after="0"/>
              <w:rPr>
                <w:sz w:val="15"/>
                <w:szCs w:val="15"/>
                <w:color w:val="auto"/>
              </w:rPr>
            </w:pPr>
          </w:p>
        </w:tc>
      </w:tr>
      <w:tr>
        <w:trPr>
          <w:trHeight w:val="299"/>
        </w:trPr>
        <w:tc>
          <w:tcPr>
            <w:tcW w:w="8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215"/>
        </w:trPr>
        <w:tc>
          <w:tcPr>
            <w:tcW w:w="860" w:type="dxa"/>
            <w:vAlign w:val="bottom"/>
          </w:tcPr>
          <w:p>
            <w:pPr>
              <w:spacing w:after="0"/>
              <w:rPr>
                <w:sz w:val="18"/>
                <w:szCs w:val="18"/>
                <w:color w:val="auto"/>
              </w:rPr>
            </w:pPr>
          </w:p>
        </w:tc>
        <w:tc>
          <w:tcPr>
            <w:tcW w:w="72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8"/>
              </w:rPr>
              <w:t>ARTICLE I</w:t>
            </w:r>
          </w:p>
        </w:tc>
        <w:tc>
          <w:tcPr>
            <w:tcW w:w="280" w:type="dxa"/>
            <w:vAlign w:val="bottom"/>
          </w:tcPr>
          <w:p>
            <w:pPr>
              <w:spacing w:after="0"/>
              <w:rPr>
                <w:sz w:val="18"/>
                <w:szCs w:val="18"/>
                <w:color w:val="auto"/>
              </w:rPr>
            </w:pPr>
          </w:p>
        </w:tc>
      </w:tr>
      <w:tr>
        <w:trPr>
          <w:trHeight w:val="179"/>
        </w:trPr>
        <w:tc>
          <w:tcPr>
            <w:tcW w:w="860" w:type="dxa"/>
            <w:vAlign w:val="bottom"/>
          </w:tcPr>
          <w:p>
            <w:pPr>
              <w:spacing w:after="0"/>
              <w:rPr>
                <w:sz w:val="15"/>
                <w:szCs w:val="15"/>
                <w:color w:val="auto"/>
              </w:rPr>
            </w:pPr>
          </w:p>
        </w:tc>
        <w:tc>
          <w:tcPr>
            <w:tcW w:w="72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7"/>
              </w:rPr>
              <w:t>DEFINITIONS AND INCORPORATION BY REFERENCE</w:t>
            </w:r>
          </w:p>
        </w:tc>
        <w:tc>
          <w:tcPr>
            <w:tcW w:w="280" w:type="dxa"/>
            <w:vAlign w:val="bottom"/>
          </w:tcPr>
          <w:p>
            <w:pPr>
              <w:spacing w:after="0"/>
              <w:rPr>
                <w:sz w:val="15"/>
                <w:szCs w:val="15"/>
                <w:color w:val="auto"/>
              </w:rPr>
            </w:pPr>
          </w:p>
        </w:tc>
      </w:tr>
      <w:tr>
        <w:trPr>
          <w:trHeight w:val="23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35"/>
        </w:trPr>
        <w:tc>
          <w:tcPr>
            <w:tcW w:w="860" w:type="dxa"/>
            <w:vAlign w:val="bottom"/>
          </w:tcPr>
          <w:p>
            <w:pPr>
              <w:spacing w:after="0"/>
              <w:rPr>
                <w:sz w:val="20"/>
                <w:szCs w:val="20"/>
                <w:color w:val="auto"/>
              </w:rPr>
            </w:pPr>
          </w:p>
        </w:tc>
        <w:tc>
          <w:tcPr>
            <w:tcW w:w="72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7"/>
              </w:rPr>
              <w:t>ARTICLE II</w:t>
            </w:r>
          </w:p>
        </w:tc>
        <w:tc>
          <w:tcPr>
            <w:tcW w:w="280" w:type="dxa"/>
            <w:vAlign w:val="bottom"/>
          </w:tcPr>
          <w:p>
            <w:pPr>
              <w:spacing w:after="0"/>
              <w:rPr>
                <w:sz w:val="20"/>
                <w:szCs w:val="20"/>
                <w:color w:val="auto"/>
              </w:rPr>
            </w:pPr>
          </w:p>
        </w:tc>
      </w:tr>
      <w:tr>
        <w:trPr>
          <w:trHeight w:val="179"/>
        </w:trPr>
        <w:tc>
          <w:tcPr>
            <w:tcW w:w="860" w:type="dxa"/>
            <w:vAlign w:val="bottom"/>
          </w:tcPr>
          <w:p>
            <w:pPr>
              <w:spacing w:after="0"/>
              <w:rPr>
                <w:sz w:val="15"/>
                <w:szCs w:val="15"/>
                <w:color w:val="auto"/>
              </w:rPr>
            </w:pPr>
          </w:p>
        </w:tc>
        <w:tc>
          <w:tcPr>
            <w:tcW w:w="72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8"/>
              </w:rPr>
              <w:t>DEBT SECURITIES</w:t>
            </w:r>
          </w:p>
        </w:tc>
        <w:tc>
          <w:tcPr>
            <w:tcW w:w="280" w:type="dxa"/>
            <w:vAlign w:val="bottom"/>
          </w:tcPr>
          <w:p>
            <w:pPr>
              <w:spacing w:after="0"/>
              <w:rPr>
                <w:sz w:val="15"/>
                <w:szCs w:val="15"/>
                <w:color w:val="auto"/>
              </w:rPr>
            </w:pPr>
          </w:p>
        </w:tc>
      </w:tr>
      <w:tr>
        <w:trPr>
          <w:trHeight w:val="23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Form of Trustee’s Certificate of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Amount; Issuable in Series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Execution of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Authentication and Delivery of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2.06</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Denomination of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2.07</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2.08</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Temporary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2.09</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Mutilated, Destroyed, Lost or Stolen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Cancellation of Surrendered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Provisions of the Indenture and Debt Securities for the Sole Benefit of the Parties and the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Interest; Interest Rights Preserved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 Denominated in Dollars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Wire Transfers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 Issuable in the Form of a Global 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2.16</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Medium Term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2.17</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2.18</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CUSIP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5"/>
        </w:trPr>
        <w:tc>
          <w:tcPr>
            <w:tcW w:w="860" w:type="dxa"/>
            <w:vAlign w:val="bottom"/>
          </w:tcPr>
          <w:p>
            <w:pPr>
              <w:spacing w:after="0"/>
              <w:rPr>
                <w:sz w:val="20"/>
                <w:szCs w:val="20"/>
                <w:color w:val="auto"/>
              </w:rPr>
            </w:pPr>
          </w:p>
        </w:tc>
        <w:tc>
          <w:tcPr>
            <w:tcW w:w="72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6"/>
              </w:rPr>
              <w:t>ARTICLE III</w:t>
            </w:r>
          </w:p>
        </w:tc>
        <w:tc>
          <w:tcPr>
            <w:tcW w:w="280" w:type="dxa"/>
            <w:vAlign w:val="bottom"/>
          </w:tcPr>
          <w:p>
            <w:pPr>
              <w:spacing w:after="0"/>
              <w:rPr>
                <w:sz w:val="20"/>
                <w:szCs w:val="20"/>
                <w:color w:val="auto"/>
              </w:rPr>
            </w:pPr>
          </w:p>
        </w:tc>
      </w:tr>
      <w:tr>
        <w:trPr>
          <w:trHeight w:val="179"/>
        </w:trPr>
        <w:tc>
          <w:tcPr>
            <w:tcW w:w="860" w:type="dxa"/>
            <w:vAlign w:val="bottom"/>
          </w:tcPr>
          <w:p>
            <w:pPr>
              <w:spacing w:after="0"/>
              <w:rPr>
                <w:sz w:val="15"/>
                <w:szCs w:val="15"/>
                <w:color w:val="auto"/>
              </w:rPr>
            </w:pPr>
          </w:p>
        </w:tc>
        <w:tc>
          <w:tcPr>
            <w:tcW w:w="7240" w:type="dxa"/>
            <w:vAlign w:val="bottom"/>
          </w:tcPr>
          <w:p>
            <w:pPr>
              <w:jc w:val="center"/>
              <w:ind w:right="511"/>
              <w:spacing w:after="0"/>
              <w:rPr>
                <w:sz w:val="20"/>
                <w:szCs w:val="20"/>
                <w:color w:val="auto"/>
              </w:rPr>
            </w:pPr>
            <w:r>
              <w:rPr>
                <w:rFonts w:ascii="Times New Roman" w:cs="Times New Roman" w:eastAsia="Times New Roman" w:hAnsi="Times New Roman"/>
                <w:sz w:val="14"/>
                <w:szCs w:val="14"/>
                <w:color w:val="auto"/>
                <w:w w:val="98"/>
              </w:rPr>
              <w:t>REDEMPTION OF DEBT SECURITIES</w:t>
            </w:r>
          </w:p>
        </w:tc>
        <w:tc>
          <w:tcPr>
            <w:tcW w:w="280" w:type="dxa"/>
            <w:vAlign w:val="bottom"/>
          </w:tcPr>
          <w:p>
            <w:pPr>
              <w:spacing w:after="0"/>
              <w:rPr>
                <w:sz w:val="15"/>
                <w:szCs w:val="15"/>
                <w:color w:val="auto"/>
              </w:rPr>
            </w:pPr>
          </w:p>
        </w:tc>
      </w:tr>
      <w:tr>
        <w:trPr>
          <w:trHeight w:val="23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Applicability of Article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Notice of Redemption; Selection of Debt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3.03</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Debt Securities Called for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5"/>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Mandatory and Optional Sinking Funds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3.05</w:t>
            </w:r>
          </w:p>
        </w:tc>
        <w:tc>
          <w:tcPr>
            <w:tcW w:w="7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of Debt Securities for Sinking Fund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36" w:right="1440"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IV</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PARTICULAR COVENANTS OF THE ISSUERS</w:t>
      </w:r>
    </w:p>
    <w:p>
      <w:pPr>
        <w:spacing w:after="0" w:line="74" w:lineRule="exact"/>
        <w:rPr>
          <w:sz w:val="20"/>
          <w:szCs w:val="20"/>
          <w:color w:val="auto"/>
        </w:rPr>
      </w:pPr>
    </w:p>
    <w:tbl>
      <w:tblPr>
        <w:tblLayout w:type="fixed"/>
        <w:tblInd w:w="280" w:type="dxa"/>
        <w:tblCellMar>
          <w:top w:w="0" w:type="dxa"/>
          <w:left w:w="0" w:type="dxa"/>
          <w:bottom w:w="0" w:type="dxa"/>
          <w:right w:w="0" w:type="dxa"/>
        </w:tblCellMar>
      </w:tblP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Principal of, and Premium, If Any, and Interest on, Debt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4.02</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Maintenance of Offices or Agencies for Registration of Transfer, Exchange and Payment of Debt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4.03</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Appointment to Fill a Vacancy in the Office of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Duties of Paying Agents, etc.</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4.05</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 Reports;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4.06</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Compliance Certificate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9"/>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4.07</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Waiver of Certain Covenants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35"/>
        </w:trPr>
        <w:tc>
          <w:tcPr>
            <w:tcW w:w="880" w:type="dxa"/>
            <w:vAlign w:val="bottom"/>
          </w:tcPr>
          <w:p>
            <w:pPr>
              <w:spacing w:after="0"/>
              <w:rPr>
                <w:sz w:val="20"/>
                <w:szCs w:val="20"/>
                <w:color w:val="auto"/>
              </w:rPr>
            </w:pPr>
          </w:p>
        </w:tc>
        <w:tc>
          <w:tcPr>
            <w:tcW w:w="69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ARTICLE V</w:t>
            </w:r>
          </w:p>
        </w:tc>
        <w:tc>
          <w:tcPr>
            <w:tcW w:w="540" w:type="dxa"/>
            <w:vAlign w:val="bottom"/>
          </w:tcPr>
          <w:p>
            <w:pPr>
              <w:spacing w:after="0"/>
              <w:rPr>
                <w:sz w:val="20"/>
                <w:szCs w:val="20"/>
                <w:color w:val="auto"/>
              </w:rPr>
            </w:pPr>
          </w:p>
        </w:tc>
      </w:tr>
      <w:tr>
        <w:trPr>
          <w:trHeight w:val="179"/>
        </w:trPr>
        <w:tc>
          <w:tcPr>
            <w:tcW w:w="880" w:type="dxa"/>
            <w:vAlign w:val="bottom"/>
          </w:tcPr>
          <w:p>
            <w:pPr>
              <w:spacing w:after="0"/>
              <w:rPr>
                <w:sz w:val="15"/>
                <w:szCs w:val="15"/>
                <w:color w:val="auto"/>
              </w:rPr>
            </w:pPr>
          </w:p>
        </w:tc>
        <w:tc>
          <w:tcPr>
            <w:tcW w:w="6980" w:type="dxa"/>
            <w:vAlign w:val="bottom"/>
          </w:tcPr>
          <w:p>
            <w:pPr>
              <w:jc w:val="center"/>
              <w:ind w:right="251"/>
              <w:spacing w:after="0"/>
              <w:rPr>
                <w:sz w:val="20"/>
                <w:szCs w:val="20"/>
                <w:color w:val="auto"/>
              </w:rPr>
            </w:pPr>
            <w:r>
              <w:rPr>
                <w:rFonts w:ascii="Times New Roman" w:cs="Times New Roman" w:eastAsia="Times New Roman" w:hAnsi="Times New Roman"/>
                <w:sz w:val="14"/>
                <w:szCs w:val="14"/>
                <w:color w:val="auto"/>
                <w:w w:val="98"/>
              </w:rPr>
              <w:t>HOLDERS’ LISTS AND REPORTS BY THE TRUSTEE</w:t>
            </w:r>
          </w:p>
        </w:tc>
        <w:tc>
          <w:tcPr>
            <w:tcW w:w="540" w:type="dxa"/>
            <w:vAlign w:val="bottom"/>
          </w:tcPr>
          <w:p>
            <w:pPr>
              <w:spacing w:after="0"/>
              <w:rPr>
                <w:sz w:val="15"/>
                <w:szCs w:val="15"/>
                <w:color w:val="auto"/>
              </w:rPr>
            </w:pPr>
          </w:p>
        </w:tc>
      </w:tr>
      <w:tr>
        <w:trPr>
          <w:trHeight w:val="23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Issuers to Furnish Trustee Information as to Names and Addresses of Holders; Preservation of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5.02</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Communications to 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5.03</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Reports by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9"/>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5.04</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Record Dates for Action by 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35"/>
        </w:trPr>
        <w:tc>
          <w:tcPr>
            <w:tcW w:w="880" w:type="dxa"/>
            <w:vAlign w:val="bottom"/>
          </w:tcPr>
          <w:p>
            <w:pPr>
              <w:spacing w:after="0"/>
              <w:rPr>
                <w:sz w:val="20"/>
                <w:szCs w:val="20"/>
                <w:color w:val="auto"/>
              </w:rPr>
            </w:pPr>
          </w:p>
        </w:tc>
        <w:tc>
          <w:tcPr>
            <w:tcW w:w="69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ARTICLE VI</w:t>
            </w:r>
          </w:p>
        </w:tc>
        <w:tc>
          <w:tcPr>
            <w:tcW w:w="540" w:type="dxa"/>
            <w:vAlign w:val="bottom"/>
          </w:tcPr>
          <w:p>
            <w:pPr>
              <w:spacing w:after="0"/>
              <w:rPr>
                <w:sz w:val="20"/>
                <w:szCs w:val="20"/>
                <w:color w:val="auto"/>
              </w:rPr>
            </w:pPr>
          </w:p>
        </w:tc>
      </w:tr>
      <w:tr>
        <w:trPr>
          <w:trHeight w:val="179"/>
        </w:trPr>
        <w:tc>
          <w:tcPr>
            <w:tcW w:w="880" w:type="dxa"/>
            <w:vAlign w:val="bottom"/>
          </w:tcPr>
          <w:p>
            <w:pPr>
              <w:spacing w:after="0"/>
              <w:rPr>
                <w:sz w:val="15"/>
                <w:szCs w:val="15"/>
                <w:color w:val="auto"/>
              </w:rPr>
            </w:pPr>
          </w:p>
        </w:tc>
        <w:tc>
          <w:tcPr>
            <w:tcW w:w="69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7"/>
              </w:rPr>
              <w:t>REMEDIES OF THE TRUSTEE AND HOLDERS IN EVENT OF DEFAULT</w:t>
            </w:r>
          </w:p>
        </w:tc>
        <w:tc>
          <w:tcPr>
            <w:tcW w:w="540" w:type="dxa"/>
            <w:vAlign w:val="bottom"/>
          </w:tcPr>
          <w:p>
            <w:pPr>
              <w:spacing w:after="0"/>
              <w:rPr>
                <w:sz w:val="15"/>
                <w:szCs w:val="15"/>
                <w:color w:val="auto"/>
              </w:rPr>
            </w:pPr>
          </w:p>
        </w:tc>
      </w:tr>
      <w:tr>
        <w:trPr>
          <w:trHeight w:val="23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Events of Default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6.02</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Collection of Debt by Trustee, etc.</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6.03</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Application of Moneys Collected by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6.04</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Limitation on Suits by 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6.05</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Remedies Cumulative; Delay or Omission in Exercise of Rights Not a Waiver of Default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6.06</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Rights of Holders of Majority in Principal Amount of Debt Securities to Direct Trustee and to Waive Default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6.07</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Trustee to Give Notice of Events of Defaults Known to It, but May Withhold Such Notice in Certain Circumstances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9"/>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6.08</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Requirement of an Undertaking to Pay Costs in Certain Suits under the Indenture or Against the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35"/>
        </w:trPr>
        <w:tc>
          <w:tcPr>
            <w:tcW w:w="880" w:type="dxa"/>
            <w:vAlign w:val="bottom"/>
          </w:tcPr>
          <w:p>
            <w:pPr>
              <w:spacing w:after="0"/>
              <w:rPr>
                <w:sz w:val="20"/>
                <w:szCs w:val="20"/>
                <w:color w:val="auto"/>
              </w:rPr>
            </w:pPr>
          </w:p>
        </w:tc>
        <w:tc>
          <w:tcPr>
            <w:tcW w:w="69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7"/>
              </w:rPr>
              <w:t>ARTICLE VII</w:t>
            </w:r>
          </w:p>
        </w:tc>
        <w:tc>
          <w:tcPr>
            <w:tcW w:w="540" w:type="dxa"/>
            <w:vAlign w:val="bottom"/>
          </w:tcPr>
          <w:p>
            <w:pPr>
              <w:spacing w:after="0"/>
              <w:rPr>
                <w:sz w:val="20"/>
                <w:szCs w:val="20"/>
                <w:color w:val="auto"/>
              </w:rPr>
            </w:pPr>
          </w:p>
        </w:tc>
      </w:tr>
      <w:tr>
        <w:trPr>
          <w:trHeight w:val="179"/>
        </w:trPr>
        <w:tc>
          <w:tcPr>
            <w:tcW w:w="880" w:type="dxa"/>
            <w:vAlign w:val="bottom"/>
          </w:tcPr>
          <w:p>
            <w:pPr>
              <w:spacing w:after="0"/>
              <w:rPr>
                <w:sz w:val="15"/>
                <w:szCs w:val="15"/>
                <w:color w:val="auto"/>
              </w:rPr>
            </w:pPr>
          </w:p>
        </w:tc>
        <w:tc>
          <w:tcPr>
            <w:tcW w:w="69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CONCERNING THE TRUSTEE</w:t>
            </w:r>
          </w:p>
        </w:tc>
        <w:tc>
          <w:tcPr>
            <w:tcW w:w="540" w:type="dxa"/>
            <w:vAlign w:val="bottom"/>
          </w:tcPr>
          <w:p>
            <w:pPr>
              <w:spacing w:after="0"/>
              <w:rPr>
                <w:sz w:val="15"/>
                <w:szCs w:val="15"/>
                <w:color w:val="auto"/>
              </w:rPr>
            </w:pPr>
          </w:p>
        </w:tc>
      </w:tr>
      <w:tr>
        <w:trPr>
          <w:trHeight w:val="23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Certain Duties and Responsibilities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7.03</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Trustee Not Liable for Recitals in Indenture or in Debt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7.04</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Trustee, Paying Agent or Registrar May Own Debt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7.05</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Moneys Received by Trustee to Be Held in Trust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9"/>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7.06</w:t>
            </w:r>
          </w:p>
        </w:tc>
        <w:tc>
          <w:tcPr>
            <w:tcW w:w="6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323" w:right="1440" w:bottom="1440" w:gutter="0" w:footer="0" w:header="0"/>
        </w:sectPr>
      </w:pPr>
    </w:p>
    <w:bookmarkStart w:id="94" w:name="page95"/>
    <w:bookmarkEnd w:id="94"/>
    <w:tbl>
      <w:tblPr>
        <w:tblLayout w:type="fixed"/>
        <w:tblInd w:w="280" w:type="dxa"/>
        <w:tblCellMar>
          <w:top w:w="0" w:type="dxa"/>
          <w:left w:w="0" w:type="dxa"/>
          <w:bottom w:w="0" w:type="dxa"/>
          <w:right w:w="0" w:type="dxa"/>
        </w:tblCellMar>
      </w:tblP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7.07</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 of Trustee to Rely on an Officers’ Certificate Where No Other Evidence Specifically Prescribed</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7.08</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Separate Trustee; Replacement of Trustee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7.09</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Successor Trustee by Merger</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7.10</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7.11</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Preferential Collection of Claims Against Issuers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7.12</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Compliance with Tax Laws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5"/>
        </w:trPr>
        <w:tc>
          <w:tcPr>
            <w:tcW w:w="920" w:type="dxa"/>
            <w:vAlign w:val="bottom"/>
          </w:tcPr>
          <w:p>
            <w:pPr>
              <w:spacing w:after="0"/>
              <w:rPr>
                <w:sz w:val="20"/>
                <w:szCs w:val="20"/>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ARTICLE VIII</w:t>
            </w:r>
          </w:p>
        </w:tc>
        <w:tc>
          <w:tcPr>
            <w:tcW w:w="920" w:type="dxa"/>
            <w:vAlign w:val="bottom"/>
          </w:tcPr>
          <w:p>
            <w:pPr>
              <w:spacing w:after="0"/>
              <w:rPr>
                <w:sz w:val="20"/>
                <w:szCs w:val="20"/>
                <w:color w:val="auto"/>
              </w:rPr>
            </w:pPr>
          </w:p>
        </w:tc>
      </w:tr>
      <w:tr>
        <w:trPr>
          <w:trHeight w:val="179"/>
        </w:trPr>
        <w:tc>
          <w:tcPr>
            <w:tcW w:w="920" w:type="dxa"/>
            <w:vAlign w:val="bottom"/>
          </w:tcPr>
          <w:p>
            <w:pPr>
              <w:spacing w:after="0"/>
              <w:rPr>
                <w:sz w:val="15"/>
                <w:szCs w:val="15"/>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CONCERNING THE HOLDERS</w:t>
            </w:r>
          </w:p>
        </w:tc>
        <w:tc>
          <w:tcPr>
            <w:tcW w:w="92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Evidence of Action by 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8.02</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Proof of Execution of Instruments and of Holding of Debt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8.03</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Who May Be Deemed Owner of Debt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8.04</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Instruments Executed by Holders Bind Future 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35"/>
        </w:trPr>
        <w:tc>
          <w:tcPr>
            <w:tcW w:w="920" w:type="dxa"/>
            <w:vAlign w:val="bottom"/>
          </w:tcPr>
          <w:p>
            <w:pPr>
              <w:spacing w:after="0"/>
              <w:rPr>
                <w:sz w:val="20"/>
                <w:szCs w:val="20"/>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ARTICLE IX</w:t>
            </w:r>
          </w:p>
        </w:tc>
        <w:tc>
          <w:tcPr>
            <w:tcW w:w="920" w:type="dxa"/>
            <w:vAlign w:val="bottom"/>
          </w:tcPr>
          <w:p>
            <w:pPr>
              <w:spacing w:after="0"/>
              <w:rPr>
                <w:sz w:val="20"/>
                <w:szCs w:val="20"/>
                <w:color w:val="auto"/>
              </w:rPr>
            </w:pPr>
          </w:p>
        </w:tc>
      </w:tr>
      <w:tr>
        <w:trPr>
          <w:trHeight w:val="179"/>
        </w:trPr>
        <w:tc>
          <w:tcPr>
            <w:tcW w:w="920" w:type="dxa"/>
            <w:vAlign w:val="bottom"/>
          </w:tcPr>
          <w:p>
            <w:pPr>
              <w:spacing w:after="0"/>
              <w:rPr>
                <w:sz w:val="15"/>
                <w:szCs w:val="15"/>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SUPPLEMENTAL INDENTURES</w:t>
            </w:r>
          </w:p>
        </w:tc>
        <w:tc>
          <w:tcPr>
            <w:tcW w:w="92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Purposes for Which Supplemental Indenture May Be Entered into Without Consent of 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Modification of Indenture with Consent of Holders of Debt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9.03</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Debt Securities May Bear Notation of Changes by Supplemental Indentures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5"/>
        </w:trPr>
        <w:tc>
          <w:tcPr>
            <w:tcW w:w="920" w:type="dxa"/>
            <w:vAlign w:val="bottom"/>
          </w:tcPr>
          <w:p>
            <w:pPr>
              <w:spacing w:after="0"/>
              <w:rPr>
                <w:sz w:val="20"/>
                <w:szCs w:val="20"/>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ARTICLE X</w:t>
            </w:r>
          </w:p>
        </w:tc>
        <w:tc>
          <w:tcPr>
            <w:tcW w:w="920" w:type="dxa"/>
            <w:vAlign w:val="bottom"/>
          </w:tcPr>
          <w:p>
            <w:pPr>
              <w:spacing w:after="0"/>
              <w:rPr>
                <w:sz w:val="20"/>
                <w:szCs w:val="20"/>
                <w:color w:val="auto"/>
              </w:rPr>
            </w:pPr>
          </w:p>
        </w:tc>
      </w:tr>
      <w:tr>
        <w:trPr>
          <w:trHeight w:val="179"/>
        </w:trPr>
        <w:tc>
          <w:tcPr>
            <w:tcW w:w="920" w:type="dxa"/>
            <w:vAlign w:val="bottom"/>
          </w:tcPr>
          <w:p>
            <w:pPr>
              <w:spacing w:after="0"/>
              <w:rPr>
                <w:sz w:val="15"/>
                <w:szCs w:val="15"/>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CONSOLIDATION, MERGER, SALE OR CONVEYANCE</w:t>
            </w:r>
          </w:p>
        </w:tc>
        <w:tc>
          <w:tcPr>
            <w:tcW w:w="92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10.01</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Consolidations and Mergers of the Issuers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10.02</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Rights and Duties of Successor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5"/>
        </w:trPr>
        <w:tc>
          <w:tcPr>
            <w:tcW w:w="920" w:type="dxa"/>
            <w:vAlign w:val="bottom"/>
          </w:tcPr>
          <w:p>
            <w:pPr>
              <w:spacing w:after="0"/>
              <w:rPr>
                <w:sz w:val="20"/>
                <w:szCs w:val="20"/>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ARTICLE XI</w:t>
            </w:r>
          </w:p>
        </w:tc>
        <w:tc>
          <w:tcPr>
            <w:tcW w:w="920" w:type="dxa"/>
            <w:vAlign w:val="bottom"/>
          </w:tcPr>
          <w:p>
            <w:pPr>
              <w:spacing w:after="0"/>
              <w:rPr>
                <w:sz w:val="20"/>
                <w:szCs w:val="20"/>
                <w:color w:val="auto"/>
              </w:rPr>
            </w:pPr>
          </w:p>
        </w:tc>
      </w:tr>
      <w:tr>
        <w:trPr>
          <w:trHeight w:val="165"/>
        </w:trPr>
        <w:tc>
          <w:tcPr>
            <w:tcW w:w="920" w:type="dxa"/>
            <w:vAlign w:val="bottom"/>
          </w:tcPr>
          <w:p>
            <w:pPr>
              <w:spacing w:after="0"/>
              <w:rPr>
                <w:sz w:val="14"/>
                <w:szCs w:val="14"/>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SATISFACTION AND DISCHARGE OF</w:t>
            </w:r>
          </w:p>
        </w:tc>
        <w:tc>
          <w:tcPr>
            <w:tcW w:w="920" w:type="dxa"/>
            <w:vAlign w:val="bottom"/>
          </w:tcPr>
          <w:p>
            <w:pPr>
              <w:spacing w:after="0"/>
              <w:rPr>
                <w:sz w:val="14"/>
                <w:szCs w:val="14"/>
                <w:color w:val="auto"/>
              </w:rPr>
            </w:pPr>
          </w:p>
        </w:tc>
      </w:tr>
      <w:tr>
        <w:trPr>
          <w:trHeight w:val="179"/>
        </w:trPr>
        <w:tc>
          <w:tcPr>
            <w:tcW w:w="920" w:type="dxa"/>
            <w:vAlign w:val="bottom"/>
          </w:tcPr>
          <w:p>
            <w:pPr>
              <w:spacing w:after="0"/>
              <w:rPr>
                <w:sz w:val="15"/>
                <w:szCs w:val="15"/>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INDENTURE; DEFEASANCE; UNCLAIMED MONEYS</w:t>
            </w:r>
          </w:p>
        </w:tc>
        <w:tc>
          <w:tcPr>
            <w:tcW w:w="920" w:type="dxa"/>
            <w:vAlign w:val="bottom"/>
          </w:tcPr>
          <w:p>
            <w:pPr>
              <w:spacing w:after="0"/>
              <w:rPr>
                <w:sz w:val="15"/>
                <w:szCs w:val="15"/>
                <w:color w:val="auto"/>
              </w:rPr>
            </w:pPr>
          </w:p>
        </w:tc>
      </w:tr>
      <w:tr>
        <w:trPr>
          <w:trHeight w:val="23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11.01</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Applicability of Article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11.02</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Satisfaction and Discharge of Indenture; Defeasance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11.03</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Conditions of Defeasance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11.04</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11.05</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Repayment to Issuers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11.06</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Indemnity for Government Obligations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11.07</w:t>
            </w:r>
          </w:p>
        </w:tc>
        <w:tc>
          <w:tcPr>
            <w:tcW w:w="6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Reinstatement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40" w:right="1440" w:bottom="1440" w:gutter="0" w:footer="0" w:header="0"/>
        </w:sectPr>
      </w:pPr>
    </w:p>
    <w:bookmarkStart w:id="95" w:name="page96"/>
    <w:bookmarkEnd w:id="95"/>
    <w:p>
      <w:pPr>
        <w:ind w:left="40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XII</w:t>
      </w:r>
    </w:p>
    <w:p>
      <w:pPr>
        <w:spacing w:after="0" w:line="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[RESERVED]</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ARTICLE XIII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MISCELLANEOUS PROVISIONS</w:t>
      </w:r>
    </w:p>
    <w:p>
      <w:pPr>
        <w:spacing w:after="0" w:line="74" w:lineRule="exact"/>
        <w:rPr>
          <w:sz w:val="20"/>
          <w:szCs w:val="20"/>
          <w:color w:val="auto"/>
        </w:rPr>
      </w:pPr>
    </w:p>
    <w:tbl>
      <w:tblPr>
        <w:tblLayout w:type="fixed"/>
        <w:tblInd w:w="280" w:type="dxa"/>
        <w:tblCellMar>
          <w:top w:w="0" w:type="dxa"/>
          <w:left w:w="0" w:type="dxa"/>
          <w:bottom w:w="0" w:type="dxa"/>
          <w:right w:w="0" w:type="dxa"/>
        </w:tblCellMar>
      </w:tblP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13.01</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Successors and Assigns of Issuers Bound by Indenture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13.02</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Acts of Board, Committee or Officer of Successor Company Valid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13.03</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Required Notices or Demands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13.04</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Indenture and Debt Securities to Be Construed in Accordance with the Laws of the State of New York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13.05</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Officers’ Certificate and Opinion of Counsel to Be Furnished upon Application or Demand by the Issuers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13.06</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Due on Legal Holidays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13.07</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Provisions Required by TIA to Control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13.08</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Computation of Interest on Debt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13.09</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Rules by Trustee, Paying Agent and Registrar</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13.10</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13.11</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Severability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13.12</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Headings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9"/>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Section 13.13</w:t>
            </w:r>
          </w:p>
        </w:tc>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Indenture May Be Executed in Counterparts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323" w:right="1440" w:bottom="1440" w:gutter="0" w:footer="0" w:header="0"/>
        </w:sectPr>
      </w:pPr>
    </w:p>
    <w:bookmarkStart w:id="96" w:name="page97"/>
    <w:bookmarkEnd w:id="96"/>
    <w:p>
      <w:pPr>
        <w:ind w:left="280" w:right="479" w:firstLine="337"/>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THIS INDENTURE dated as of is among Westlake Chemical Partners LP, a Delaware limited partnership (the “</w:t>
      </w:r>
      <w:r>
        <w:rPr>
          <w:rFonts w:ascii="Times New Roman" w:cs="Times New Roman" w:eastAsia="Times New Roman" w:hAnsi="Times New Roman"/>
          <w:sz w:val="14"/>
          <w:szCs w:val="14"/>
          <w:b w:val="1"/>
          <w:bCs w:val="1"/>
          <w:color w:val="auto"/>
        </w:rPr>
        <w:t>Partnership</w:t>
      </w:r>
      <w:r>
        <w:rPr>
          <w:rFonts w:ascii="Times New Roman" w:cs="Times New Roman" w:eastAsia="Times New Roman" w:hAnsi="Times New Roman"/>
          <w:sz w:val="14"/>
          <w:szCs w:val="14"/>
          <w:color w:val="auto"/>
        </w:rPr>
        <w:t>”), WLKP Finance Corp., a Delaware corporation (“</w:t>
      </w:r>
      <w:r>
        <w:rPr>
          <w:rFonts w:ascii="Times New Roman" w:cs="Times New Roman" w:eastAsia="Times New Roman" w:hAnsi="Times New Roman"/>
          <w:sz w:val="14"/>
          <w:szCs w:val="14"/>
          <w:b w:val="1"/>
          <w:bCs w:val="1"/>
          <w:color w:val="auto"/>
        </w:rPr>
        <w:t>Finance Corp.</w:t>
      </w:r>
      <w:r>
        <w:rPr>
          <w:rFonts w:ascii="Times New Roman" w:cs="Times New Roman" w:eastAsia="Times New Roman" w:hAnsi="Times New Roman"/>
          <w:sz w:val="14"/>
          <w:szCs w:val="14"/>
          <w:color w:val="auto"/>
        </w:rPr>
        <w:t>,” and together with the Partnership, the “</w:t>
      </w:r>
      <w:r>
        <w:rPr>
          <w:rFonts w:ascii="Times New Roman" w:cs="Times New Roman" w:eastAsia="Times New Roman" w:hAnsi="Times New Roman"/>
          <w:sz w:val="14"/>
          <w:szCs w:val="14"/>
          <w:b w:val="1"/>
          <w:bCs w:val="1"/>
          <w:color w:val="auto"/>
        </w:rPr>
        <w:t>Issuers</w:t>
      </w:r>
      <w:r>
        <w:rPr>
          <w:rFonts w:ascii="Times New Roman" w:cs="Times New Roman" w:eastAsia="Times New Roman" w:hAnsi="Times New Roman"/>
          <w:sz w:val="14"/>
          <w:szCs w:val="14"/>
          <w:color w:val="auto"/>
        </w:rPr>
        <w:t>”) and [ • ], a,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 OF THE ISSUERS</w:t>
      </w:r>
    </w:p>
    <w:p>
      <w:pPr>
        <w:spacing w:after="0" w:line="174" w:lineRule="exact"/>
        <w:rPr>
          <w:sz w:val="20"/>
          <w:szCs w:val="20"/>
          <w:color w:val="auto"/>
        </w:rPr>
      </w:pPr>
    </w:p>
    <w:p>
      <w:pPr>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The Issuers have duly authorized the execution and delivery of this Indenture to provide for the issuance from time to time of the Issuers’ debentures, notes, bonds or other evidences of indebtedness to be issued in one or more series unlimited as to principal amount (herein called the “</w:t>
      </w:r>
      <w:r>
        <w:rPr>
          <w:rFonts w:ascii="Times New Roman" w:cs="Times New Roman" w:eastAsia="Times New Roman" w:hAnsi="Times New Roman"/>
          <w:sz w:val="14"/>
          <w:szCs w:val="14"/>
          <w:b w:val="1"/>
          <w:bCs w:val="1"/>
          <w:color w:val="auto"/>
        </w:rPr>
        <w:t>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4"/>
          <w:szCs w:val="14"/>
          <w:color w:val="auto"/>
        </w:rPr>
        <w:t>”), as in this Indenture provided.</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All things necessary to make this Indenture a valid agreement of the Issuers, in accordance with its terms, have been done.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NOW, THEREFORE, THIS INDENTURE WITNESSETH:</w:t>
      </w:r>
    </w:p>
    <w:p>
      <w:pPr>
        <w:spacing w:after="0" w:line="87" w:lineRule="exact"/>
        <w:rPr>
          <w:sz w:val="20"/>
          <w:szCs w:val="20"/>
          <w:color w:val="auto"/>
        </w:rPr>
      </w:pPr>
    </w:p>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That in order to declare the terms and conditions upon which the Debt Securities are authenticated, issued and delivered, and in consideration of the premises, and of the purchase and acceptance of the Debt Securities by the Holders thereof, the Issuers and the Trustee covenant and agree with each other, for the benefit of the respective Holders from time to time of the Debt Securities or any series thereof, as follows: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INCORPORATION BY REFERENCE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ind w:left="280" w:right="419" w:firstLine="337"/>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The Trustee may request and may conclusively rely upon an Officers’ Certificate to determine whether any Person is an Affiliate of any specified Person.</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means any Registrar or paying agent.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70" w:lineRule="exact"/>
        <w:rPr>
          <w:sz w:val="20"/>
          <w:szCs w:val="20"/>
          <w:color w:val="auto"/>
        </w:rPr>
      </w:pPr>
    </w:p>
    <w:p>
      <w:pPr>
        <w:ind w:left="280" w:right="339" w:firstLine="337"/>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of Directors</w:t>
      </w:r>
      <w:r>
        <w:rPr>
          <w:rFonts w:ascii="Times New Roman" w:cs="Times New Roman" w:eastAsia="Times New Roman" w:hAnsi="Times New Roman"/>
          <w:sz w:val="13"/>
          <w:szCs w:val="13"/>
          <w:color w:val="auto"/>
        </w:rPr>
        <w:t>” means, (i) with respect to Finance Corp., the board of directors of the corporation or any committee thereof duly authorized to act on behalf of such board, (ii) with respect to the Partnership, the Board of Directors of the General Partner or any authorized committee of the Board of Directors of the General Partner or any directors and/or officers of the General Partner to whom such Board of Directors or such committee shall have duly delegated its authority to act hereunder. If the Partnership shall change its form of entity to other than a limited partnership, the references to the Board of Directors of the General Partner shall mean the Board of Directors (or other comparable governing body) of the Partnership.</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6" w:right="1440" w:bottom="1440" w:gutter="0" w:footer="0" w:header="0"/>
        </w:sectPr>
      </w:pPr>
    </w:p>
    <w:bookmarkStart w:id="97" w:name="page98"/>
    <w:bookmarkEnd w:id="97"/>
    <w:p>
      <w:pPr>
        <w:ind w:left="6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means any day other than a Legal Holiday.</w:t>
      </w:r>
    </w:p>
    <w:p>
      <w:pPr>
        <w:spacing w:after="0" w:line="170" w:lineRule="exact"/>
        <w:rPr>
          <w:sz w:val="20"/>
          <w:szCs w:val="20"/>
          <w:color w:val="auto"/>
        </w:rPr>
      </w:pPr>
    </w:p>
    <w:p>
      <w:pPr>
        <w:ind w:left="280" w:right="419" w:firstLine="337"/>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Stock</w:t>
      </w:r>
      <w:r>
        <w:rPr>
          <w:rFonts w:ascii="Times New Roman" w:cs="Times New Roman" w:eastAsia="Times New Roman" w:hAnsi="Times New Roman"/>
          <w:sz w:val="14"/>
          <w:szCs w:val="14"/>
          <w:color w:val="auto"/>
        </w:rPr>
        <w:t>” of any Person means and includes any and all shares, rights to purchase, warrants or options (whether or not currently exercisable), participations or other equivalents of or interests in (however designated) the equity (which includes, but is not limited to, common stock, preferred stock and partnership and joint venture interests) of such Person (excluding any debt securities that are convertible into, or exchangeable for, such equity).</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70" w:lineRule="exact"/>
        <w:rPr>
          <w:sz w:val="20"/>
          <w:szCs w:val="20"/>
          <w:color w:val="auto"/>
        </w:rPr>
      </w:pPr>
    </w:p>
    <w:p>
      <w:pPr>
        <w:ind w:left="280" w:right="79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w:t>
      </w:r>
      <w:r>
        <w:rPr>
          <w:rFonts w:ascii="Times New Roman" w:cs="Times New Roman" w:eastAsia="Times New Roman" w:hAnsi="Times New Roman"/>
          <w:sz w:val="14"/>
          <w:szCs w:val="14"/>
          <w:color w:val="auto"/>
        </w:rPr>
        <w:t>” of any Person at any date means any obligation created or assumed by such Person for the repayment of borrowed money and any guarantee thereof.</w:t>
      </w:r>
    </w:p>
    <w:p>
      <w:pPr>
        <w:spacing w:after="0" w:line="122" w:lineRule="exact"/>
        <w:rPr>
          <w:sz w:val="20"/>
          <w:szCs w:val="20"/>
          <w:color w:val="auto"/>
        </w:rPr>
      </w:pPr>
    </w:p>
    <w:p>
      <w:pPr>
        <w:ind w:left="280" w:right="31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has the meaning stated in the first recital of this Indenture and more particularly means any debt security or debt securities, as the case may be, of any series authenticated and delivered under this Indenture.</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w:t>
      </w:r>
      <w:r>
        <w:rPr>
          <w:rFonts w:ascii="Times New Roman" w:cs="Times New Roman" w:eastAsia="Times New Roman" w:hAnsi="Times New Roman"/>
          <w:sz w:val="14"/>
          <w:szCs w:val="14"/>
          <w:color w:val="auto"/>
        </w:rPr>
        <w:t>” means any event, act or condition that is, or after notice or the passage of time or both would be, an Event of Default.</w:t>
      </w:r>
    </w:p>
    <w:p>
      <w:pPr>
        <w:spacing w:after="0" w:line="170" w:lineRule="exact"/>
        <w:rPr>
          <w:sz w:val="20"/>
          <w:szCs w:val="20"/>
          <w:color w:val="auto"/>
        </w:rPr>
      </w:pPr>
    </w:p>
    <w:p>
      <w:pPr>
        <w:ind w:left="280" w:right="29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Depositary</w:t>
      </w:r>
      <w:r>
        <w:rPr>
          <w:rFonts w:ascii="Times New Roman" w:cs="Times New Roman" w:eastAsia="Times New Roman" w:hAnsi="Times New Roman"/>
          <w:sz w:val="14"/>
          <w:szCs w:val="14"/>
          <w:color w:val="auto"/>
        </w:rPr>
        <w:t>” means, unless otherwise specified by the Issuers pursuant to either Section 2.03 or 2.15, with respect to Debt Securities of any series issuable or issued in whole or in part in the form of one or more Global Securities, The Depository Trust Company, New York, New York, or any successor thereto registered as a clearing agency under the Exchange Act or other applicable statute or regulations.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means such currency of the United States as at the time of payment is legal tender for the payment of public and private debts.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any successor statute.</w:t>
      </w:r>
    </w:p>
    <w:p>
      <w:pPr>
        <w:spacing w:after="0" w:line="170" w:lineRule="exact"/>
        <w:rPr>
          <w:sz w:val="20"/>
          <w:szCs w:val="20"/>
          <w:color w:val="auto"/>
        </w:rPr>
      </w:pPr>
    </w:p>
    <w:p>
      <w:pPr>
        <w:ind w:left="280" w:right="73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Finance Corp.</w:t>
      </w:r>
      <w:r>
        <w:rPr>
          <w:rFonts w:ascii="Times New Roman" w:cs="Times New Roman" w:eastAsia="Times New Roman" w:hAnsi="Times New Roman"/>
          <w:sz w:val="14"/>
          <w:szCs w:val="14"/>
          <w:color w:val="auto"/>
        </w:rPr>
        <w:t>” means the Person named as “</w:t>
      </w:r>
      <w:r>
        <w:rPr>
          <w:rFonts w:ascii="Times New Roman" w:cs="Times New Roman" w:eastAsia="Times New Roman" w:hAnsi="Times New Roman"/>
          <w:sz w:val="14"/>
          <w:szCs w:val="14"/>
          <w:b w:val="1"/>
          <w:bCs w:val="1"/>
          <w:color w:val="auto"/>
        </w:rPr>
        <w:t>Finance Corp.</w:t>
      </w:r>
      <w:r>
        <w:rPr>
          <w:rFonts w:ascii="Times New Roman" w:cs="Times New Roman" w:eastAsia="Times New Roman" w:hAnsi="Times New Roman"/>
          <w:sz w:val="14"/>
          <w:szCs w:val="14"/>
          <w:color w:val="auto"/>
        </w:rPr>
        <w:t>” in the first paragraph of this instrument until a successor Person shall have become such pursuant to the applicable terms of this Indenture, and thereafter “</w:t>
      </w:r>
      <w:r>
        <w:rPr>
          <w:rFonts w:ascii="Times New Roman" w:cs="Times New Roman" w:eastAsia="Times New Roman" w:hAnsi="Times New Roman"/>
          <w:sz w:val="14"/>
          <w:szCs w:val="14"/>
          <w:b w:val="1"/>
          <w:bCs w:val="1"/>
          <w:color w:val="auto"/>
        </w:rPr>
        <w:t>Finance Corp.</w:t>
      </w:r>
      <w:r>
        <w:rPr>
          <w:rFonts w:ascii="Times New Roman" w:cs="Times New Roman" w:eastAsia="Times New Roman" w:hAnsi="Times New Roman"/>
          <w:sz w:val="14"/>
          <w:szCs w:val="14"/>
          <w:color w:val="auto"/>
        </w:rPr>
        <w:t>” shall mean such successor Person.</w:t>
      </w:r>
    </w:p>
    <w:p>
      <w:pPr>
        <w:spacing w:after="0" w:line="122" w:lineRule="exact"/>
        <w:rPr>
          <w:sz w:val="20"/>
          <w:szCs w:val="20"/>
          <w:color w:val="auto"/>
        </w:rPr>
      </w:pPr>
    </w:p>
    <w:p>
      <w:pPr>
        <w:ind w:left="280" w:right="41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Floating Rate Security</w:t>
      </w:r>
      <w:r>
        <w:rPr>
          <w:rFonts w:ascii="Times New Roman" w:cs="Times New Roman" w:eastAsia="Times New Roman" w:hAnsi="Times New Roman"/>
          <w:sz w:val="14"/>
          <w:szCs w:val="14"/>
          <w:color w:val="auto"/>
        </w:rPr>
        <w:t>” means a Debt Security that provides for the payment of interest at a variable rate determined periodically by reference to an interest rate index specified pursuant to Section 2.03.</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means generally accepted accounting principles in the United States, as in effect from time to time.</w:t>
      </w:r>
    </w:p>
    <w:p>
      <w:pPr>
        <w:spacing w:after="0" w:line="1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6" w:right="1440" w:bottom="1440" w:gutter="0" w:footer="0" w:header="0"/>
        </w:sectPr>
      </w:pPr>
    </w:p>
    <w:bookmarkStart w:id="98" w:name="page99"/>
    <w:bookmarkEnd w:id="98"/>
    <w:p>
      <w:pPr>
        <w:jc w:val="both"/>
        <w:ind w:left="280" w:right="379" w:firstLine="337"/>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General Partner</w:t>
      </w:r>
      <w:r>
        <w:rPr>
          <w:rFonts w:ascii="Times New Roman" w:cs="Times New Roman" w:eastAsia="Times New Roman" w:hAnsi="Times New Roman"/>
          <w:sz w:val="14"/>
          <w:szCs w:val="14"/>
          <w:color w:val="auto"/>
        </w:rPr>
        <w:t>” means Westlake Chemical Partners GP, LLC, a Delaware limited liability company, and its successors and permitted assigns as general partner of the general partner of the Partnership or as the business entity with the ultimate authority to manage the business and operations of the Partnership.</w:t>
      </w:r>
    </w:p>
    <w:p>
      <w:pPr>
        <w:spacing w:after="0" w:line="135" w:lineRule="exact"/>
        <w:rPr>
          <w:sz w:val="20"/>
          <w:szCs w:val="20"/>
          <w:color w:val="auto"/>
        </w:rPr>
      </w:pPr>
    </w:p>
    <w:p>
      <w:pPr>
        <w:ind w:left="280" w:right="379" w:firstLine="337"/>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Global Security</w:t>
      </w:r>
      <w:r>
        <w:rPr>
          <w:rFonts w:ascii="Times New Roman" w:cs="Times New Roman" w:eastAsia="Times New Roman" w:hAnsi="Times New Roman"/>
          <w:sz w:val="14"/>
          <w:szCs w:val="14"/>
          <w:color w:val="auto"/>
        </w:rPr>
        <w:t>” means with respect to any series of Debt Securities issued hereunder, a Debt Security which is executed by the Issuers and authenticated and delivered by the Trustee to the Depositary or pursuant to the Depositary’s instruction, all in accordance with this Indenture and any Indentures supplemental hereto, or resolution of the Board of Directors and set forth in an Officers’ Certificate, which shall be registered in the name of the Depositary or its nominee and which shall represent, and shall be denominated in an amount equal to the aggregate principal amount of, all the Outstanding Debt Securities of such series or any portion thereof, in either case having the same terms, including, without limitation, the same original issue date, date or dates on which principal is due and interest rate or method of determining interest.</w:t>
      </w:r>
    </w:p>
    <w:p>
      <w:pPr>
        <w:spacing w:after="0" w:line="140" w:lineRule="exact"/>
        <w:rPr>
          <w:sz w:val="20"/>
          <w:szCs w:val="20"/>
          <w:color w:val="auto"/>
        </w:rPr>
      </w:pPr>
    </w:p>
    <w:p>
      <w:pPr>
        <w:ind w:left="280" w:right="339" w:firstLine="337"/>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Guarantee</w:t>
      </w:r>
      <w:r>
        <w:rPr>
          <w:rFonts w:ascii="Times New Roman" w:cs="Times New Roman" w:eastAsia="Times New Roman" w:hAnsi="Times New Roman"/>
          <w:sz w:val="14"/>
          <w:szCs w:val="14"/>
          <w:color w:val="auto"/>
        </w:rPr>
        <w:t xml:space="preserve">” means any obligation, contingent or otherwise, of any Person directly or indirectly guaranteeing any Debt or other obligation of any other Person and any obligation, direct or indirect, contingent or otherwise, of such Person (a) to purchase or pay (or advance or supply funds for the purchase or payment of) such Debt or other obligation of such other Person (whether arising by virtue of partnership arrangements, or by agreement to keep-well, to purchase assets, goods, securities or services, to take-or-pay, or to maintain financial statement conditions or otherwise) or (b) entered into for purposes of assuring in any other manner the obligee of such Debt or other obligation of the payment thereof or to protect such obligee against loss in respect thereof (in whole or in part);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term “guarantee” shall not include endorsements for collection or deposit in the ordinary course of business. The term “guarantee” used as a verb has a corresponding meaning.</w:t>
      </w:r>
    </w:p>
    <w:p>
      <w:pPr>
        <w:spacing w:after="0" w:line="140" w:lineRule="exact"/>
        <w:rPr>
          <w:sz w:val="20"/>
          <w:szCs w:val="20"/>
          <w:color w:val="auto"/>
        </w:rPr>
      </w:pPr>
    </w:p>
    <w:p>
      <w:pPr>
        <w:ind w:left="280" w:right="43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Holder of Debt Securities</w:t>
      </w:r>
      <w:r>
        <w:rPr>
          <w:rFonts w:ascii="Times New Roman" w:cs="Times New Roman" w:eastAsia="Times New Roman" w:hAnsi="Times New Roman"/>
          <w:sz w:val="14"/>
          <w:szCs w:val="14"/>
          <w:color w:val="auto"/>
        </w:rPr>
        <w:t>” or other similar terms means, a Person in whose name a Debt Security is registered in the Debt Security Register (as defined in Section 2.07(a)).</w:t>
      </w:r>
    </w:p>
    <w:p>
      <w:pPr>
        <w:spacing w:after="0" w:line="122" w:lineRule="exact"/>
        <w:rPr>
          <w:sz w:val="20"/>
          <w:szCs w:val="20"/>
          <w:color w:val="auto"/>
        </w:rPr>
      </w:pPr>
    </w:p>
    <w:p>
      <w:pPr>
        <w:ind w:left="280" w:right="51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means this instrument as originally executed, or, if amended or supplemented as herein provided, as so amended or supplemented and shall include the form and terms of particular series of Debt Securities as contemplated hereunder, whether or not a supplemental Indenture is entered into with respect thereto.</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Issuers</w:t>
      </w:r>
      <w:r>
        <w:rPr>
          <w:rFonts w:ascii="Times New Roman" w:cs="Times New Roman" w:eastAsia="Times New Roman" w:hAnsi="Times New Roman"/>
          <w:sz w:val="14"/>
          <w:szCs w:val="14"/>
          <w:color w:val="auto"/>
        </w:rPr>
        <w:t>” means the Partnership and Finance Corp.</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 Order</w:t>
      </w:r>
      <w:r>
        <w:rPr>
          <w:rFonts w:ascii="Times New Roman" w:cs="Times New Roman" w:eastAsia="Times New Roman" w:hAnsi="Times New Roman"/>
          <w:sz w:val="14"/>
          <w:szCs w:val="14"/>
          <w:color w:val="auto"/>
        </w:rPr>
        <w:t>” means a written request or order signed on behalf of each of the Issuers by one of its Officers and delivered to the Trustee.</w:t>
      </w:r>
    </w:p>
    <w:p>
      <w:pPr>
        <w:spacing w:after="0" w:line="170" w:lineRule="exact"/>
        <w:rPr>
          <w:sz w:val="20"/>
          <w:szCs w:val="20"/>
          <w:color w:val="auto"/>
        </w:rPr>
      </w:pPr>
    </w:p>
    <w:p>
      <w:pPr>
        <w:ind w:left="280" w:right="419" w:firstLine="337"/>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Legal Holiday</w:t>
      </w:r>
      <w:r>
        <w:rPr>
          <w:rFonts w:ascii="Times New Roman" w:cs="Times New Roman" w:eastAsia="Times New Roman" w:hAnsi="Times New Roman"/>
          <w:sz w:val="13"/>
          <w:szCs w:val="13"/>
          <w:color w:val="auto"/>
        </w:rPr>
        <w:t>” means a Saturday, a Sunday or a day on which banking institutions in Houston, Texas, the City of New York,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for the intervening period.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6" w:right="1440" w:bottom="1440" w:gutter="0" w:footer="0" w:header="0"/>
        </w:sectPr>
      </w:pPr>
    </w:p>
    <w:bookmarkStart w:id="99" w:name="page100"/>
    <w:bookmarkEnd w:id="99"/>
    <w:p>
      <w:pPr>
        <w:jc w:val="both"/>
        <w:ind w:left="280" w:right="379" w:firstLine="337"/>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Lien</w:t>
      </w:r>
      <w:r>
        <w:rPr>
          <w:rFonts w:ascii="Times New Roman" w:cs="Times New Roman" w:eastAsia="Times New Roman" w:hAnsi="Times New Roman"/>
          <w:sz w:val="14"/>
          <w:szCs w:val="14"/>
          <w:color w:val="auto"/>
        </w:rPr>
        <w:t>” means, with respect to any asset, any mortgage, lien, security interest, pledge, charge or other encumbrance of any kind in respect of such asset, whether or not filed, recorded or otherwise perfected under applicable law.</w:t>
      </w:r>
    </w:p>
    <w:p>
      <w:pPr>
        <w:spacing w:after="0" w:line="122" w:lineRule="exact"/>
        <w:rPr>
          <w:sz w:val="20"/>
          <w:szCs w:val="20"/>
          <w:color w:val="auto"/>
        </w:rPr>
      </w:pPr>
    </w:p>
    <w:p>
      <w:pPr>
        <w:jc w:val="both"/>
        <w:ind w:left="280" w:right="379" w:firstLine="337"/>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4"/>
          <w:szCs w:val="14"/>
          <w:color w:val="auto"/>
        </w:rPr>
        <w:t>” means, with respect to any Person, the Chairman of the Board, the Chief Executive Officer, the President, the Chief Operating Officer, the Chief Financial Officer, the Treasurer, any Assistant Treasurer, the Controller, the Secretary or any Vice President of such Person (or, if such Person is a limited partnership, the general partner of such Person, except it shall be the General Partner in the case of the Partnership so long as it is a limited partnership).</w:t>
      </w:r>
    </w:p>
    <w:p>
      <w:pPr>
        <w:spacing w:after="0" w:line="13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Officers’ Certificate</w:t>
      </w:r>
      <w:r>
        <w:rPr>
          <w:rFonts w:ascii="Times New Roman" w:cs="Times New Roman" w:eastAsia="Times New Roman" w:hAnsi="Times New Roman"/>
          <w:sz w:val="14"/>
          <w:szCs w:val="14"/>
          <w:color w:val="auto"/>
        </w:rPr>
        <w:t>” means a certificate signed on behalf of each Issuer by any two of its Officers, one of whom must be the principal</w:t>
      </w:r>
    </w:p>
    <w:p>
      <w:pPr>
        <w:spacing w:after="0" w:line="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executive officer, the principal financial officer or the principal accounting officer of such Issuer, that meets the requirements of Section 13.05 hereof.</w:t>
      </w:r>
    </w:p>
    <w:p>
      <w:pPr>
        <w:spacing w:after="0" w:line="164" w:lineRule="exact"/>
        <w:rPr>
          <w:sz w:val="20"/>
          <w:szCs w:val="20"/>
          <w:color w:val="auto"/>
        </w:rPr>
      </w:pPr>
    </w:p>
    <w:p>
      <w:pPr>
        <w:ind w:left="280" w:right="69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Opinion of Counsel</w:t>
      </w:r>
      <w:r>
        <w:rPr>
          <w:rFonts w:ascii="Times New Roman" w:cs="Times New Roman" w:eastAsia="Times New Roman" w:hAnsi="Times New Roman"/>
          <w:sz w:val="14"/>
          <w:szCs w:val="14"/>
          <w:color w:val="auto"/>
        </w:rPr>
        <w:t>” means a written opinion from legal counsel who is acceptable to the Trustee. The counsel may be an employee of or counsel to the Partnership or the Trustee.</w:t>
      </w:r>
    </w:p>
    <w:p>
      <w:pPr>
        <w:spacing w:after="0" w:line="122" w:lineRule="exact"/>
        <w:rPr>
          <w:sz w:val="20"/>
          <w:szCs w:val="20"/>
          <w:color w:val="auto"/>
        </w:rPr>
      </w:pPr>
    </w:p>
    <w:p>
      <w:pPr>
        <w:ind w:left="280" w:right="51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Original Issue Discount Debt Security</w:t>
      </w:r>
      <w:r>
        <w:rPr>
          <w:rFonts w:ascii="Times New Roman" w:cs="Times New Roman" w:eastAsia="Times New Roman" w:hAnsi="Times New Roman"/>
          <w:sz w:val="14"/>
          <w:szCs w:val="14"/>
          <w:color w:val="auto"/>
        </w:rPr>
        <w:t>” means any Debt Security which provides for an amount less than the principal amount thereof to be due and payable upon a declaration of acceleration of the maturity thereof pursuant to Section 6.01.</w:t>
      </w:r>
    </w:p>
    <w:p>
      <w:pPr>
        <w:spacing w:after="0" w:line="122" w:lineRule="exact"/>
        <w:rPr>
          <w:sz w:val="20"/>
          <w:szCs w:val="20"/>
          <w:color w:val="auto"/>
        </w:rPr>
      </w:pPr>
    </w:p>
    <w:p>
      <w:pPr>
        <w:ind w:left="280" w:right="43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Outstanding</w:t>
      </w:r>
      <w:r>
        <w:rPr>
          <w:rFonts w:ascii="Times New Roman" w:cs="Times New Roman" w:eastAsia="Times New Roman" w:hAnsi="Times New Roman"/>
          <w:sz w:val="14"/>
          <w:szCs w:val="14"/>
          <w:color w:val="auto"/>
        </w:rPr>
        <w:t>,” when used with respect to any series of Debt Securities, means, as of the date of determination, all Debt Securities of that series theretofore authenticated and delivered under this Indenture, except:</w:t>
      </w:r>
    </w:p>
    <w:p>
      <w:pPr>
        <w:spacing w:after="0" w:line="43" w:lineRule="exact"/>
        <w:rPr>
          <w:sz w:val="20"/>
          <w:szCs w:val="20"/>
          <w:color w:val="auto"/>
        </w:rPr>
      </w:pPr>
    </w:p>
    <w:p>
      <w:pPr>
        <w:ind w:left="800" w:hanging="178"/>
        <w:spacing w:after="0"/>
        <w:tabs>
          <w:tab w:leader="none" w:pos="8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of that series theretofore canceled by the Trustee or delivered to the Trustee for cancellation;</w:t>
      </w:r>
    </w:p>
    <w:p>
      <w:pPr>
        <w:spacing w:after="0" w:line="169" w:lineRule="exact"/>
        <w:rPr>
          <w:rFonts w:ascii="Times New Roman" w:cs="Times New Roman" w:eastAsia="Times New Roman" w:hAnsi="Times New Roman"/>
          <w:sz w:val="14"/>
          <w:szCs w:val="14"/>
          <w:color w:val="auto"/>
        </w:rPr>
      </w:pPr>
    </w:p>
    <w:p>
      <w:pPr>
        <w:jc w:val="both"/>
        <w:ind w:left="280" w:right="299" w:firstLine="342"/>
        <w:spacing w:after="0" w:line="255" w:lineRule="auto"/>
        <w:tabs>
          <w:tab w:leader="none" w:pos="81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Debt Securities of that series for whose payment or redemption money in the necessary amount has been theretofore deposited with the Trustee or any paying agent (other than an Issuer) in trust or set aside and segregated in trust by the Issuers (if an Issuer shall act as its own paying agent) for the Holders of such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if such Debt Securities are to be redeemed, notice of such redemption has been duly given pursuant to this Indenture or provision therefor satisfactory to the Trustee has been made; and</w:t>
      </w:r>
    </w:p>
    <w:p>
      <w:pPr>
        <w:spacing w:after="0" w:line="143" w:lineRule="exact"/>
        <w:rPr>
          <w:rFonts w:ascii="Times New Roman" w:cs="Times New Roman" w:eastAsia="Times New Roman" w:hAnsi="Times New Roman"/>
          <w:sz w:val="14"/>
          <w:szCs w:val="14"/>
          <w:color w:val="auto"/>
        </w:rPr>
      </w:pPr>
    </w:p>
    <w:p>
      <w:pPr>
        <w:jc w:val="both"/>
        <w:ind w:left="280" w:right="379" w:firstLine="342"/>
        <w:spacing w:after="0" w:line="255" w:lineRule="auto"/>
        <w:tabs>
          <w:tab w:leader="none" w:pos="80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of that series which have been paid pursuant to Section 2.09 or in exchange for or in lieu of which other Debt Securities have been authenticated and delivered pursuant to this Indenture, other than any such Debt Securities in respect of which there shall have been presented to the Trustee proof satisfactory to it that such Debt Securities are held by a protected purchaser in whose hands such Debt Securities are valid obligations of the Issuers;</w:t>
      </w:r>
    </w:p>
    <w:p>
      <w:pPr>
        <w:spacing w:after="0" w:line="139" w:lineRule="exact"/>
        <w:rPr>
          <w:sz w:val="20"/>
          <w:szCs w:val="20"/>
          <w:color w:val="auto"/>
        </w:rPr>
      </w:pPr>
    </w:p>
    <w:p>
      <w:pPr>
        <w:ind w:left="280" w:right="299"/>
        <w:spacing w:after="0" w:line="254"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in determining whether the Holders of the requisite principal amount of the Outstanding Debt Securities of any series have given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request, demand, authorization, direction, notice, consent or waiver hereunder, Debt Securities owned by either of the Issuers or any other obligor upon the Debt Securities or any Affiliate of the Partnership or of such other obligor shall be disregarded and deemed not to be Outstanding, except that, in determining whether the Trustee shall be protected in relying upon any such request, demand, authorization, direction, notice, consent or waiver, only Debt Securities which a Trust Officer actually knows to be so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6" w:right="1440" w:bottom="1440" w:gutter="0" w:footer="0" w:header="0"/>
        </w:sectPr>
      </w:pPr>
    </w:p>
    <w:bookmarkStart w:id="100" w:name="page101"/>
    <w:bookmarkEnd w:id="100"/>
    <w:p>
      <w:pPr>
        <w:ind w:left="280" w:right="37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owned shall be so disregarded. Debt Securities so owned which have been pledged in good faith may be regarded as Outstanding if the pledgee establishes to the satisfaction of the Trustee the pledgee’s right so to act with respect to such Debt Securities and that the pledgee is not an Issuer or any other obligor upon the Debt Securities or an Affiliate of the Partnership or of such other obligor. In determining whether the Holders of the requisite principal amount of Outstanding Debt Securities have given any request, demand, authorization, direction, notice, consent or waiver hereunder, the principal amount of an Original Issue Discount Debt Security that shall be deemed to be Outstanding for such purposes shall be the amount of the principal thereof that would be due and payable as of the date of such determination upon a declaration of acceleration of the maturity thereof pursuant to Section 6.01.</w:t>
      </w:r>
    </w:p>
    <w:p>
      <w:pPr>
        <w:spacing w:after="0" w:line="141" w:lineRule="exact"/>
        <w:rPr>
          <w:sz w:val="20"/>
          <w:szCs w:val="20"/>
          <w:color w:val="auto"/>
        </w:rPr>
      </w:pPr>
    </w:p>
    <w:p>
      <w:pPr>
        <w:ind w:left="280" w:right="35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Partnership</w:t>
      </w:r>
      <w:r>
        <w:rPr>
          <w:rFonts w:ascii="Times New Roman" w:cs="Times New Roman" w:eastAsia="Times New Roman" w:hAnsi="Times New Roman"/>
          <w:sz w:val="14"/>
          <w:szCs w:val="14"/>
          <w:color w:val="auto"/>
        </w:rPr>
        <w:t>” means the Person named as the “</w:t>
      </w:r>
      <w:r>
        <w:rPr>
          <w:rFonts w:ascii="Times New Roman" w:cs="Times New Roman" w:eastAsia="Times New Roman" w:hAnsi="Times New Roman"/>
          <w:sz w:val="14"/>
          <w:szCs w:val="14"/>
          <w:b w:val="1"/>
          <w:bCs w:val="1"/>
          <w:color w:val="auto"/>
        </w:rPr>
        <w:t>Partnership</w:t>
      </w:r>
      <w:r>
        <w:rPr>
          <w:rFonts w:ascii="Times New Roman" w:cs="Times New Roman" w:eastAsia="Times New Roman" w:hAnsi="Times New Roman"/>
          <w:sz w:val="14"/>
          <w:szCs w:val="14"/>
          <w:color w:val="auto"/>
        </w:rPr>
        <w:t>” in the first paragraph of this instrument until a successor Person shall have become such pursuant to the applicable provisions of this Indenture, and thereafter “</w:t>
      </w:r>
      <w:r>
        <w:rPr>
          <w:rFonts w:ascii="Times New Roman" w:cs="Times New Roman" w:eastAsia="Times New Roman" w:hAnsi="Times New Roman"/>
          <w:sz w:val="14"/>
          <w:szCs w:val="14"/>
          <w:b w:val="1"/>
          <w:bCs w:val="1"/>
          <w:color w:val="auto"/>
        </w:rPr>
        <w:t>Partnership</w:t>
      </w:r>
      <w:r>
        <w:rPr>
          <w:rFonts w:ascii="Times New Roman" w:cs="Times New Roman" w:eastAsia="Times New Roman" w:hAnsi="Times New Roman"/>
          <w:sz w:val="14"/>
          <w:szCs w:val="14"/>
          <w:color w:val="auto"/>
        </w:rPr>
        <w:t>” shall mean such successor Person.</w:t>
      </w:r>
    </w:p>
    <w:p>
      <w:pPr>
        <w:spacing w:after="0" w:line="122" w:lineRule="exact"/>
        <w:rPr>
          <w:sz w:val="20"/>
          <w:szCs w:val="20"/>
          <w:color w:val="auto"/>
        </w:rPr>
      </w:pPr>
    </w:p>
    <w:p>
      <w:pPr>
        <w:ind w:left="280" w:right="579" w:firstLine="337"/>
        <w:spacing w:after="0" w:line="31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corporation, partnership, joint venture, limited liability company, incorporated or unincorporated association, joint-stock company, trust, unincorporated organization or government or other agency or political subdivision thereof or other entity of any kind.</w:t>
      </w:r>
    </w:p>
    <w:p>
      <w:pPr>
        <w:spacing w:after="0" w:line="99" w:lineRule="exact"/>
        <w:rPr>
          <w:sz w:val="20"/>
          <w:szCs w:val="20"/>
          <w:color w:val="auto"/>
        </w:rPr>
      </w:pPr>
    </w:p>
    <w:p>
      <w:pPr>
        <w:ind w:left="280" w:right="51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Redemption Date</w:t>
      </w:r>
      <w:r>
        <w:rPr>
          <w:rFonts w:ascii="Times New Roman" w:cs="Times New Roman" w:eastAsia="Times New Roman" w:hAnsi="Times New Roman"/>
          <w:sz w:val="14"/>
          <w:szCs w:val="14"/>
          <w:color w:val="auto"/>
        </w:rPr>
        <w:t>,” when used with respect to any Debt Security to be redeemed, means the date fixed for such redemption by or pursuant to this Indenture.</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means the Securities and Exchange Commission.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any successor statute.</w:t>
      </w:r>
    </w:p>
    <w:p>
      <w:pPr>
        <w:spacing w:after="0" w:line="170" w:lineRule="exact"/>
        <w:rPr>
          <w:sz w:val="20"/>
          <w:szCs w:val="20"/>
          <w:color w:val="auto"/>
        </w:rPr>
      </w:pPr>
    </w:p>
    <w:p>
      <w:pPr>
        <w:jc w:val="both"/>
        <w:ind w:left="280" w:right="399" w:firstLine="337"/>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Stated Maturity</w:t>
      </w:r>
      <w:r>
        <w:rPr>
          <w:rFonts w:ascii="Times New Roman" w:cs="Times New Roman" w:eastAsia="Times New Roman" w:hAnsi="Times New Roman"/>
          <w:sz w:val="14"/>
          <w:szCs w:val="14"/>
          <w:color w:val="auto"/>
        </w:rPr>
        <w:t>” means, with respect to any security, the date specified in such security as the fixed date on which the payment of principal of such security is due and payable, including pursuant to any mandatory redemption provision (but excluding any provision providing for the repurchase of such security at the option of the holder thereof upon the happening of any contingency beyond the control of the issuer unless such contingency has occurred).</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of any Person means:</w:t>
      </w:r>
    </w:p>
    <w:p>
      <w:pPr>
        <w:spacing w:after="0" w:line="91" w:lineRule="exact"/>
        <w:rPr>
          <w:sz w:val="20"/>
          <w:szCs w:val="20"/>
          <w:color w:val="auto"/>
        </w:rPr>
      </w:pPr>
    </w:p>
    <w:p>
      <w:pPr>
        <w:ind w:left="280" w:right="319" w:firstLine="342"/>
        <w:spacing w:after="0" w:line="255" w:lineRule="auto"/>
        <w:tabs>
          <w:tab w:leader="none" w:pos="805"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corporation, association or other business entity of which more than 50% of the total voting power of equity interests entitled, without regard to the occurrence of any contingency, to vote in the election of directors, managers, trustees or equivalent Persons thereof is at the time of determination owned or controlled, directly or indirectly, by such Person or one or more of the other Subsidiaries of such Person or combination thereof; or</w:t>
      </w:r>
    </w:p>
    <w:p>
      <w:pPr>
        <w:spacing w:after="0" w:line="143" w:lineRule="exact"/>
        <w:rPr>
          <w:rFonts w:ascii="Times New Roman" w:cs="Times New Roman" w:eastAsia="Times New Roman" w:hAnsi="Times New Roman"/>
          <w:sz w:val="14"/>
          <w:szCs w:val="14"/>
          <w:color w:val="auto"/>
        </w:rPr>
      </w:pPr>
    </w:p>
    <w:p>
      <w:pPr>
        <w:ind w:left="280" w:right="579" w:firstLine="342"/>
        <w:spacing w:after="0" w:line="259" w:lineRule="auto"/>
        <w:tabs>
          <w:tab w:leader="none" w:pos="81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partnership, more than 50% of the partners’ equity interests, considering all partners’ equity interests as a single class, is at such time of determination owned or controlled, directly or indirectly, by such Person or one or more of the other Subsidiaries of such Person or combination thereof.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101" w:name="page102"/>
    <w:bookmarkEnd w:id="101"/>
    <w:p>
      <w:pPr>
        <w:ind w:left="280" w:right="519" w:firstLine="337"/>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TIA</w:t>
      </w:r>
      <w:r>
        <w:rPr>
          <w:rFonts w:ascii="Times New Roman" w:cs="Times New Roman" w:eastAsia="Times New Roman" w:hAnsi="Times New Roman"/>
          <w:sz w:val="14"/>
          <w:szCs w:val="14"/>
          <w:color w:val="auto"/>
        </w:rPr>
        <w:t>” means the Trust Indenture Act of 1939, as amended (15 U.S.C. §§ 77aaa-77bbbb), as in effect on the date of this Indenture as originally executed and, to the extent required by law, as amended.</w:t>
      </w:r>
    </w:p>
    <w:p>
      <w:pPr>
        <w:spacing w:after="0" w:line="122" w:lineRule="exact"/>
        <w:rPr>
          <w:sz w:val="20"/>
          <w:szCs w:val="20"/>
          <w:color w:val="auto"/>
        </w:rPr>
      </w:pPr>
    </w:p>
    <w:p>
      <w:pPr>
        <w:jc w:val="both"/>
        <w:ind w:left="280" w:right="41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initially means [  ] and any other Person or Persons appointed as such from time to time pursuant to Section 7.08, and, subject to the provisions of Article VII, includes its or their successors and assigns. If at any time there is more than one such Person,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 used with respect to the Debt Securities of any series shall mean the Trustee with respect to the Debt Securities of that series.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 Officer</w:t>
      </w:r>
      <w:r>
        <w:rPr>
          <w:rFonts w:ascii="Times New Roman" w:cs="Times New Roman" w:eastAsia="Times New Roman" w:hAnsi="Times New Roman"/>
          <w:sz w:val="14"/>
          <w:szCs w:val="14"/>
          <w:color w:val="auto"/>
        </w:rPr>
        <w:t>” means any officer or assistant officer of the Trustee assigned by the Trustee to administer its corporate trust matters.</w:t>
      </w:r>
    </w:p>
    <w:p>
      <w:pPr>
        <w:spacing w:after="0" w:line="170" w:lineRule="exact"/>
        <w:rPr>
          <w:sz w:val="20"/>
          <w:szCs w:val="20"/>
          <w:color w:val="auto"/>
        </w:rPr>
      </w:pPr>
    </w:p>
    <w:p>
      <w:pPr>
        <w:ind w:left="280" w:right="43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United States</w:t>
      </w:r>
      <w:r>
        <w:rPr>
          <w:rFonts w:ascii="Times New Roman" w:cs="Times New Roman" w:eastAsia="Times New Roman" w:hAnsi="Times New Roman"/>
          <w:sz w:val="14"/>
          <w:szCs w:val="14"/>
          <w:color w:val="auto"/>
        </w:rPr>
        <w:t>” means the United States of America (including the States and the District of Columbia), its territories, its possessions and other areas subject to its jurisdiction.</w:t>
      </w:r>
    </w:p>
    <w:p>
      <w:pPr>
        <w:spacing w:after="0" w:line="122" w:lineRule="exact"/>
        <w:rPr>
          <w:sz w:val="20"/>
          <w:szCs w:val="20"/>
          <w:color w:val="auto"/>
        </w:rPr>
      </w:pPr>
    </w:p>
    <w:p>
      <w:pPr>
        <w:ind w:left="280" w:right="399" w:firstLine="33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Government Obligations</w:t>
      </w:r>
      <w:r>
        <w:rPr>
          <w:rFonts w:ascii="Times New Roman" w:cs="Times New Roman" w:eastAsia="Times New Roman" w:hAnsi="Times New Roman"/>
          <w:sz w:val="14"/>
          <w:szCs w:val="14"/>
          <w:color w:val="auto"/>
        </w:rPr>
        <w:t>” means direct obligations of the United States of America, obligations on which the payment of principal and interest is fully guaranteed by the United States of America or obligations or guarantees for the payment of which the full faith and credit of the United States of America is pledged.</w:t>
      </w:r>
    </w:p>
    <w:p>
      <w:pPr>
        <w:spacing w:after="0" w:line="135" w:lineRule="exact"/>
        <w:rPr>
          <w:sz w:val="20"/>
          <w:szCs w:val="20"/>
          <w:color w:val="auto"/>
        </w:rPr>
      </w:pPr>
    </w:p>
    <w:p>
      <w:pPr>
        <w:ind w:left="280" w:right="599" w:firstLine="337"/>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Yield to Maturity</w:t>
      </w:r>
      <w:r>
        <w:rPr>
          <w:rFonts w:ascii="Times New Roman" w:cs="Times New Roman" w:eastAsia="Times New Roman" w:hAnsi="Times New Roman"/>
          <w:sz w:val="14"/>
          <w:szCs w:val="14"/>
          <w:color w:val="auto"/>
        </w:rPr>
        <w:t>” means the yield to maturity, calculated at the time of issuance of a series of Debt Securities, or, if applicable, at the most recent redetermination of interest on such series and calculated in accordance with accepted financial practice.</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Other Definitions</w:t>
      </w:r>
      <w:r>
        <w:rPr>
          <w:rFonts w:ascii="Times New Roman" w:cs="Times New Roman" w:eastAsia="Times New Roman" w:hAnsi="Times New Roman"/>
          <w:sz w:val="14"/>
          <w:szCs w:val="14"/>
          <w:color w:val="auto"/>
        </w:rPr>
        <w:t>.</w:t>
      </w:r>
    </w:p>
    <w:p>
      <w:pPr>
        <w:spacing w:after="0" w:line="184" w:lineRule="exact"/>
        <w:rPr>
          <w:sz w:val="20"/>
          <w:szCs w:val="20"/>
          <w:color w:val="auto"/>
        </w:rPr>
      </w:pPr>
    </w:p>
    <w:tbl>
      <w:tblPr>
        <w:tblLayout w:type="fixed"/>
        <w:tblInd w:w="1640" w:type="dxa"/>
        <w:tblCellMar>
          <w:top w:w="0" w:type="dxa"/>
          <w:left w:w="0" w:type="dxa"/>
          <w:bottom w:w="0" w:type="dxa"/>
          <w:right w:w="0" w:type="dxa"/>
        </w:tblCellMar>
      </w:tblPr>
      <w:tr>
        <w:trPr>
          <w:trHeight w:val="133"/>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1"/>
              </w:rPr>
              <w:t>Term</w:t>
            </w:r>
          </w:p>
        </w:tc>
        <w:tc>
          <w:tcPr>
            <w:tcW w:w="2760" w:type="dxa"/>
            <w:vAlign w:val="bottom"/>
          </w:tcPr>
          <w:p>
            <w:pPr>
              <w:spacing w:after="0"/>
              <w:rPr>
                <w:sz w:val="11"/>
                <w:szCs w:val="11"/>
                <w:color w:val="auto"/>
              </w:rPr>
            </w:pPr>
          </w:p>
        </w:tc>
        <w:tc>
          <w:tcPr>
            <w:tcW w:w="2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Defined in Section</w:t>
            </w:r>
          </w:p>
        </w:tc>
        <w:tc>
          <w:tcPr>
            <w:tcW w:w="0" w:type="dxa"/>
            <w:vAlign w:val="bottom"/>
          </w:tcPr>
          <w:p>
            <w:pPr>
              <w:spacing w:after="0"/>
              <w:rPr>
                <w:sz w:val="1"/>
                <w:szCs w:val="1"/>
                <w:color w:val="auto"/>
              </w:rPr>
            </w:pPr>
          </w:p>
        </w:tc>
      </w:tr>
      <w:tr>
        <w:trPr>
          <w:trHeight w:val="20"/>
        </w:trPr>
        <w:tc>
          <w:tcPr>
            <w:tcW w:w="30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Security Register”</w:t>
            </w:r>
          </w:p>
        </w:tc>
        <w:tc>
          <w:tcPr>
            <w:tcW w:w="16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020" w:type="dxa"/>
            <w:vAlign w:val="bottom"/>
            <w:gridSpan w:val="2"/>
            <w:vMerge w:val="continue"/>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2.07(a)</w:t>
            </w:r>
          </w:p>
        </w:tc>
        <w:tc>
          <w:tcPr>
            <w:tcW w:w="0" w:type="dxa"/>
            <w:vAlign w:val="bottom"/>
          </w:tcPr>
          <w:p>
            <w:pPr>
              <w:spacing w:after="0"/>
              <w:rPr>
                <w:sz w:val="1"/>
                <w:szCs w:val="1"/>
                <w:color w:val="auto"/>
              </w:rPr>
            </w:pPr>
          </w:p>
        </w:tc>
      </w:tr>
      <w:tr>
        <w:trPr>
          <w:trHeight w:val="165"/>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“Defaulted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“Event of Default”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“Place of Payment”</w:t>
            </w:r>
          </w:p>
        </w:tc>
        <w:tc>
          <w:tcPr>
            <w:tcW w:w="16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2.03(e)</w:t>
            </w:r>
          </w:p>
        </w:tc>
        <w:tc>
          <w:tcPr>
            <w:tcW w:w="0" w:type="dxa"/>
            <w:vAlign w:val="bottom"/>
          </w:tcPr>
          <w:p>
            <w:pPr>
              <w:spacing w:after="0"/>
              <w:rPr>
                <w:sz w:val="1"/>
                <w:szCs w:val="1"/>
                <w:color w:val="auto"/>
              </w:rPr>
            </w:pPr>
          </w:p>
        </w:tc>
      </w:tr>
      <w:tr>
        <w:trPr>
          <w:trHeight w:val="16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“Registrar”</w:t>
            </w:r>
          </w:p>
        </w:tc>
        <w:tc>
          <w:tcPr>
            <w:tcW w:w="16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2.07(a)</w:t>
            </w:r>
          </w:p>
        </w:tc>
        <w:tc>
          <w:tcPr>
            <w:tcW w:w="0" w:type="dxa"/>
            <w:vAlign w:val="bottom"/>
          </w:tcPr>
          <w:p>
            <w:pPr>
              <w:spacing w:after="0"/>
              <w:rPr>
                <w:sz w:val="1"/>
                <w:szCs w:val="1"/>
                <w:color w:val="auto"/>
              </w:rPr>
            </w:pPr>
          </w:p>
        </w:tc>
      </w:tr>
      <w:tr>
        <w:trPr>
          <w:trHeight w:val="179"/>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“Successor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80" w:right="599" w:firstLine="337"/>
        <w:spacing w:after="0" w:line="273" w:lineRule="auto"/>
        <w:rPr>
          <w:sz w:val="20"/>
          <w:szCs w:val="20"/>
          <w:color w:val="auto"/>
        </w:rPr>
      </w:pPr>
      <w:r>
        <w:rPr>
          <w:rFonts w:ascii="Times New Roman" w:cs="Times New Roman" w:eastAsia="Times New Roman" w:hAnsi="Times New Roman"/>
          <w:sz w:val="14"/>
          <w:szCs w:val="14"/>
          <w:u w:val="single" w:color="auto"/>
          <w:color w:val="auto"/>
        </w:rPr>
        <w:t>Incorporation by Reference of Trust Indenture Act</w:t>
      </w:r>
      <w:r>
        <w:rPr>
          <w:rFonts w:ascii="Times New Roman" w:cs="Times New Roman" w:eastAsia="Times New Roman" w:hAnsi="Times New Roman"/>
          <w:sz w:val="14"/>
          <w:szCs w:val="14"/>
          <w:color w:val="auto"/>
        </w:rPr>
        <w:t>. Whenever this Indenture refers to a provision of the TIA, the provision is incorporated by reference in and made a part of this Indenture.</w:t>
      </w:r>
    </w:p>
    <w:p>
      <w:pPr>
        <w:spacing w:after="0" w:line="130" w:lineRule="exact"/>
        <w:rPr>
          <w:sz w:val="20"/>
          <w:szCs w:val="20"/>
          <w:color w:val="auto"/>
        </w:rPr>
      </w:pPr>
    </w:p>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t>All terms used in this Indenture that are defined by the TIA, defined by TIA reference to another statute or defined by SEC rule under the TIA have the meanings so assigned to them.</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 Unless the context otherwise requires:</w:t>
      </w:r>
    </w:p>
    <w:p>
      <w:pPr>
        <w:spacing w:after="0" w:line="87" w:lineRule="exact"/>
        <w:rPr>
          <w:sz w:val="20"/>
          <w:szCs w:val="20"/>
          <w:color w:val="auto"/>
        </w:rPr>
      </w:pPr>
    </w:p>
    <w:p>
      <w:pPr>
        <w:ind w:left="800" w:hanging="178"/>
        <w:spacing w:after="0"/>
        <w:tabs>
          <w:tab w:leader="none" w:pos="8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69" w:lineRule="exact"/>
        <w:rPr>
          <w:rFonts w:ascii="Times New Roman" w:cs="Times New Roman" w:eastAsia="Times New Roman" w:hAnsi="Times New Roman"/>
          <w:sz w:val="14"/>
          <w:szCs w:val="14"/>
          <w:color w:val="auto"/>
        </w:rPr>
      </w:pPr>
    </w:p>
    <w:p>
      <w:pPr>
        <w:ind w:left="4460" w:right="2699" w:hanging="3838"/>
        <w:spacing w:after="0" w:line="442" w:lineRule="auto"/>
        <w:tabs>
          <w:tab w:leader="none" w:pos="80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 6</w:t>
      </w:r>
    </w:p>
    <w:p>
      <w:pPr>
        <w:sectPr>
          <w:pgSz w:w="11900" w:h="16838" w:orient="portrait"/>
          <w:cols w:equalWidth="0" w:num="1">
            <w:col w:w="9019"/>
          </w:cols>
          <w:pgMar w:left="1440" w:top="236" w:right="1440" w:bottom="1440" w:gutter="0" w:footer="0" w:header="0"/>
        </w:sectPr>
      </w:pPr>
    </w:p>
    <w:bookmarkStart w:id="102" w:name="page103"/>
    <w:bookmarkEnd w:id="102"/>
    <w:p>
      <w:pPr>
        <w:ind w:left="800" w:hanging="178"/>
        <w:spacing w:after="0"/>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“or” is not exclusive;</w:t>
      </w:r>
    </w:p>
    <w:p>
      <w:pPr>
        <w:spacing w:after="0" w:line="169"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169"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apply to successive events and transactions; and</w:t>
      </w:r>
    </w:p>
    <w:p>
      <w:pPr>
        <w:spacing w:after="0" w:line="169" w:lineRule="exact"/>
        <w:rPr>
          <w:rFonts w:ascii="Times New Roman" w:cs="Times New Roman" w:eastAsia="Times New Roman" w:hAnsi="Times New Roman"/>
          <w:sz w:val="14"/>
          <w:szCs w:val="14"/>
          <w:color w:val="auto"/>
        </w:rPr>
      </w:pPr>
    </w:p>
    <w:p>
      <w:pPr>
        <w:ind w:left="280" w:right="299" w:firstLine="342"/>
        <w:spacing w:after="0" w:line="273" w:lineRule="auto"/>
        <w:tabs>
          <w:tab w:leader="none" w:pos="79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57"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Forms Generally</w:t>
      </w:r>
      <w:r>
        <w:rPr>
          <w:rFonts w:ascii="Times New Roman" w:cs="Times New Roman" w:eastAsia="Times New Roman" w:hAnsi="Times New Roman"/>
          <w:sz w:val="14"/>
          <w:szCs w:val="14"/>
          <w:color w:val="auto"/>
        </w:rPr>
        <w:t>. The Debt Securities of each series shall be in substantially the form established without the approval of any Holder by or pursuant to a resolution of the Board of Directors of each Issuer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the Issuers may deem appropriate (and, if not contained in a supplemental Indenture entered into in accordance with Article IX, as are not prohibited by the provisions of this Indenture) or as may be required or appropriate to comply with any law or with any rules made pursuant thereto or with any rules of any securities exchange on which such series of Debt Securities may be listed, or to conform to general usage, or as may, consistently herewith, be determined by the officers executing such Debt Securities as evidenced by their execution of the Debt Securities. Each Global Security or other definitive Debt Security issued hereunder shall be in the form determined by the officers executing such Global Security or other definitive Debt Security and as may be accepted by the Depositary thereof or Trustee, as applicable.</w:t>
      </w:r>
    </w:p>
    <w:p>
      <w:pPr>
        <w:spacing w:after="0" w:line="150"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Form of Trustee’s Certificate of Authentication</w:t>
      </w:r>
      <w:r>
        <w:rPr>
          <w:rFonts w:ascii="Times New Roman" w:cs="Times New Roman" w:eastAsia="Times New Roman" w:hAnsi="Times New Roman"/>
          <w:sz w:val="14"/>
          <w:szCs w:val="14"/>
          <w:color w:val="auto"/>
        </w:rPr>
        <w:t xml:space="preserve">. The Trustee’s certificate of authentication on all Debt Securities authenticated by the Trustee shall be in substantially the following form: </w:t>
      </w:r>
      <w:r>
        <w:rPr>
          <w:rFonts w:ascii="Times New Roman" w:cs="Times New Roman" w:eastAsia="Times New Roman" w:hAnsi="Times New Roman"/>
          <w:sz w:val="14"/>
          <w:szCs w:val="14"/>
          <w:b w:val="1"/>
          <w:bCs w:val="1"/>
          <w:color w:val="auto"/>
        </w:rPr>
        <w:t>TRUSTEE’S CERTIFICATE OF AUTHENTICATION</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This is one of the Debt Securities of the series designated therein referred to in the within-mentioned Indenture.</w:t>
      </w:r>
    </w:p>
    <w:p>
      <w:pPr>
        <w:spacing w:after="0" w:line="191" w:lineRule="exact"/>
        <w:rPr>
          <w:sz w:val="20"/>
          <w:szCs w:val="20"/>
          <w:color w:val="auto"/>
        </w:rPr>
      </w:pPr>
    </w:p>
    <w:p>
      <w:pPr>
        <w:ind w:left="5360"/>
        <w:spacing w:after="0"/>
        <w:tabs>
          <w:tab w:leader="none" w:pos="556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3"/>
          <w:szCs w:val="13"/>
          <w:color w:val="auto"/>
        </w:rPr>
        <w:t>],</w:t>
      </w:r>
    </w:p>
    <w:p>
      <w:pPr>
        <w:spacing w:after="0" w:line="1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i w:val="1"/>
          <w:iCs w:val="1"/>
          <w:color w:val="auto"/>
        </w:rPr>
        <w:t>as Trustee</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10795</wp:posOffset>
            </wp:positionV>
            <wp:extent cx="198945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1989455" cy="635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67" w:lineRule="exact"/>
        <w:rPr>
          <w:sz w:val="20"/>
          <w:szCs w:val="20"/>
          <w:color w:val="auto"/>
        </w:rPr>
      </w:pPr>
    </w:p>
    <w:p>
      <w:pPr>
        <w:ind w:left="280" w:right="101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Principal Amount; Issuable in Series</w:t>
      </w:r>
      <w:r>
        <w:rPr>
          <w:rFonts w:ascii="Times New Roman" w:cs="Times New Roman" w:eastAsia="Times New Roman" w:hAnsi="Times New Roman"/>
          <w:sz w:val="14"/>
          <w:szCs w:val="14"/>
          <w:color w:val="auto"/>
        </w:rPr>
        <w:t>. The aggregate principal amount of Debt Securities which may be issued, executed, authenticated, delivered and outstanding under this Indenture is unlimited.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03" w:name="page104"/>
    <w:bookmarkEnd w:id="103"/>
    <w:p>
      <w:pPr>
        <w:ind w:left="280" w:right="37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Debt Securities may be issued in one or more series in fully registered form. There shall be established, without the approval of any Holders, in or pursuant to a resolution of the Board of Directors of each Issuer and set forth in an Officers’ Certificate, or established in one or more Indentures supplemental hereto, prior to the issuance of Debt Securities of any series any or all of the following:</w:t>
      </w:r>
    </w:p>
    <w:p>
      <w:pPr>
        <w:spacing w:after="0" w:line="58" w:lineRule="exact"/>
        <w:rPr>
          <w:sz w:val="20"/>
          <w:szCs w:val="20"/>
          <w:color w:val="auto"/>
        </w:rPr>
      </w:pPr>
    </w:p>
    <w:p>
      <w:pPr>
        <w:ind w:left="800" w:hanging="178"/>
        <w:spacing w:after="0"/>
        <w:tabs>
          <w:tab w:leader="none" w:pos="8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of the series (which shall distinguish the Debt Securities of the series from all other Debt Securities);</w:t>
      </w:r>
    </w:p>
    <w:p>
      <w:pPr>
        <w:spacing w:after="0" w:line="169" w:lineRule="exact"/>
        <w:rPr>
          <w:rFonts w:ascii="Times New Roman" w:cs="Times New Roman" w:eastAsia="Times New Roman" w:hAnsi="Times New Roman"/>
          <w:sz w:val="14"/>
          <w:szCs w:val="14"/>
          <w:color w:val="auto"/>
        </w:rPr>
      </w:pPr>
    </w:p>
    <w:p>
      <w:pPr>
        <w:ind w:left="280" w:right="399" w:firstLine="342"/>
        <w:spacing w:after="0" w:line="259" w:lineRule="auto"/>
        <w:tabs>
          <w:tab w:leader="none" w:pos="81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 of the series which may be authenticated and delivered under this Indenture (except for Debt Securities authenticated and delivered upon registration of transfer of, or in exchange for, or in lieu of, other Debt Securities of the series pursuant to this Article II);</w:t>
      </w:r>
    </w:p>
    <w:p>
      <w:pPr>
        <w:spacing w:after="0" w:line="140"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and premium, if any, on the Debt Securities of the series are payable;</w:t>
      </w:r>
    </w:p>
    <w:p>
      <w:pPr>
        <w:spacing w:after="0" w:line="169"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at which the Debt Securities of the series shall bear interest, if any, or the method of</w:t>
      </w:r>
    </w:p>
    <w:p>
      <w:pPr>
        <w:spacing w:after="0" w:line="17" w:lineRule="exact"/>
        <w:rPr>
          <w:rFonts w:ascii="Times New Roman" w:cs="Times New Roman" w:eastAsia="Times New Roman" w:hAnsi="Times New Roman"/>
          <w:sz w:val="14"/>
          <w:szCs w:val="14"/>
          <w:color w:val="auto"/>
        </w:rPr>
      </w:pPr>
    </w:p>
    <w:p>
      <w:pPr>
        <w:jc w:val="both"/>
        <w:ind w:left="280" w:right="2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such rate or rates, the date or dates from which such interest shall accrue, the interest payment dates on which such interest shall be payable, or the method by which such date will be determined, the record dates for the determination of Holders thereof to whom such interest is payable; and the basis upon which interest will be calculated if other than that of a 360-day year of twelve thirty-day months;</w:t>
      </w:r>
    </w:p>
    <w:p>
      <w:pPr>
        <w:spacing w:after="0" w:line="145" w:lineRule="exact"/>
        <w:rPr>
          <w:rFonts w:ascii="Times New Roman" w:cs="Times New Roman" w:eastAsia="Times New Roman" w:hAnsi="Times New Roman"/>
          <w:sz w:val="14"/>
          <w:szCs w:val="14"/>
          <w:color w:val="auto"/>
        </w:rPr>
      </w:pPr>
    </w:p>
    <w:p>
      <w:pPr>
        <w:ind w:left="280" w:right="379" w:firstLine="342"/>
        <w:spacing w:after="0" w:line="273" w:lineRule="auto"/>
        <w:tabs>
          <w:tab w:leader="none" w:pos="80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in addition to or instead of the corporate trust office of the Trustee, where the principal of, and premium, if any, and interest on, Debt Securities of the series shall be payable (“</w:t>
      </w:r>
      <w:r>
        <w:rPr>
          <w:rFonts w:ascii="Times New Roman" w:cs="Times New Roman" w:eastAsia="Times New Roman" w:hAnsi="Times New Roman"/>
          <w:sz w:val="14"/>
          <w:szCs w:val="14"/>
          <w:b w:val="1"/>
          <w:bCs w:val="1"/>
          <w:color w:val="auto"/>
        </w:rPr>
        <w:t>Place of Payment</w:t>
      </w:r>
      <w:r>
        <w:rPr>
          <w:rFonts w:ascii="Times New Roman" w:cs="Times New Roman" w:eastAsia="Times New Roman" w:hAnsi="Times New Roman"/>
          <w:sz w:val="14"/>
          <w:szCs w:val="14"/>
          <w:color w:val="auto"/>
        </w:rPr>
        <w:t>”);</w:t>
      </w:r>
    </w:p>
    <w:p>
      <w:pPr>
        <w:spacing w:after="0" w:line="130" w:lineRule="exact"/>
        <w:rPr>
          <w:rFonts w:ascii="Times New Roman" w:cs="Times New Roman" w:eastAsia="Times New Roman" w:hAnsi="Times New Roman"/>
          <w:sz w:val="14"/>
          <w:szCs w:val="14"/>
          <w:color w:val="auto"/>
        </w:rPr>
      </w:pPr>
    </w:p>
    <w:p>
      <w:pPr>
        <w:ind w:left="280" w:right="439" w:firstLine="342"/>
        <w:spacing w:after="0" w:line="273" w:lineRule="auto"/>
        <w:tabs>
          <w:tab w:leader="none" w:pos="79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period or periods within which and the terms and conditions upon which Debt Securities of the series may be redeemed, in whole or in part, at the option of the Issuers or otherwise;</w:t>
      </w:r>
    </w:p>
    <w:p>
      <w:pPr>
        <w:spacing w:after="0" w:line="130" w:lineRule="exact"/>
        <w:rPr>
          <w:rFonts w:ascii="Times New Roman" w:cs="Times New Roman" w:eastAsia="Times New Roman" w:hAnsi="Times New Roman"/>
          <w:sz w:val="14"/>
          <w:szCs w:val="14"/>
          <w:color w:val="auto"/>
        </w:rPr>
      </w:pPr>
    </w:p>
    <w:p>
      <w:pPr>
        <w:ind w:left="280" w:right="299" w:firstLine="342"/>
        <w:spacing w:after="0" w:line="259" w:lineRule="auto"/>
        <w:tabs>
          <w:tab w:leader="none" w:pos="81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of the Issuers to redeem, purchase or repay Debt Securities of the series pursuant to any sinking fund or analogous provisions or at the option of a Holder thereof, and the price or prices at which and the period or periods within which and the terms and conditions upon which Debt Securities of the series shall be redeemed, purchased or repaid, in whole or in part, pursuant to such obligations;</w:t>
      </w:r>
    </w:p>
    <w:p>
      <w:pPr>
        <w:spacing w:after="0" w:line="140" w:lineRule="exact"/>
        <w:rPr>
          <w:rFonts w:ascii="Times New Roman" w:cs="Times New Roman" w:eastAsia="Times New Roman" w:hAnsi="Times New Roman"/>
          <w:sz w:val="14"/>
          <w:szCs w:val="14"/>
          <w:color w:val="auto"/>
        </w:rPr>
      </w:pPr>
    </w:p>
    <w:p>
      <w:pPr>
        <w:ind w:left="280" w:right="419" w:firstLine="342"/>
        <w:spacing w:after="0" w:line="255" w:lineRule="auto"/>
        <w:tabs>
          <w:tab w:leader="none" w:pos="81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upon which the Debt Securities of the series may be convertible into or exchanged for capital stock (which may be represented by depositary shares), other Debt Securities or warrants for capital stock or Debt or other securities of any kind of either of the Issuers or any other obligor and the terms and conditions upon which such conversion or exchange shall be effected, including the initial conversion or exchange price or rate, the conversion or exchange period and any other provision in addition to or in lieu of those described herein;</w:t>
      </w:r>
    </w:p>
    <w:p>
      <w:pPr>
        <w:spacing w:after="0" w:line="143" w:lineRule="exact"/>
        <w:rPr>
          <w:rFonts w:ascii="Times New Roman" w:cs="Times New Roman" w:eastAsia="Times New Roman" w:hAnsi="Times New Roman"/>
          <w:sz w:val="14"/>
          <w:szCs w:val="14"/>
          <w:color w:val="auto"/>
        </w:rPr>
      </w:pPr>
    </w:p>
    <w:p>
      <w:pPr>
        <w:ind w:left="780" w:hanging="158"/>
        <w:spacing w:after="0"/>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and any integral multiple thereof, the denominations in which Debt Securities of the series shall be</w:t>
      </w:r>
    </w:p>
    <w:p>
      <w:pPr>
        <w:spacing w:after="0" w:line="17" w:lineRule="exact"/>
        <w:rPr>
          <w:rFonts w:ascii="Times New Roman" w:cs="Times New Roman" w:eastAsia="Times New Roman" w:hAnsi="Times New Roman"/>
          <w:sz w:val="14"/>
          <w:szCs w:val="14"/>
          <w:color w:val="auto"/>
        </w:rPr>
      </w:pPr>
    </w:p>
    <w:p>
      <w:pPr>
        <w:ind w:left="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issuable;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04" w:name="page105"/>
    <w:bookmarkEnd w:id="104"/>
    <w:p>
      <w:pPr>
        <w:ind w:left="280" w:right="699" w:firstLine="342"/>
        <w:spacing w:after="0" w:line="273" w:lineRule="auto"/>
        <w:tabs>
          <w:tab w:leader="none" w:pos="78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the amount of principal of or any premium or interest on Debt Securities of the series may be determined with reference to an index or pursuant to a formula, the manner in which such amounts will be determined;</w:t>
      </w:r>
    </w:p>
    <w:p>
      <w:pPr>
        <w:spacing w:after="0" w:line="130" w:lineRule="exact"/>
        <w:rPr>
          <w:rFonts w:ascii="Times New Roman" w:cs="Times New Roman" w:eastAsia="Times New Roman" w:hAnsi="Times New Roman"/>
          <w:sz w:val="14"/>
          <w:szCs w:val="14"/>
          <w:color w:val="auto"/>
        </w:rPr>
      </w:pPr>
    </w:p>
    <w:p>
      <w:pPr>
        <w:ind w:left="280" w:right="359" w:firstLine="342"/>
        <w:spacing w:after="0" w:line="255" w:lineRule="auto"/>
        <w:tabs>
          <w:tab w:leader="none" w:pos="81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payable at the Stated Maturity of Debt Securities of the series will not be determinable as of any one or more dates prior to such Stated Maturity, the amount which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w:t>
      </w:r>
    </w:p>
    <w:p>
      <w:pPr>
        <w:spacing w:after="0" w:line="143" w:lineRule="exact"/>
        <w:rPr>
          <w:rFonts w:ascii="Times New Roman" w:cs="Times New Roman" w:eastAsia="Times New Roman" w:hAnsi="Times New Roman"/>
          <w:sz w:val="14"/>
          <w:szCs w:val="14"/>
          <w:color w:val="auto"/>
        </w:rPr>
      </w:pPr>
    </w:p>
    <w:p>
      <w:pPr>
        <w:ind w:left="280" w:right="519" w:firstLine="342"/>
        <w:spacing w:after="0" w:line="273" w:lineRule="auto"/>
        <w:tabs>
          <w:tab w:leader="none" w:pos="78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or additions to Article XI, including the addition of additional covenants that may be subject to the covenant defeasance option pursuant to Section 11.02(b);</w:t>
      </w:r>
    </w:p>
    <w:p>
      <w:pPr>
        <w:spacing w:after="0" w:line="130" w:lineRule="exact"/>
        <w:rPr>
          <w:rFonts w:ascii="Times New Roman" w:cs="Times New Roman" w:eastAsia="Times New Roman" w:hAnsi="Times New Roman"/>
          <w:sz w:val="14"/>
          <w:szCs w:val="14"/>
          <w:color w:val="auto"/>
        </w:rPr>
      </w:pPr>
    </w:p>
    <w:p>
      <w:pPr>
        <w:ind w:left="280" w:right="559" w:firstLine="342"/>
        <w:spacing w:after="0" w:line="273" w:lineRule="auto"/>
        <w:tabs>
          <w:tab w:leader="none" w:pos="85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Debt Securities of the series which shall be payable upon declaration of acceleration of the maturity thereof pursuant to Section 6.01 or provable in bankruptcy pursuant to Section 6.02;</w:t>
      </w:r>
    </w:p>
    <w:p>
      <w:pPr>
        <w:spacing w:after="0" w:line="130" w:lineRule="exact"/>
        <w:rPr>
          <w:rFonts w:ascii="Times New Roman" w:cs="Times New Roman" w:eastAsia="Times New Roman" w:hAnsi="Times New Roman"/>
          <w:sz w:val="14"/>
          <w:szCs w:val="14"/>
          <w:color w:val="auto"/>
        </w:rPr>
      </w:pPr>
    </w:p>
    <w:p>
      <w:pPr>
        <w:ind w:left="280" w:right="659" w:firstLine="342"/>
        <w:spacing w:after="0" w:line="259" w:lineRule="auto"/>
        <w:tabs>
          <w:tab w:leader="none" w:pos="81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of the transfer, mortgage, pledge or assignment as security for the Debt Securities of the series of any properties, assets, moneys, proceeds, securities or other collateral, including whether certain provisions of the TIA are applicable and any corresponding changes to provisions of this Indenture as currently in effect;</w:t>
      </w:r>
    </w:p>
    <w:p>
      <w:pPr>
        <w:spacing w:after="0" w:line="140" w:lineRule="exact"/>
        <w:rPr>
          <w:rFonts w:ascii="Times New Roman" w:cs="Times New Roman" w:eastAsia="Times New Roman" w:hAnsi="Times New Roman"/>
          <w:sz w:val="14"/>
          <w:szCs w:val="14"/>
          <w:color w:val="auto"/>
        </w:rPr>
      </w:pPr>
    </w:p>
    <w:p>
      <w:pPr>
        <w:ind w:left="280" w:right="339" w:firstLine="342"/>
        <w:spacing w:after="0" w:line="273" w:lineRule="auto"/>
        <w:tabs>
          <w:tab w:leader="none" w:pos="81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with respect to the Debt Securities of the series and any change in the right of the Trustee or the Holders to declare the principal of, and premium and interest on, such Debt Securities due and payable;</w:t>
      </w:r>
    </w:p>
    <w:p>
      <w:pPr>
        <w:spacing w:after="0" w:line="130" w:lineRule="exact"/>
        <w:rPr>
          <w:rFonts w:ascii="Times New Roman" w:cs="Times New Roman" w:eastAsia="Times New Roman" w:hAnsi="Times New Roman"/>
          <w:sz w:val="14"/>
          <w:szCs w:val="14"/>
          <w:color w:val="auto"/>
        </w:rPr>
      </w:pPr>
    </w:p>
    <w:p>
      <w:pPr>
        <w:ind w:left="280" w:right="339" w:firstLine="342"/>
        <w:spacing w:after="0" w:line="255" w:lineRule="auto"/>
        <w:tabs>
          <w:tab w:leader="none" w:pos="81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shall be issued in whole or in part in the form of a Global Security or Securities, the terms and conditions, if any, upon which such Global Security or Securities may be exchanged in whole or in part for other individual Debt Securities in definitive registered form; and the Depositary for such Global Security or Securities and the form of any legend or legends to be borne by any such Global Security or Securities in addition to or in lieu of the legend referred to in Section 2.15(a);</w:t>
      </w:r>
    </w:p>
    <w:p>
      <w:pPr>
        <w:spacing w:after="0" w:line="143"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trustees, authenticating or paying agents, transfer agents or registrars;</w:t>
      </w:r>
    </w:p>
    <w:p>
      <w:pPr>
        <w:spacing w:after="0" w:line="169" w:lineRule="exact"/>
        <w:rPr>
          <w:rFonts w:ascii="Times New Roman" w:cs="Times New Roman" w:eastAsia="Times New Roman" w:hAnsi="Times New Roman"/>
          <w:sz w:val="14"/>
          <w:szCs w:val="14"/>
          <w:color w:val="auto"/>
        </w:rPr>
      </w:pPr>
    </w:p>
    <w:p>
      <w:pPr>
        <w:ind w:left="280" w:right="359" w:firstLine="342"/>
        <w:spacing w:after="0" w:line="259" w:lineRule="auto"/>
        <w:tabs>
          <w:tab w:leader="none" w:pos="79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and any addition to or change in the covenants and definitions currently set forth in this Indenture or in the terms currently set forth in Article X, including conditioning any merger, conveyance, transfer or lease permitted by Article X upon the satisfaction of any Debt coverage standard by the Issuers and Successor Company (as defined in Article X);</w:t>
      </w:r>
    </w:p>
    <w:p>
      <w:pPr>
        <w:spacing w:after="0" w:line="140"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regard to Debt Securities of the series that do not bear interest, the dates for certain required reports to the Trustee; and</w:t>
      </w:r>
    </w:p>
    <w:p>
      <w:pPr>
        <w:spacing w:after="0" w:line="169" w:lineRule="exact"/>
        <w:rPr>
          <w:rFonts w:ascii="Times New Roman" w:cs="Times New Roman" w:eastAsia="Times New Roman" w:hAnsi="Times New Roman"/>
          <w:sz w:val="14"/>
          <w:szCs w:val="14"/>
          <w:color w:val="auto"/>
        </w:rPr>
      </w:pPr>
    </w:p>
    <w:p>
      <w:pPr>
        <w:ind w:left="780" w:hanging="158"/>
        <w:spacing w:after="0"/>
        <w:tabs>
          <w:tab w:leader="none" w:pos="7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of the series.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05" w:name="page106"/>
    <w:bookmarkEnd w:id="105"/>
    <w:p>
      <w:pPr>
        <w:ind w:left="280" w:right="599" w:firstLine="337"/>
        <w:spacing w:after="0" w:line="31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All Debt Securities of any one series shall be substantially identical except as to denomination and except as may otherwise be provided in or pursuant to such resolution of the Board of Directors and as set forth in such Officers’ Certificate or in any such Indenture supplemental hereto.</w:t>
      </w:r>
    </w:p>
    <w:p>
      <w:pPr>
        <w:spacing w:after="0" w:line="108"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Execution of Debt Securities</w:t>
      </w:r>
      <w:r>
        <w:rPr>
          <w:rFonts w:ascii="Times New Roman" w:cs="Times New Roman" w:eastAsia="Times New Roman" w:hAnsi="Times New Roman"/>
          <w:sz w:val="14"/>
          <w:szCs w:val="14"/>
          <w:color w:val="auto"/>
        </w:rPr>
        <w:t>. The Debt Securities shall be signed on behalf of each of the Issuers by at least one of its Officers. Such signatures upon the Debt Securities may be the manual or facsimile signatures of the present or any future such authorized officers and may be imprinted or otherwise reproduced on the Debt Securities. Only such Debt Securities as shall bear thereon a certificate of authentication substantially in the form hereinbefore recited, signed manually by the Trustee, shall be entitled to the benefits of this Indenture or be valid or obligatory for any purpose. Such certificate by the Trustee upon any Debt Security executed on behalf of each of the Issuers by at least one of its Officers shall be conclusive evidence that the Debt Security so authenticated has been duly authenticated and delivered hereunder.</w:t>
      </w:r>
    </w:p>
    <w:p>
      <w:pPr>
        <w:spacing w:after="0" w:line="148" w:lineRule="exact"/>
        <w:rPr>
          <w:sz w:val="20"/>
          <w:szCs w:val="20"/>
          <w:color w:val="auto"/>
        </w:rPr>
      </w:pPr>
    </w:p>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t>In case any Officer of either Issuer who shall have signed any of the Debt Securities shall cease to be such Officer before the Debt Securities so signed shall have been authenticated and delivered by the Trustee, or disposed of by the Issuers, such Debt Securities nevertheless may be authenticated and delivered or disposed of as though the Person who signed such Debt Securities had not ceased to be such Officer; and any Debt Security may be signed on behalf of either Issuer by such Persons as, at the actual date of the execution of such Debt Security, shall be the proper Officers of such Issuer, although at the date of such Debt Security or of the execution of this Indenture any such Person was not such Officer.</w:t>
      </w:r>
    </w:p>
    <w:p>
      <w:pPr>
        <w:spacing w:after="0" w:line="144"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Authentication and Delivery of Debt Securities</w:t>
      </w:r>
      <w:r>
        <w:rPr>
          <w:rFonts w:ascii="Times New Roman" w:cs="Times New Roman" w:eastAsia="Times New Roman" w:hAnsi="Times New Roman"/>
          <w:sz w:val="14"/>
          <w:szCs w:val="14"/>
          <w:color w:val="auto"/>
        </w:rPr>
        <w:t>. At any time and from time to time after the execution and delivery of this Indenture, the Issuers may deliver to the Trustee for authentication Debt Securities of any series executed by the Issuers, and the Trustee shall thereupon authenticate and deliver said Debt Securities to or upon an Issuer Order. In authenticating such Debt Securities, and accepting the additional responsibilities under this Indenture in relation to such Debt Securities, the Trustee shall be entitled to receive, and (subject to Section 7.01) shall be fully protected in relying upon:</w:t>
      </w:r>
    </w:p>
    <w:p>
      <w:pPr>
        <w:spacing w:after="0" w:line="62" w:lineRule="exact"/>
        <w:rPr>
          <w:sz w:val="20"/>
          <w:szCs w:val="20"/>
          <w:color w:val="auto"/>
        </w:rPr>
      </w:pPr>
    </w:p>
    <w:p>
      <w:pPr>
        <w:ind w:left="280" w:right="379" w:firstLine="342"/>
        <w:spacing w:after="0" w:line="273" w:lineRule="auto"/>
        <w:tabs>
          <w:tab w:leader="none" w:pos="80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any resolution or resolutions of the Board of Directors of each Issuer, certified by the Secretary or Assistant Secretary of each of the General Partner and Finance Corp., authorizing the terms of issuance of any series of Debt Securities;</w:t>
      </w:r>
    </w:p>
    <w:p>
      <w:pPr>
        <w:spacing w:after="0" w:line="130"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supplemental Indenture, if any;</w:t>
      </w:r>
    </w:p>
    <w:p>
      <w:pPr>
        <w:spacing w:after="0" w:line="169"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w:t>
      </w:r>
    </w:p>
    <w:p>
      <w:pPr>
        <w:spacing w:after="0" w:line="169"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prepared in accordance with Section 13.05 which shall also state:</w:t>
      </w:r>
    </w:p>
    <w:p>
      <w:pPr>
        <w:spacing w:after="0" w:line="87" w:lineRule="exact"/>
        <w:rPr>
          <w:rFonts w:ascii="Times New Roman" w:cs="Times New Roman" w:eastAsia="Times New Roman" w:hAnsi="Times New Roman"/>
          <w:sz w:val="14"/>
          <w:szCs w:val="14"/>
          <w:color w:val="auto"/>
        </w:rPr>
      </w:pPr>
    </w:p>
    <w:p>
      <w:pPr>
        <w:ind w:left="280" w:right="339" w:firstLine="764"/>
        <w:spacing w:after="0" w:line="273" w:lineRule="auto"/>
        <w:tabs>
          <w:tab w:leader="none" w:pos="1204"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form of such Debt Securities has been established by or pursuant to a resolution of the Board of Directors of each Issuer or by a supplemental Indenture as contemplated by Section 2.01;</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06" w:name="page107"/>
    <w:bookmarkEnd w:id="106"/>
    <w:p>
      <w:pPr>
        <w:ind w:left="280" w:right="979" w:firstLine="764"/>
        <w:spacing w:after="0" w:line="273" w:lineRule="auto"/>
        <w:tabs>
          <w:tab w:leader="none" w:pos="124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that the terms of such Debt Securities have been established by or pursuant to a resolution of the Board of Directors or by a supplemental Indenture as contemplated by Section 2.03;</w:t>
      </w:r>
    </w:p>
    <w:p>
      <w:pPr>
        <w:spacing w:after="0" w:line="130" w:lineRule="exact"/>
        <w:rPr>
          <w:rFonts w:ascii="Times New Roman" w:cs="Times New Roman" w:eastAsia="Times New Roman" w:hAnsi="Times New Roman"/>
          <w:sz w:val="14"/>
          <w:szCs w:val="14"/>
          <w:color w:val="auto"/>
        </w:rPr>
      </w:pPr>
    </w:p>
    <w:p>
      <w:pPr>
        <w:ind w:left="280" w:right="319" w:firstLine="764"/>
        <w:spacing w:after="0" w:line="255" w:lineRule="auto"/>
        <w:tabs>
          <w:tab w:leader="none" w:pos="128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such Debt Securities, when authenticated and delivered by the Trustee and issued by the Issuers in the manner and subject to any conditions specified in such Opinion of Counsel, will constitute valid and legally binding obligations of the Issuers, enforceable in accordance with their terms except as the enforceability thereof may be limited by bankruptcy, insolvency or similar laws affecting the enforcement of creditors’ rights generally and rights of acceleration and the availability of equitable remedies may be limited by equitable principles of general applicability;</w:t>
      </w:r>
    </w:p>
    <w:p>
      <w:pPr>
        <w:spacing w:after="0" w:line="143" w:lineRule="exact"/>
        <w:rPr>
          <w:rFonts w:ascii="Times New Roman" w:cs="Times New Roman" w:eastAsia="Times New Roman" w:hAnsi="Times New Roman"/>
          <w:sz w:val="14"/>
          <w:szCs w:val="14"/>
          <w:color w:val="auto"/>
        </w:rPr>
      </w:pPr>
    </w:p>
    <w:p>
      <w:pPr>
        <w:ind w:left="1280" w:hanging="236"/>
        <w:spacing w:after="0"/>
        <w:tabs>
          <w:tab w:leader="none" w:pos="12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Issuers have the power to issue such Debt Securities and has duly taken all necessary action with respect to such issuance;</w:t>
      </w:r>
    </w:p>
    <w:p>
      <w:pPr>
        <w:spacing w:after="0" w:line="169" w:lineRule="exact"/>
        <w:rPr>
          <w:rFonts w:ascii="Times New Roman" w:cs="Times New Roman" w:eastAsia="Times New Roman" w:hAnsi="Times New Roman"/>
          <w:sz w:val="14"/>
          <w:szCs w:val="14"/>
          <w:color w:val="auto"/>
        </w:rPr>
      </w:pPr>
    </w:p>
    <w:p>
      <w:pPr>
        <w:ind w:left="280" w:right="359" w:firstLine="764"/>
        <w:spacing w:after="0" w:line="259" w:lineRule="auto"/>
        <w:tabs>
          <w:tab w:leader="none" w:pos="123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issuance of such Debt Securities will not contravene the organizational documents of the Issuers or result in any material violation of any of the terms or provisions of any law or regulation or of any material indenture, mortgage or other agreement in respect of indebtedness known to such counsel by which the Issuers are bound;</w:t>
      </w:r>
    </w:p>
    <w:p>
      <w:pPr>
        <w:spacing w:after="0" w:line="140" w:lineRule="exact"/>
        <w:rPr>
          <w:rFonts w:ascii="Times New Roman" w:cs="Times New Roman" w:eastAsia="Times New Roman" w:hAnsi="Times New Roman"/>
          <w:sz w:val="14"/>
          <w:szCs w:val="14"/>
          <w:color w:val="auto"/>
        </w:rPr>
      </w:pPr>
    </w:p>
    <w:p>
      <w:pPr>
        <w:ind w:left="280" w:right="379" w:firstLine="764"/>
        <w:spacing w:after="0" w:line="273" w:lineRule="auto"/>
        <w:tabs>
          <w:tab w:leader="none" w:pos="127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authentication and delivery of such Debt Securities and the execution and delivery of any supplemental Indenture will not violate the terms of this Indenture; and</w:t>
      </w:r>
    </w:p>
    <w:p>
      <w:pPr>
        <w:spacing w:after="0" w:line="130" w:lineRule="exact"/>
        <w:rPr>
          <w:rFonts w:ascii="Times New Roman" w:cs="Times New Roman" w:eastAsia="Times New Roman" w:hAnsi="Times New Roman"/>
          <w:sz w:val="14"/>
          <w:szCs w:val="14"/>
          <w:color w:val="auto"/>
        </w:rPr>
      </w:pPr>
    </w:p>
    <w:p>
      <w:pPr>
        <w:ind w:left="1320" w:hanging="276"/>
        <w:spacing w:after="0"/>
        <w:tabs>
          <w:tab w:leader="none" w:pos="1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matters as the Trustee may reasonably request.</w:t>
      </w:r>
    </w:p>
    <w:p>
      <w:pPr>
        <w:spacing w:after="0" w:line="170" w:lineRule="exact"/>
        <w:rPr>
          <w:sz w:val="20"/>
          <w:szCs w:val="20"/>
          <w:color w:val="auto"/>
        </w:rPr>
      </w:pPr>
    </w:p>
    <w:p>
      <w:pPr>
        <w:ind w:left="280" w:right="439" w:firstLine="337"/>
        <w:spacing w:after="0" w:line="273" w:lineRule="auto"/>
        <w:rPr>
          <w:sz w:val="20"/>
          <w:szCs w:val="20"/>
          <w:color w:val="auto"/>
        </w:rPr>
      </w:pPr>
      <w:r>
        <w:rPr>
          <w:rFonts w:ascii="Times New Roman" w:cs="Times New Roman" w:eastAsia="Times New Roman" w:hAnsi="Times New Roman"/>
          <w:sz w:val="14"/>
          <w:szCs w:val="14"/>
          <w:color w:val="auto"/>
        </w:rPr>
        <w:t>Such Opinion of Counsel need express no opinion as to whether a court in the United States would render a money judgment in a currency other than that of the United States.</w:t>
      </w:r>
    </w:p>
    <w:p>
      <w:pPr>
        <w:spacing w:after="0" w:line="130" w:lineRule="exact"/>
        <w:rPr>
          <w:sz w:val="20"/>
          <w:szCs w:val="20"/>
          <w:color w:val="auto"/>
        </w:rPr>
      </w:pPr>
    </w:p>
    <w:p>
      <w:pPr>
        <w:ind w:left="280" w:right="299" w:firstLine="337"/>
        <w:spacing w:after="0" w:line="255"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Debt Securities under this Section 2.05 if the Trustee, being advised by counsel, determines that such action may not lawfully be taken or if the Trustee in good faith by its board of directors or trustees, executive committee or a trust committee of directors, trustees or Officers (or any combination thereof) shall determine that such action would expose the Trustee to personal liability to existing Holders.</w:t>
      </w:r>
    </w:p>
    <w:p>
      <w:pPr>
        <w:spacing w:after="0" w:line="143"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The Trustee may appoint an authenticating agent reasonably acceptable to the Issuers to authenticate Debt Securities of any series. Unless limited by the terms of such appointment, an authenticating agent may authenticate Debt Securities whenever the Trustee may do so. Each reference in this Indenture to authentication by the Trustee includes authentication by such agent. An authenticating agent has the same rights as any Registrar, paying agent or agent for service of notices and demands.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Unless otherwise provided in the form of Debt Security for any series, each Debt Security shall be dated the date of its authentication.</w:t>
      </w:r>
    </w:p>
    <w:p>
      <w:pPr>
        <w:spacing w:after="0" w:line="170" w:lineRule="exact"/>
        <w:rPr>
          <w:sz w:val="20"/>
          <w:szCs w:val="20"/>
          <w:color w:val="auto"/>
        </w:rPr>
      </w:pPr>
    </w:p>
    <w:p>
      <w:pPr>
        <w:ind w:left="280" w:right="39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2.06 </w:t>
      </w:r>
      <w:r>
        <w:rPr>
          <w:rFonts w:ascii="Times New Roman" w:cs="Times New Roman" w:eastAsia="Times New Roman" w:hAnsi="Times New Roman"/>
          <w:sz w:val="14"/>
          <w:szCs w:val="14"/>
          <w:u w:val="single" w:color="auto"/>
          <w:color w:val="auto"/>
        </w:rPr>
        <w:t>Denomination of Debt Securities</w:t>
      </w:r>
      <w:r>
        <w:rPr>
          <w:rFonts w:ascii="Times New Roman" w:cs="Times New Roman" w:eastAsia="Times New Roman" w:hAnsi="Times New Roman"/>
          <w:sz w:val="14"/>
          <w:szCs w:val="14"/>
          <w:color w:val="auto"/>
        </w:rPr>
        <w:t>. Unless otherwise provided in the form of Debt Security for any series, the Debt Securities of each series shall be issuable only as fully registered Debt Securities in such Dollar denominations as shall be specified or contemplated by Section 2.03. In the absence of any such specification with respect to the Debt Securities of any series, the Debt Securities of such series shall be issuable in denominations of $1,000 and any integral multiple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07" w:name="page108"/>
    <w:bookmarkEnd w:id="107"/>
    <w:p>
      <w:pPr>
        <w:ind w:left="6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2.07 </w:t>
      </w:r>
      <w:r>
        <w:rPr>
          <w:rFonts w:ascii="Times New Roman" w:cs="Times New Roman" w:eastAsia="Times New Roman" w:hAnsi="Times New Roman"/>
          <w:sz w:val="14"/>
          <w:szCs w:val="14"/>
          <w:u w:val="single" w:color="auto"/>
          <w:color w:val="auto"/>
        </w:rPr>
        <w:t>Registration of Transfer and Exchange</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280" w:right="299" w:firstLine="342"/>
        <w:spacing w:after="0" w:line="251" w:lineRule="auto"/>
        <w:tabs>
          <w:tab w:leader="none" w:pos="80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shall keep or cause to be kept a register for each series of Debt Securities issued hereunder (hereinafter collectively referred to as the “</w:t>
      </w:r>
      <w:r>
        <w:rPr>
          <w:rFonts w:ascii="Times New Roman" w:cs="Times New Roman" w:eastAsia="Times New Roman" w:hAnsi="Times New Roman"/>
          <w:sz w:val="14"/>
          <w:szCs w:val="14"/>
          <w:b w:val="1"/>
          <w:bCs w:val="1"/>
          <w:color w:val="auto"/>
        </w:rPr>
        <w:t>Debt Security Register</w:t>
      </w:r>
      <w:r>
        <w:rPr>
          <w:rFonts w:ascii="Times New Roman" w:cs="Times New Roman" w:eastAsia="Times New Roman" w:hAnsi="Times New Roman"/>
          <w:sz w:val="14"/>
          <w:szCs w:val="14"/>
          <w:color w:val="auto"/>
        </w:rPr>
        <w:t>”), in which, subject to such reasonable regulations as it may prescribe, the Issuers shall provide for the registration of all Debt Securities and the transfer of Debt Securities as in this Article II provided. At all reasonable times the Debt Security Register shall be open for inspection by the Trustee. Subject to Section 2.15, upon due presentment for registration of transfer of any Debt Security at any office or agency to be maintained by the Issuers in accordance with the provisions of Section 4.02, the Issuers shall execute and the Trustee shall authenticate and deliver in the name of the transferee or transferees a new Debt Security or Debt Securities of authorized denominations for a like aggregate principal amount. In no event may Debt Securities be issued as, or exchanged for, bearer securities.</w:t>
      </w:r>
    </w:p>
    <w:p>
      <w:pPr>
        <w:spacing w:after="0" w:line="145"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Unless and until otherwise determined by the Issuers by resolutions of each Issuer’s Board of Directors, the Debt Security Register shall be kept at the principal corporate trust office of the Trustee and, for this purpose, the Trustee shall be designated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w:t>
      </w:r>
    </w:p>
    <w:p>
      <w:pPr>
        <w:spacing w:after="0" w:line="130" w:lineRule="exact"/>
        <w:rPr>
          <w:sz w:val="20"/>
          <w:szCs w:val="20"/>
          <w:color w:val="auto"/>
        </w:rPr>
      </w:pPr>
    </w:p>
    <w:p>
      <w:pPr>
        <w:ind w:left="280" w:right="419" w:firstLine="337"/>
        <w:spacing w:after="0" w:line="281" w:lineRule="auto"/>
        <w:rPr>
          <w:sz w:val="20"/>
          <w:szCs w:val="20"/>
          <w:color w:val="auto"/>
        </w:rPr>
      </w:pPr>
      <w:r>
        <w:rPr>
          <w:rFonts w:ascii="Times New Roman" w:cs="Times New Roman" w:eastAsia="Times New Roman" w:hAnsi="Times New Roman"/>
          <w:sz w:val="13"/>
          <w:szCs w:val="13"/>
          <w:color w:val="auto"/>
        </w:rPr>
        <w:t>Debt Securities of any series (other than a Global Security, except as set forth below) may be exchanged for a like aggregate principal amount of Debt Securities of the same series of other authorized denominations. Subject to Section 2.15, Debt Securities to be exchanged shall be surrendered at the office or agency to be maintained by the Issuers as provided in Section 4.02, and the Issuers shall execute and the Trustee shall authenticate and deliver in exchange therefor the Debt Security or Debt Securities which the Holder making the exchange shall be entitled to receive.</w:t>
      </w:r>
    </w:p>
    <w:p>
      <w:pPr>
        <w:spacing w:after="0" w:line="127" w:lineRule="exact"/>
        <w:rPr>
          <w:sz w:val="20"/>
          <w:szCs w:val="20"/>
          <w:color w:val="auto"/>
        </w:rPr>
      </w:pPr>
    </w:p>
    <w:p>
      <w:pPr>
        <w:jc w:val="both"/>
        <w:ind w:left="280" w:right="319" w:firstLine="342"/>
        <w:spacing w:after="0" w:line="259" w:lineRule="auto"/>
        <w:tabs>
          <w:tab w:leader="none" w:pos="813"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Securities presented or surrendered for registration of transfer, exchange or payment shall (if so required by the Issuers, the Trustee or the Registrar) be duly endorsed or be accompanied by a written instrument or instruments of transfer, in form satisfactory to the Issuers, the Trustee and the Registrar, duly executed by the Holder or his attorney duly authorized in writing.</w:t>
      </w:r>
    </w:p>
    <w:p>
      <w:pPr>
        <w:spacing w:after="0" w:line="141" w:lineRule="exact"/>
        <w:rPr>
          <w:sz w:val="20"/>
          <w:szCs w:val="20"/>
          <w:color w:val="auto"/>
        </w:rPr>
      </w:pPr>
    </w:p>
    <w:p>
      <w:pPr>
        <w:ind w:left="280" w:right="539" w:firstLine="337"/>
        <w:spacing w:after="0" w:line="273" w:lineRule="auto"/>
        <w:rPr>
          <w:sz w:val="20"/>
          <w:szCs w:val="20"/>
          <w:color w:val="auto"/>
        </w:rPr>
      </w:pPr>
      <w:r>
        <w:rPr>
          <w:rFonts w:ascii="Times New Roman" w:cs="Times New Roman" w:eastAsia="Times New Roman" w:hAnsi="Times New Roman"/>
          <w:sz w:val="14"/>
          <w:szCs w:val="14"/>
          <w:color w:val="auto"/>
        </w:rPr>
        <w:t>All Debt Securities issued in exchange for or upon transfer of Debt Securities shall be the valid obligations of the Issuers, evidencing the same debt, and entitled to the same benefits under this Indenture as the Debt Securities surrendered for such exchange or transfer.</w:t>
      </w:r>
    </w:p>
    <w:p>
      <w:pPr>
        <w:spacing w:after="0" w:line="130" w:lineRule="exact"/>
        <w:rPr>
          <w:sz w:val="20"/>
          <w:szCs w:val="20"/>
          <w:color w:val="auto"/>
        </w:rPr>
      </w:pPr>
    </w:p>
    <w:p>
      <w:pPr>
        <w:ind w:left="280" w:right="359" w:firstLine="337"/>
        <w:spacing w:after="0" w:line="289" w:lineRule="auto"/>
        <w:rPr>
          <w:sz w:val="20"/>
          <w:szCs w:val="20"/>
          <w:color w:val="auto"/>
        </w:rPr>
      </w:pPr>
      <w:r>
        <w:rPr>
          <w:rFonts w:ascii="Times New Roman" w:cs="Times New Roman" w:eastAsia="Times New Roman" w:hAnsi="Times New Roman"/>
          <w:sz w:val="13"/>
          <w:szCs w:val="13"/>
          <w:color w:val="auto"/>
        </w:rPr>
        <w:t>No service charge shall be made for any exchange or registration of transfer of Debt Securities (except as provided by Section 2.09), but the Issuers may require payment of a sum sufficient to cover any tax, fee, assessment or other governmental charge that may be imposed in relation thereto, other than those expressly provided in this Indenture to be made at the Issuers’ own expense or without expense or without charge to the Holders.</w:t>
      </w:r>
    </w:p>
    <w:p>
      <w:pPr>
        <w:spacing w:after="0" w:line="122" w:lineRule="exact"/>
        <w:rPr>
          <w:sz w:val="20"/>
          <w:szCs w:val="20"/>
          <w:color w:val="auto"/>
        </w:rPr>
      </w:pPr>
    </w:p>
    <w:p>
      <w:pPr>
        <w:jc w:val="both"/>
        <w:ind w:left="280" w:right="499" w:firstLine="337"/>
        <w:spacing w:after="0" w:line="259" w:lineRule="auto"/>
        <w:rPr>
          <w:sz w:val="20"/>
          <w:szCs w:val="20"/>
          <w:color w:val="auto"/>
        </w:rPr>
      </w:pPr>
      <w:r>
        <w:rPr>
          <w:rFonts w:ascii="Times New Roman" w:cs="Times New Roman" w:eastAsia="Times New Roman" w:hAnsi="Times New Roman"/>
          <w:sz w:val="14"/>
          <w:szCs w:val="14"/>
          <w:color w:val="auto"/>
        </w:rPr>
        <w:t>The Issuers shall not be required (i) to issue, register the transfer of or exchange any Debt Securities for a period of 15 days next preceding any mailing of notice of redemption of Debt Securities of such series or (ii) to register the transfer of or exchange any Debt Securities selected, called or being called for redemption, except for the unredeemed portion of any such Debt Securities.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08" w:name="page109"/>
    <w:bookmarkEnd w:id="108"/>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Prior to the due presentation for registration of transfer of any Debt Security, the Issuers, the Trustee, any paying agent or any Registrar may deem and treat the Person in whose name a Debt Security is registered as the absolute owner of such Debt Security for the purpose of receiving payment of or on account of the principal of, and premium, if any, and (subject to Section 2.12) interest on, such Debt Security and for all other purposes whatsoever, whether or not such Debt Security is overdue, and none of the Issuers, the Trustee, any paying agent or any Registrar shall be affected by notice to the contrary.</w:t>
      </w:r>
    </w:p>
    <w:p>
      <w:pPr>
        <w:spacing w:after="0" w:line="144"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None of the Issuers, the Trustee, any agent of the Trustee, any paying agent or any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41"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Temporary Debt Securities</w:t>
      </w:r>
      <w:r>
        <w:rPr>
          <w:rFonts w:ascii="Times New Roman" w:cs="Times New Roman" w:eastAsia="Times New Roman" w:hAnsi="Times New Roman"/>
          <w:sz w:val="14"/>
          <w:szCs w:val="14"/>
          <w:color w:val="auto"/>
        </w:rPr>
        <w:t>. Pending the preparation of definitive Debt Securities of any series, the Issuers may execute and the Trustee shall authenticate and deliver temporary Debt Securities (printed, lithographed, photocopied, typewritten or otherwise produced) of any authorized denomination, and substantially in the form of the definitive Debt Securities in lieu of which they are issued, in registered form with such omissions, insertions and variations as may be appropriate for temporary Debt Securities, all as may be determined by the Issuers with the concurrence of the Trustee. Temporary Debt Securities may contain such reference to any provisions of this Indenture as may be appropriate. Every temporary Debt Security shall be executed by the Issuers and be authenticated by the Trustee upon the same conditions and in substantially the same manner, and with like effect, as the definitive Debt Securities.</w:t>
      </w:r>
    </w:p>
    <w:p>
      <w:pPr>
        <w:spacing w:after="0" w:line="145"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If temporary Debt Securities of any series are issued, the Issuers will cause definitive Debt Securities of such series to be prepared without unreasonable delay. After the preparation of definitive Debt Securities of such series, the temporary Debt Securities of such series shall be exchangeable for definitive Debt Securities of such series upon surrender of the temporary Debt Securities of such series at the office or agency of the Issuers at a Place of Payment for such series, without charge to the Holder thereof, except as provided in Section 2.07 in connection with a transfer. Upon surrender for cancellation of any one or more temporary Debt Securities of any series, the Issuers shall execute and the Trustee shall authenticate and deliver in exchange therefor a like aggregate principal amount of definitive Debt Securities of the same series of authorized denominations and of like tenor. Until so exchanged, temporary Debt Securities of any series shall in all respects be entitled to the same benefits under this Indenture as definitive Debt Securities of such series.</w:t>
      </w:r>
    </w:p>
    <w:p>
      <w:pPr>
        <w:spacing w:after="0" w:line="148"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Upon any exchange of a portion of a temporary Global Security for a definitive Global Security or for the individual Debt Securities represented thereby pursuant to Section 2.07 or this Section 2.08, the temporary Global Security shall be endorsed by the Trustee to reflect the reduction of the principal amount evidenced thereby, whereupon the principal amount of such temporary Global Security shall be reduced for all purposes by the amount to be exchanged and endorsed.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109" w:name="page110"/>
    <w:bookmarkEnd w:id="109"/>
    <w:p>
      <w:pPr>
        <w:ind w:left="280" w:right="339" w:firstLine="337"/>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2.09 </w:t>
      </w:r>
      <w:r>
        <w:rPr>
          <w:rFonts w:ascii="Times New Roman" w:cs="Times New Roman" w:eastAsia="Times New Roman" w:hAnsi="Times New Roman"/>
          <w:sz w:val="14"/>
          <w:szCs w:val="14"/>
          <w:u w:val="single" w:color="auto"/>
          <w:color w:val="auto"/>
        </w:rPr>
        <w:t>Mutilated, Destroyed, Lost or Stolen Debt Securities</w:t>
      </w:r>
      <w:r>
        <w:rPr>
          <w:rFonts w:ascii="Times New Roman" w:cs="Times New Roman" w:eastAsia="Times New Roman" w:hAnsi="Times New Roman"/>
          <w:sz w:val="14"/>
          <w:szCs w:val="14"/>
          <w:color w:val="auto"/>
        </w:rPr>
        <w:t>. If (a) any mutilated Debt Security is surrendered to the Trustee at its corporate trust office or (b) the Issuers and the Trustee receive evidence to their satisfaction of the destruction, loss or theft of any Debt Security, and there is delivered to the Issuers and the Trustee such security or indemnity as may be required by them to save each of them and any paying agent harmless, and neither the Issuers nor the Trustee receives notice that such Debt Security has been acquired by a protected purchaser, then the Issuers shall execute and, upon an Issuer Order, the Trustee shall authenticate and deliver, in exchange for or in lieu of any such mutilated, destroyed, lost or stolen Debt Security, a new Debt Security of the same series of like tenor, form, terms and principal amount, bearing a number not contemporaneously Outstanding. Upon the issuance of any substituted Debt Security, the Issuers or the Trustee may require the payment of a sum sufficient to cover any tax, fee, assessment or other governmental charge that may be imposed in relation thereto and any other expenses connected therewith. In case any Debt Security which has matured or is about to mature or which has been called for redemption shall become mutilated or be destroyed, lost or stolen, the Issuers may, instead of issuing a substituted Debt Security, pay or authorize the payment of the same (without surrender thereof except in the case of a mutilated Debt Security) if the applicant for such payment shall furnish the Issuers and the Trustee with such security or indemnity as either may require to save it harmless from all risk, however remote, and, in case of destruction, loss or theft, evidence to the satisfaction of the Issuers and the Trustee of the destruction, loss or theft of such Debt Security and of the ownership thereof.</w:t>
      </w:r>
    </w:p>
    <w:p>
      <w:pPr>
        <w:spacing w:after="0" w:line="154" w:lineRule="exact"/>
        <w:rPr>
          <w:sz w:val="20"/>
          <w:szCs w:val="20"/>
          <w:color w:val="auto"/>
        </w:rPr>
      </w:pPr>
    </w:p>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t>Every substituted Debt Security of any series issued pursuant to the provisions of this Section 2.09 by virtue of the fact that any Debt Security is destroyed, lost or stolen shall constitute an original additional contractual obligation of the Issuers, whether or not the destroyed, lost or stolen Debt Security shall be found at any time, and shall be entitled to all the benefits of this Indenture equally and proportionately with any and all other Debt Securities of that series duly issued hereunder. All Debt Securities shall be held and owned upon the express condition that the foregoing provisions are exclusive with respect to the replacement or payment of mutilated, destroyed, lost or stolen Debt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45" w:lineRule="exact"/>
        <w:rPr>
          <w:sz w:val="20"/>
          <w:szCs w:val="20"/>
          <w:color w:val="auto"/>
        </w:rPr>
      </w:pPr>
    </w:p>
    <w:p>
      <w:pPr>
        <w:ind w:left="280" w:right="299" w:firstLine="337"/>
        <w:spacing w:after="0" w:line="272" w:lineRule="auto"/>
        <w:rPr>
          <w:sz w:val="20"/>
          <w:szCs w:val="20"/>
          <w:color w:val="auto"/>
        </w:rPr>
      </w:pPr>
      <w:r>
        <w:rPr>
          <w:rFonts w:ascii="Times New Roman" w:cs="Times New Roman" w:eastAsia="Times New Roman" w:hAnsi="Times New Roman"/>
          <w:sz w:val="13"/>
          <w:szCs w:val="13"/>
          <w:color w:val="auto"/>
        </w:rPr>
        <w:t xml:space="preserve">Section 2.10 </w:t>
      </w:r>
      <w:r>
        <w:rPr>
          <w:rFonts w:ascii="Times New Roman" w:cs="Times New Roman" w:eastAsia="Times New Roman" w:hAnsi="Times New Roman"/>
          <w:sz w:val="13"/>
          <w:szCs w:val="13"/>
          <w:u w:val="single" w:color="auto"/>
          <w:color w:val="auto"/>
        </w:rPr>
        <w:t>Cancellation of Surrendered Debt Securities</w:t>
      </w:r>
      <w:r>
        <w:rPr>
          <w:rFonts w:ascii="Times New Roman" w:cs="Times New Roman" w:eastAsia="Times New Roman" w:hAnsi="Times New Roman"/>
          <w:sz w:val="13"/>
          <w:szCs w:val="13"/>
          <w:color w:val="auto"/>
        </w:rPr>
        <w:t>. All Debt Securities surrendered for payment, redemption, registration of transfer or exchange shall, if surrendered to an Issuer or any paying agent or a Registrar, be delivered to the Trustee for cancellation by it, or if surrendered to the Trustee, shall be canceled by it, and no Debt Securities shall be issued in lieu thereof except as expressly permitted by any of the provisions of this Indenture. All canceled Debt Securities held by the Trustee shall be destroyed (subject to the record retention requirements of the Exchange Act) and certification of their destruction delivered to the Issuers, unless otherwise directed. On request of the Issuers, the Trustee shall deliver to the Issuers canceled Debt Securities held by the Trustee. If either of the Issuers shall acquire any of the Debt Securities, however, such acquisition shall not operate as a redemption or satisfaction of the Debt represented thereby unless and until the same are delivered or surrendered to the Trustee for cancellation. The Issuers may not issue new Debt Securities to replace Debt Securities it has redeemed, paid or delivered to the Trustee for cancellation.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10" w:name="page111"/>
    <w:bookmarkEnd w:id="110"/>
    <w:p>
      <w:pPr>
        <w:ind w:left="280" w:right="319" w:firstLine="337"/>
        <w:spacing w:after="0" w:line="28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2.11 </w:t>
      </w:r>
      <w:r>
        <w:rPr>
          <w:rFonts w:ascii="Times New Roman" w:cs="Times New Roman" w:eastAsia="Times New Roman" w:hAnsi="Times New Roman"/>
          <w:sz w:val="13"/>
          <w:szCs w:val="13"/>
          <w:u w:val="single" w:color="auto"/>
          <w:color w:val="auto"/>
        </w:rPr>
        <w:t>Provisions of the Indenture and Debt Securities for the Sole Benefit of the Parties and the Holders</w:t>
      </w:r>
      <w:r>
        <w:rPr>
          <w:rFonts w:ascii="Times New Roman" w:cs="Times New Roman" w:eastAsia="Times New Roman" w:hAnsi="Times New Roman"/>
          <w:sz w:val="13"/>
          <w:szCs w:val="13"/>
          <w:color w:val="auto"/>
        </w:rPr>
        <w:t>. Nothing in this Indenture or in the Debt Securities, expressed or implied, shall give or be construed to give to any Person, other than the parties hereto, the Holders or any Registrar or paying agent, any legal or equitable right, remedy or claim under or in respect of this Indenture, or under any covenant, condition or provision herein contained; all its covenants, conditions and provisions being for the sole benefit of the parties hereto, the Holders and any Registrar and paying agents.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2.12 </w:t>
      </w:r>
      <w:r>
        <w:rPr>
          <w:rFonts w:ascii="Times New Roman" w:cs="Times New Roman" w:eastAsia="Times New Roman" w:hAnsi="Times New Roman"/>
          <w:sz w:val="14"/>
          <w:szCs w:val="14"/>
          <w:u w:val="single" w:color="auto"/>
          <w:color w:val="auto"/>
        </w:rPr>
        <w:t>Payment of Interest; Interest Rights Preserved</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280" w:right="359" w:firstLine="342"/>
        <w:spacing w:after="0" w:line="251" w:lineRule="auto"/>
        <w:tabs>
          <w:tab w:leader="none" w:pos="80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any Debt Security that is payable and is punctually paid or duly provided for on any interest payment date shall be paid to the Person in whose name such Debt Security is registered at the close of business on the regular record date for such interest notwithstanding the cancellation of such Debt Security upon any transfer or exchange subsequent to the regular record date. Payment of interest on Debt Securities shall be made at the corporate trust office of the Trustee (except as otherwise specified pursuant to Section 2.03), or at the option of the Issuers, by check mailed to the address of the Person entitled thereto as such address shall appear in the Debt Security Register or, if provided pursuant to Section 2.03 and in accordance with arrangements satisfactory to the Trustee, at the option of the Holder by wire transfer to an account designated by the Holder.</w:t>
      </w:r>
    </w:p>
    <w:p>
      <w:pPr>
        <w:spacing w:after="0" w:line="148" w:lineRule="exact"/>
        <w:rPr>
          <w:rFonts w:ascii="Times New Roman" w:cs="Times New Roman" w:eastAsia="Times New Roman" w:hAnsi="Times New Roman"/>
          <w:sz w:val="14"/>
          <w:szCs w:val="14"/>
          <w:color w:val="auto"/>
        </w:rPr>
      </w:pPr>
    </w:p>
    <w:p>
      <w:pPr>
        <w:ind w:left="280" w:right="639" w:firstLine="342"/>
        <w:spacing w:after="0" w:line="259" w:lineRule="auto"/>
        <w:tabs>
          <w:tab w:leader="none" w:pos="81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foregoing provisions of this Section 2.12 and Section 2.17, each Debt Security of a particular series delivered under this Indenture upon registration of transfer of or in exchange for or in lieu of any other Debt Security of the same series shall carry the rights to interest accrued and unpaid, and to accrue, which were carried by such other Debt Security.</w:t>
      </w:r>
    </w:p>
    <w:p>
      <w:pPr>
        <w:spacing w:after="0" w:line="141" w:lineRule="exact"/>
        <w:rPr>
          <w:sz w:val="20"/>
          <w:szCs w:val="20"/>
          <w:color w:val="auto"/>
        </w:rPr>
      </w:pPr>
    </w:p>
    <w:p>
      <w:pPr>
        <w:ind w:left="280" w:right="33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Securities Denominated in Dollars</w:t>
      </w:r>
      <w:r>
        <w:rPr>
          <w:rFonts w:ascii="Times New Roman" w:cs="Times New Roman" w:eastAsia="Times New Roman" w:hAnsi="Times New Roman"/>
          <w:sz w:val="14"/>
          <w:szCs w:val="14"/>
          <w:color w:val="auto"/>
        </w:rPr>
        <w:t>. Except as otherwise specified pursuant to Section 2.03 for Debt Securities of any series, payment of the principal of, and premium, if any, and interest on, Debt Securities of such series will be made in Dollars.</w:t>
      </w:r>
    </w:p>
    <w:p>
      <w:pPr>
        <w:spacing w:after="0" w:line="130" w:lineRule="exact"/>
        <w:rPr>
          <w:sz w:val="20"/>
          <w:szCs w:val="20"/>
          <w:color w:val="auto"/>
        </w:rPr>
      </w:pPr>
    </w:p>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Wire Transfers</w:t>
      </w:r>
      <w:r>
        <w:rPr>
          <w:rFonts w:ascii="Times New Roman" w:cs="Times New Roman" w:eastAsia="Times New Roman" w:hAnsi="Times New Roman"/>
          <w:sz w:val="14"/>
          <w:szCs w:val="14"/>
          <w:color w:val="auto"/>
        </w:rPr>
        <w:t>. Notwithstanding any other provision to the contrary in this Indenture, the Issuers may make any payment of moneys required to be deposited with the Trustee on account of principal of, or premium, if any, or interest on, the Debt Securities (whether pursuant to optional or mandatory redemption payments, interest payments or otherwise) by wire transfer in immediately available funds to an account designated by the Trustee before 11:00 a.m., New York City time, on the date such moneys are to be paid to the Holders of the Debt Securities in accordance with the terms hereof.</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u w:val="single" w:color="auto"/>
          <w:color w:val="auto"/>
        </w:rPr>
        <w:t>Securities Issuable in the Form of a Global Security</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280" w:right="319" w:firstLine="342"/>
        <w:spacing w:after="0" w:line="251" w:lineRule="auto"/>
        <w:tabs>
          <w:tab w:leader="none" w:pos="80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Issuers shall establish pursuant to Sections 2.01 and 2.03 that the Debt Securities of a particular series are to be issued in whole or in part in the form of one or more Global Securities, then the Issuers shall execute and the Trustee or its agent shall, in accordance with Section 2.05, authenticate and deliver, such Global Security or Securities, which shall represent, and shall be denominated in an amount equal to the aggregate principal amount of, the Outstanding Debt Securities of such series to be represented by such Global Security or Securities, or such portion thereof as the Issuers shall specify in an Officers’ Certificate, shall be registered in the name of the Depositary for such Global Security or Securities or its nominee, shall be delivered by the Trustee or its agent to the Depositary or pursuant to the Depositary’s instruction and shall bear a legend substantially to the following effect: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111" w:name="page112"/>
    <w:bookmarkEnd w:id="111"/>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“UNLESS THIS CERTIFICATE IS PRESENTED BY AN AUTHORIZED REPRESENTATIVE OF THE DEPOSITORY TRUST COMPANY, A NEW YORK CORPORATION (“</w:t>
      </w:r>
      <w:r>
        <w:rPr>
          <w:rFonts w:ascii="Times New Roman" w:cs="Times New Roman" w:eastAsia="Times New Roman" w:hAnsi="Times New Roman"/>
          <w:sz w:val="14"/>
          <w:szCs w:val="14"/>
          <w:b w:val="1"/>
          <w:bCs w:val="1"/>
          <w:color w:val="auto"/>
        </w:rPr>
        <w:t>DTC</w:t>
      </w:r>
      <w:r>
        <w:rPr>
          <w:rFonts w:ascii="Times New Roman" w:cs="Times New Roman" w:eastAsia="Times New Roman" w:hAnsi="Times New Roman"/>
          <w:sz w:val="14"/>
          <w:szCs w:val="14"/>
          <w:color w:val="auto"/>
        </w:rPr>
        <w:t>”), NEW YORK, NEW YORK, TO THE ISSUERS OR THEIR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or such other legend as may then be required by the Depositary for such Global Security or Securities.</w:t>
      </w:r>
    </w:p>
    <w:p>
      <w:pPr>
        <w:spacing w:after="0" w:line="170" w:lineRule="exact"/>
        <w:rPr>
          <w:sz w:val="20"/>
          <w:szCs w:val="20"/>
          <w:color w:val="auto"/>
        </w:rPr>
      </w:pPr>
    </w:p>
    <w:p>
      <w:pPr>
        <w:ind w:left="820" w:hanging="198"/>
        <w:spacing w:after="0"/>
        <w:tabs>
          <w:tab w:leader="none" w:pos="8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Section 2.15 or of Section 2.07 to the contrary, and subject to the provisions of paragraph</w:t>
      </w:r>
    </w:p>
    <w:p>
      <w:pPr>
        <w:spacing w:after="0" w:line="17" w:lineRule="exact"/>
        <w:rPr>
          <w:rFonts w:ascii="Times New Roman" w:cs="Times New Roman" w:eastAsia="Times New Roman" w:hAnsi="Times New Roman"/>
          <w:sz w:val="14"/>
          <w:szCs w:val="14"/>
          <w:color w:val="auto"/>
        </w:rPr>
      </w:pPr>
    </w:p>
    <w:p>
      <w:pPr>
        <w:ind w:left="280" w:right="299" w:firstLine="5"/>
        <w:spacing w:after="0" w:line="248" w:lineRule="auto"/>
        <w:tabs>
          <w:tab w:leader="none" w:pos="46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 unless the terms of a Global Security expressly permit such Global Security to be exchanged in whole or in part for definitive Debt Securities in registered form, a Global Security may be transferred, in whole but not in part and in the manner provided in Section 2.07, only by the Depositary to a nominee of the Depositary for such Global Security, or by a nominee of the Depositary to the Depositary or another nominee of the Depositary, or by the Depositary or a nominee of the Depositary to a successor Depositary for such Global Security selected or approved by the Issuers, or to a nominee of such successor Depositary.</w:t>
      </w:r>
    </w:p>
    <w:p>
      <w:pPr>
        <w:spacing w:after="0" w:line="147" w:lineRule="exact"/>
        <w:rPr>
          <w:rFonts w:ascii="Times New Roman" w:cs="Times New Roman" w:eastAsia="Times New Roman" w:hAnsi="Times New Roman"/>
          <w:sz w:val="14"/>
          <w:szCs w:val="14"/>
          <w:color w:val="auto"/>
        </w:rPr>
      </w:pPr>
    </w:p>
    <w:p>
      <w:pPr>
        <w:ind w:left="280" w:right="419" w:firstLine="342"/>
        <w:spacing w:after="0" w:line="250" w:lineRule="auto"/>
        <w:tabs>
          <w:tab w:leader="none" w:pos="805"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the Depositary for a Global Security or Securities notifies the Issuers that it is unwilling or unable to continue as Depositary for such Global Security or Securities or if at any time the Depositary for the Debt Securities for such series shall no longer be eligible or in good standing under the Exchange Act or other applicable statute, rule or regulation, the Issuers shall appoint a successor Depositary with respect to such Global Security or Securities. If a successor Depositary for such Global Security or Securities is not appointed by the Issuers within 90 days after the Issuers receive such notice or become aware of such ineligibility, the Issuers shall execute, and the Trustee or its agent, upon receipt of an Issuer Order for the authentication and delivery of such individual Debt Securities of such series in exchange for such Global Security or Securities, will authenticate and deliver, individual Debt Securities of such series of like tenor and terms in definitive form in an aggregate principal amount equal to the principal amount of the Global Security or Securities in exchange for such Global Security or Securities.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112" w:name="page113"/>
    <w:bookmarkEnd w:id="112"/>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an Event of Default occurs and the Depositary for a Global Security or Securities notifies the Trustee of its decision to require that the Debt Securities of any series or portion thereof issued or issuable in the form of one or more Global Securities shall no longer be represented by such Global Security or Securities, the Issuers shall appoint a successor Depositary with respect to such Global Security or Securities. In such event the Issuers will execute, and the Trustee, upon receipt of an Issuer Order for the authentication and delivery of individual Debt Securities of such series in exchange in whole or in part for such Global Security or Securities, will authenticate and deliver individual Debt Securities of such series of like tenor and terms in definitive form in an aggregate principal amount equal to the principal amount of such series or portion thereof in exchange for such Global Security or Securities.</w:t>
      </w:r>
    </w:p>
    <w:p>
      <w:pPr>
        <w:spacing w:after="0" w:line="145"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If specified by the Issuers pursuant to Sections 2.01 and 2.03 with respect to Debt Securities issued or issuable in the form of a Global Security, the Depositary for such Global Security may surrender such Global Security in exchange in whole or in part for individual Debt Securities of such series of like tenor and terms in definitive form on such terms as are acceptable to the Issuers, the Trustee and such Depositary. Thereupon the Issuers shall execute, and the Trustee or its agent upon receipt of an Issuer Order for the authentication and delivery of definitive Debt Securities of such series shall authenticate and deliver, without service charge, to each Person specified by such Depositary a new Debt Security or Securities of the same series of like tenor and terms and of any authorized denomination as requested by such Person in aggregate principal amount equal to and in exchange for such Person’s beneficial interest in the Global Security; and to such Depositary a new Global Security of like tenor and terms and in an authorized denomination equal to the difference, if any, between the principal amount of the surrendered Global Security and the aggregate principal amount of Debt Securities delivered to Holders thereof.</w:t>
      </w:r>
    </w:p>
    <w:p>
      <w:pPr>
        <w:spacing w:after="0" w:line="145" w:lineRule="exact"/>
        <w:rPr>
          <w:sz w:val="20"/>
          <w:szCs w:val="20"/>
          <w:color w:val="auto"/>
        </w:rPr>
      </w:pPr>
    </w:p>
    <w:p>
      <w:pPr>
        <w:ind w:left="280" w:right="459" w:firstLine="337"/>
        <w:spacing w:after="0" w:line="251" w:lineRule="auto"/>
        <w:rPr>
          <w:sz w:val="20"/>
          <w:szCs w:val="20"/>
          <w:color w:val="auto"/>
        </w:rPr>
      </w:pPr>
      <w:r>
        <w:rPr>
          <w:rFonts w:ascii="Times New Roman" w:cs="Times New Roman" w:eastAsia="Times New Roman" w:hAnsi="Times New Roman"/>
          <w:sz w:val="14"/>
          <w:szCs w:val="14"/>
          <w:color w:val="auto"/>
        </w:rPr>
        <w:t>In any exchange provided for in any of the preceding three paragraphs, the Issuers will execute and the Trustee or its agent will authenticate and deliver individual Debt Securities. Upon the exchange of the entire principal amount of a Global Security for individual Debt Securities, such Global Security shall be canceled by the Trustee or its agent. Except as provided in the preceding paragraph, Debt Securities issued in exchange for a Global Security pursuant to this Section 2.15 shall be registered in such names and in such authorized denominations as the Depositary for such Global Security, pursuant to instructions from its direct or indirect participants or otherwise, shall instruct the Trustee or the Registrar. The Trustee or the Registrar shall deliver such Debt Securities to the Persons in whose names such Debt Securities are so registered.</w:t>
      </w:r>
    </w:p>
    <w:p>
      <w:pPr>
        <w:spacing w:after="0" w:line="148"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Payments in respect of the principal of and interest on any Debt Securities registered in the name of the Depositary or its nominee will be payable to the Depositary or such nominee in its capacity as the registered owner of such Global Security. The Issuers and the Trustee may treat the Person in whose name the Debt Securities, including the Global Security, are registered as the owner thereof for the purpose of receiving such payments and for any and all other purposes whatsoever. None of the Issuers, the Trustee, any Registrar, the paying agent or any agent of the Issuers or the Trustee will have any responsibility or liability for any aspect of the records relating to or payments made on account of the beneficial ownership interests of the Global Security by the Depositary or its nominee or any of the Depositary’s direct or indirect participants, or for maintaining, supervising or reviewing any records of the Depositary, its nominee or any of its direct or indirect participants relating to the beneficial ownership interests of the Global Security, the payments to the beneficial owners of the Global Security of amounts paid to the Depositary or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113" w:name="page114"/>
    <w:bookmarkEnd w:id="113"/>
    <w:p>
      <w:pPr>
        <w:ind w:left="280" w:right="4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its nominee, or any other matter relating to the actions and practices of the Depositary, its nominee or any of its direct or indirect participants. None of the Issuers, the Trustee or any such agent will be liable for any delay by the Depositary, its nominee, or any of its direct or indirect participants in identifying the beneficial owners of the Debt Securities, and the Issuers and the Trustee may conclusively rely on, and will be protected in relying on, instructions from the Depositary or its nominee for all purposes (including with respect to the registration and delivery, and the respective principal amounts, of the Debt Securities to be issued).</w:t>
      </w:r>
    </w:p>
    <w:p>
      <w:pPr>
        <w:spacing w:after="0" w:line="144" w:lineRule="exact"/>
        <w:rPr>
          <w:sz w:val="20"/>
          <w:szCs w:val="20"/>
          <w:color w:val="auto"/>
        </w:rPr>
      </w:pPr>
    </w:p>
    <w:p>
      <w:pPr>
        <w:ind w:left="280" w:right="439" w:firstLine="337"/>
        <w:spacing w:after="0" w:line="249" w:lineRule="auto"/>
        <w:rPr>
          <w:sz w:val="20"/>
          <w:szCs w:val="20"/>
          <w:color w:val="auto"/>
        </w:rPr>
      </w:pPr>
      <w:r>
        <w:rPr>
          <w:rFonts w:ascii="Times New Roman" w:cs="Times New Roman" w:eastAsia="Times New Roman" w:hAnsi="Times New Roman"/>
          <w:sz w:val="14"/>
          <w:szCs w:val="14"/>
          <w:color w:val="auto"/>
        </w:rPr>
        <w:t xml:space="preserve">Section 2.16 </w:t>
      </w:r>
      <w:r>
        <w:rPr>
          <w:rFonts w:ascii="Times New Roman" w:cs="Times New Roman" w:eastAsia="Times New Roman" w:hAnsi="Times New Roman"/>
          <w:sz w:val="14"/>
          <w:szCs w:val="14"/>
          <w:u w:val="single" w:color="auto"/>
          <w:color w:val="auto"/>
        </w:rPr>
        <w:t>Medium Term Securities</w:t>
      </w:r>
      <w:r>
        <w:rPr>
          <w:rFonts w:ascii="Times New Roman" w:cs="Times New Roman" w:eastAsia="Times New Roman" w:hAnsi="Times New Roman"/>
          <w:sz w:val="14"/>
          <w:szCs w:val="14"/>
          <w:color w:val="auto"/>
        </w:rPr>
        <w:t xml:space="preserve">. Notwithstanding any contrary provision herein, if all Debt Securities of a series are not to be originally issued at one time, it shall not be necessary for each of the Issuers to deliver to the Trustee an Officers’ Certificate, resolutions of each such Issuer’s Board of Directors, supplemental Indenture, Opinion of Counsel or written order or any other document otherwise required pursuant to Section 2.01, 2.03, 2.05 or 13.05 at or prior to the time of authentication of each Debt Security of such series if such documents are delivered to the Trustee or its agent at or prior to the authentication upon original issuance of the first such Debt Security of such series to be issued;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subsequent request by the Issuers to the Trustee to authenticate Debt Securities of such series upon original issuance shall constitute a representation and warranty by the Issuers that, as of the date of such request, the statements made in the Officers’ Certificate delivered pursuant to Section 2.05 or 13.05 shall be true and correct as if made on such date and that the Opinion of Counsel delivered at or prior to such time of authentication of an original issuance of Debt Securities shall specifically state that it shall relate to all subsequent issuances of Debt Securities of such series that are identical to the Debt Securities issued in the first issuance of Debt Securities of such series.</w:t>
      </w:r>
    </w:p>
    <w:p>
      <w:pPr>
        <w:spacing w:after="0" w:line="150"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An Issuer Order delivered by the Issuers to the Trustee in the circumstances set forth in the preceding paragraph, may provide that Debt Securities which are the subject thereof will be authenticated and delivered by the Trustee or its agent on original issue from time to time upon the telephonic or written order of Persons designated in such written order (any such telephonic instructions to be promptly confirmed in writing by such Person) and that such Persons are authorized to determine, consistent with the Officers’ Certificate, supplemental Indenture or resolution of the Board of Directors relating to such written order, such terms and conditions of such Debt Securities as are specified in such Officers’ Certificate, supplemental Indenture or such resolution.</w:t>
      </w:r>
    </w:p>
    <w:p>
      <w:pPr>
        <w:spacing w:after="0" w:line="148" w:lineRule="exact"/>
        <w:rPr>
          <w:sz w:val="20"/>
          <w:szCs w:val="20"/>
          <w:color w:val="auto"/>
        </w:rPr>
      </w:pPr>
    </w:p>
    <w:p>
      <w:pPr>
        <w:ind w:left="280" w:right="47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2.17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 Any interest on any Debt Security of a particular series which is payable, but is not punctually paid or duly provided for, on the dates and in the manner provided in the Debt Securities of such series and in this Indenture (herein called “</w:t>
      </w:r>
      <w:r>
        <w:rPr>
          <w:rFonts w:ascii="Times New Roman" w:cs="Times New Roman" w:eastAsia="Times New Roman" w:hAnsi="Times New Roman"/>
          <w:sz w:val="14"/>
          <w:szCs w:val="14"/>
          <w:b w:val="1"/>
          <w:bCs w:val="1"/>
          <w:color w:val="auto"/>
        </w:rPr>
        <w:t>Defaulted Interest</w:t>
      </w:r>
      <w:r>
        <w:rPr>
          <w:rFonts w:ascii="Times New Roman" w:cs="Times New Roman" w:eastAsia="Times New Roman" w:hAnsi="Times New Roman"/>
          <w:sz w:val="14"/>
          <w:szCs w:val="14"/>
          <w:color w:val="auto"/>
        </w:rPr>
        <w:t>”) shall forthwith cease to be payable to the Holder thereof on the relevant record date by virtue of having been such Holder, and such Defaulted Interest may be paid by the Issuers, at their election in each case, as provided in clause (i) or (ii) below:</w:t>
      </w:r>
    </w:p>
    <w:p>
      <w:pPr>
        <w:spacing w:after="0" w:line="60" w:lineRule="exact"/>
        <w:rPr>
          <w:sz w:val="20"/>
          <w:szCs w:val="20"/>
          <w:color w:val="auto"/>
        </w:rPr>
      </w:pPr>
    </w:p>
    <w:p>
      <w:pPr>
        <w:ind w:left="280" w:right="359" w:firstLine="764"/>
        <w:spacing w:after="0" w:line="255" w:lineRule="auto"/>
        <w:tabs>
          <w:tab w:leader="none" w:pos="120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may elect to make payment of any Defaulted Interest to the Persons in whose names the Debt Securities of such series are registered at the close of business on a special record date for the payment of such Defaulted Interest, which shall be fixed in the following manner. The Issuers shall notify the Trustee in writing of the amount of Defaulted Interest proposed to be paid on each such Debt Security of such series and the date of the proposed payment, and at the same time the Issuers shall deposit with the Trustee an amount of money equal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114" w:name="page115"/>
    <w:bookmarkEnd w:id="114"/>
    <w:p>
      <w:pPr>
        <w:ind w:left="280" w:right="29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Issuers of such special record date and, in the name and at the expense of the Issuers, shall cause notice of the proposed payment of such Defaulted Interest and the special record date therefor to be mailed, first class postage pre-paid, to each Holder thereof at its address as it appears in the Debt Security Register, not less than 10 days prior to such special record date. Notice of the proposed payment of such Defaulted Interest and the special record date therefor having been so mailed, such Defaulted Interest shall be paid to the Persons in whose names the Debt Securities of such series are registered at the close of business on such special record date.</w:t>
      </w:r>
    </w:p>
    <w:p>
      <w:pPr>
        <w:spacing w:after="0" w:line="135" w:lineRule="exact"/>
        <w:rPr>
          <w:sz w:val="20"/>
          <w:szCs w:val="20"/>
          <w:color w:val="auto"/>
        </w:rPr>
      </w:pPr>
    </w:p>
    <w:p>
      <w:pPr>
        <w:ind w:left="280" w:right="339" w:firstLine="764"/>
        <w:spacing w:after="0" w:line="255" w:lineRule="auto"/>
        <w:tabs>
          <w:tab w:leader="none" w:pos="124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may make payment of any Defaulted Interest on the Debt Securities of such series in any other lawful manner not inconsistent with the requirements of any securities exchange on which the Debt Securities of such series may be listed, and upon such notice as may be required by such exchange, if, after notice given by the Issuers to the Trustee of the proposed payment pursuant to this clause, such manner of payment shall be deemed practicable by the Trustee.</w:t>
      </w:r>
    </w:p>
    <w:p>
      <w:pPr>
        <w:spacing w:after="0" w:line="139" w:lineRule="exact"/>
        <w:rPr>
          <w:sz w:val="20"/>
          <w:szCs w:val="20"/>
          <w:color w:val="auto"/>
        </w:rPr>
      </w:pPr>
    </w:p>
    <w:p>
      <w:pPr>
        <w:ind w:left="280" w:right="299" w:firstLine="337"/>
        <w:spacing w:after="0" w:line="254" w:lineRule="auto"/>
        <w:rPr>
          <w:sz w:val="20"/>
          <w:szCs w:val="20"/>
          <w:color w:val="auto"/>
        </w:rPr>
      </w:pPr>
      <w:r>
        <w:rPr>
          <w:rFonts w:ascii="Times New Roman" w:cs="Times New Roman" w:eastAsia="Times New Roman" w:hAnsi="Times New Roman"/>
          <w:sz w:val="14"/>
          <w:szCs w:val="14"/>
          <w:color w:val="auto"/>
        </w:rPr>
        <w:t xml:space="preserve">Section 2.18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 The Issuers in issuing the Debt Securities may use “</w:t>
      </w:r>
      <w:r>
        <w:rPr>
          <w:rFonts w:ascii="Times New Roman" w:cs="Times New Roman" w:eastAsia="Times New Roman" w:hAnsi="Times New Roman"/>
          <w:sz w:val="14"/>
          <w:szCs w:val="14"/>
          <w:b w:val="1"/>
          <w:bCs w:val="1"/>
          <w:color w:val="auto"/>
        </w:rPr>
        <w:t>CUSIP</w:t>
      </w:r>
      <w:r>
        <w:rPr>
          <w:rFonts w:ascii="Times New Roman" w:cs="Times New Roman" w:eastAsia="Times New Roman" w:hAnsi="Times New Roman"/>
          <w:sz w:val="14"/>
          <w:szCs w:val="14"/>
          <w:color w:val="auto"/>
        </w:rPr>
        <w:t>” numbers (if then generally in use), and, if so, the Trustee shall use “</w:t>
      </w:r>
      <w:r>
        <w:rPr>
          <w:rFonts w:ascii="Times New Roman" w:cs="Times New Roman" w:eastAsia="Times New Roman" w:hAnsi="Times New Roman"/>
          <w:sz w:val="14"/>
          <w:szCs w:val="14"/>
          <w:b w:val="1"/>
          <w:bCs w:val="1"/>
          <w:color w:val="auto"/>
        </w:rPr>
        <w:t>CUSIP</w:t>
      </w:r>
      <w:r>
        <w:rPr>
          <w:rFonts w:ascii="Times New Roman" w:cs="Times New Roman" w:eastAsia="Times New Roman" w:hAnsi="Times New Roman"/>
          <w:sz w:val="14"/>
          <w:szCs w:val="14"/>
          <w:color w:val="auto"/>
        </w:rPr>
        <w:t xml:space="preserve">” numbers in notices of redemption as a convenience to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notice may state that no representation is made as to the accuracy of such numbers either as printed on the Debt Securities or as contained in any notice of a redemption and that reliance may be placed only on the other identification numbers printed on the Debt Securities, and any such redemption shall not be affected by any defect in or omission of such numbers. The Issuers will promptly notify the Trustee in writing of any change in the “</w:t>
      </w:r>
      <w:r>
        <w:rPr>
          <w:rFonts w:ascii="Times New Roman" w:cs="Times New Roman" w:eastAsia="Times New Roman" w:hAnsi="Times New Roman"/>
          <w:sz w:val="14"/>
          <w:szCs w:val="14"/>
          <w:b w:val="1"/>
          <w:bCs w:val="1"/>
          <w:color w:val="auto"/>
        </w:rPr>
        <w:t>CUSIP</w:t>
      </w:r>
      <w:r>
        <w:rPr>
          <w:rFonts w:ascii="Times New Roman" w:cs="Times New Roman" w:eastAsia="Times New Roman" w:hAnsi="Times New Roman"/>
          <w:sz w:val="14"/>
          <w:szCs w:val="14"/>
          <w:color w:val="auto"/>
        </w:rPr>
        <w:t>” numbers.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DEBT SECURITIES</w:t>
      </w:r>
    </w:p>
    <w:p>
      <w:pPr>
        <w:spacing w:after="0" w:line="157" w:lineRule="exact"/>
        <w:rPr>
          <w:sz w:val="20"/>
          <w:szCs w:val="20"/>
          <w:color w:val="auto"/>
        </w:rPr>
      </w:pPr>
    </w:p>
    <w:p>
      <w:pPr>
        <w:ind w:left="280" w:right="41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 The provisions of this Article shall be applicable to the Debt Securities of any series which are redeemable before their Stated Maturity except as otherwise specified as contemplated by Section 2.03 for Debt Securities of such series.</w:t>
      </w:r>
    </w:p>
    <w:p>
      <w:pPr>
        <w:spacing w:after="0" w:line="130"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Notice of Redemption; Selection of Debt Securities</w:t>
      </w:r>
      <w:r>
        <w:rPr>
          <w:rFonts w:ascii="Times New Roman" w:cs="Times New Roman" w:eastAsia="Times New Roman" w:hAnsi="Times New Roman"/>
          <w:sz w:val="14"/>
          <w:szCs w:val="14"/>
          <w:color w:val="auto"/>
        </w:rPr>
        <w:t>. In case the Issuers shall desire to exercise the right to redeem all or, as the case may be, any part of the Debt Securities of any series in accordance with their terms, by resolution of the Board of Directors of each Issuer or a supplemental Indenture, the Issuers shall fix a date for redemption and shall give notice of such redemption at least 15 (or such shorter period as may be acceptable to the Trustee) and not more than 60 days prior to the date fixed for redemption to the Holders of Debt Securities of such series so to be redeemed as a whole or in part, in the manner provided in Section 13.03. The notice if given in the manner herein provided shall be conclusively presumed to have been duly given, whether or not the Holder receives such notice. In any case, failure to give such notice or any defect in the notice to the Holder of any Debt Security of a series designated for redemption as a whole or in part shall not affect the validity of the proceedings for the redemption of any other Debt Security of such series.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115" w:name="page116"/>
    <w:bookmarkEnd w:id="115"/>
    <w:p>
      <w:pPr>
        <w:ind w:left="280" w:right="339" w:firstLine="337"/>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Each such notice of redemption shall specify (i) the date fixed for redemption, (ii) the redemption price at which Debt Securities of such series are to be redeemed (or the method of calculating such redemption price), (iii) the Place or Places of Payment that payment will be made upon presentation and surrender of such Debt Securities, (iv) that any interest accrued to the date fixed for redemption will be paid as specified in said notice, (v) that the redemption is for a sinking fund payment (if applicable), (vi) that, unless otherwise specified in such notice, if the Issuers default in making such redemption payment the paying agent is prohibited from making such payment pursuant to the terms of this Indenture, (vii) that on and after said date any interest thereon or on the portions thereof to be redeemed will cease to accrue, (viii) that in the case of Original Issue Discount Securities original issue discount accrued after the date fixed for redemption will cease to accrue, (ix) the terms of the Debt Securities of that series pursuant to which the Debt Securities of that series are being redeemed and (x) that no representation is made as to the correctness or accuracy of the CUSIP number, if any, listed in such notice or printed on the Debt Securities of that series. If less than all the Debt Securities of a series are to be redeemed the notice of redemption shall specify the certificate numbers of any Debt Securities of that series to be redeemed that are not in global form. In case any Debt Security of a series is to be redeemed in part only, the notice of redemption shall state the portion of the principal amount thereof to be redeemed and shall state that on and after the date fixed for redemption, upon surrender of such Debt Security, a new Debt Security or Debt Securities of that series in principal amount equal to the unredeemed portion thereof, will be issued.</w:t>
      </w:r>
    </w:p>
    <w:p>
      <w:pPr>
        <w:spacing w:after="0" w:line="154" w:lineRule="exact"/>
        <w:rPr>
          <w:sz w:val="20"/>
          <w:szCs w:val="20"/>
          <w:color w:val="auto"/>
        </w:rPr>
      </w:pPr>
    </w:p>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t>At least five days before the giving of any notice of redemption, unless the Trustee consents to a shorter period, the Issuers shall give written notice to the Trustee of the Redemption Date, the aggregate principal amount of Debt Securities to be redeemed and the series and terms of the Debt Securities pursuant to which such redemption will occur. Such notice shall be accompanied by an Officers’ Certificate and an Opinion of Counsel from the Issuers to the effect that such redemption will comply with the conditions herein, and such notice may be revoked at any time prior to the giving of a notice of redemption to the Holders pursuant to this Section 3.02. If fewer than all the Debt Securities of a series are to be redeemed, the record date relating to such redemption shall be selected by the Issuers and given in writing to the Trustee, which record date shall be not less than three days after the date of notice to the Trustee.</w:t>
      </w:r>
    </w:p>
    <w:p>
      <w:pPr>
        <w:spacing w:after="0" w:line="145" w:lineRule="exact"/>
        <w:rPr>
          <w:sz w:val="20"/>
          <w:szCs w:val="20"/>
          <w:color w:val="auto"/>
        </w:rPr>
      </w:pPr>
    </w:p>
    <w:p>
      <w:pPr>
        <w:ind w:left="280" w:right="479" w:firstLine="337"/>
        <w:spacing w:after="0" w:line="255" w:lineRule="auto"/>
        <w:rPr>
          <w:sz w:val="20"/>
          <w:szCs w:val="20"/>
          <w:color w:val="auto"/>
        </w:rPr>
      </w:pPr>
      <w:r>
        <w:rPr>
          <w:rFonts w:ascii="Times New Roman" w:cs="Times New Roman" w:eastAsia="Times New Roman" w:hAnsi="Times New Roman"/>
          <w:sz w:val="14"/>
          <w:szCs w:val="14"/>
          <w:color w:val="auto"/>
        </w:rPr>
        <w:t>By 11:00 a.m., New York City time, on the Redemption Date for any Debt Securities, the Issuers shall deposit with the Trustee or with a paying agent (or, if an Issuer is acting as its own paying agent, segregate and hold in trust) an amount of money in Dollars (except as provided pursuant to Section 2.03) sufficient to pay the redemption price of such Debt Securities or any portions thereof that are to be redeemed on that date, together with any interest accrued to the Redemption Date.</w:t>
      </w:r>
    </w:p>
    <w:p>
      <w:pPr>
        <w:spacing w:after="0" w:line="143" w:lineRule="exact"/>
        <w:rPr>
          <w:sz w:val="20"/>
          <w:szCs w:val="20"/>
          <w:color w:val="auto"/>
        </w:rPr>
      </w:pPr>
    </w:p>
    <w:p>
      <w:pPr>
        <w:ind w:left="280" w:right="479" w:firstLine="337"/>
        <w:spacing w:after="0" w:line="259" w:lineRule="auto"/>
        <w:rPr>
          <w:sz w:val="20"/>
          <w:szCs w:val="20"/>
          <w:color w:val="auto"/>
        </w:rPr>
      </w:pPr>
      <w:r>
        <w:rPr>
          <w:rFonts w:ascii="Times New Roman" w:cs="Times New Roman" w:eastAsia="Times New Roman" w:hAnsi="Times New Roman"/>
          <w:sz w:val="14"/>
          <w:szCs w:val="14"/>
          <w:color w:val="auto"/>
        </w:rPr>
        <w:t>If less than all the Debt Securities of like tenor and terms of a series are to be redeemed (other than pursuant to mandatory sinking fund redemptions), the Trustee shall select, on a pro rata basis, by lot or by such other method as in its sole discretion it shall deem appropriate and fair, the Debt Securities of that series or portions thereof (in multiples of $1,000) to be redeemed. In any</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116" w:name="page117"/>
    <w:bookmarkEnd w:id="116"/>
    <w:p>
      <w:pPr>
        <w:ind w:left="28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case where more than one Debt Security of such series is registered in the same name, the Trustee in its discretion may treat the aggregate principal amount so registered as if it were represented by one Debt Security of such series. The Trustee shall promptly notify the Issuers in writing of the Debt Securities selected for redemption and, in the case of any Debt Securities selected for partial redemption, the principal amount thereof to be redeemed. If any Debt Security called for redemption shall not be so paid upon surrender thereof on such Redemption Date, the principal, premium, if any, and interest shall bear interest until paid from the Redemption Date at the rate borne by the Debt Securities of that series. If less than all the Debt Securities of unlike tenor and terms of a series are to be redeemed, the particular Debt Securities to be redeemed shall be selected by the Issuers. Provisions of this Indenture that apply to Debt Securities called for redemption also apply to portions of Debt Securities called for redemption.</w:t>
      </w:r>
    </w:p>
    <w:p>
      <w:pPr>
        <w:spacing w:after="0" w:line="145" w:lineRule="exact"/>
        <w:rPr>
          <w:sz w:val="20"/>
          <w:szCs w:val="20"/>
          <w:color w:val="auto"/>
        </w:rPr>
      </w:pPr>
    </w:p>
    <w:p>
      <w:pPr>
        <w:ind w:left="280" w:right="339" w:firstLine="337"/>
        <w:spacing w:after="0" w:line="272" w:lineRule="auto"/>
        <w:rPr>
          <w:sz w:val="20"/>
          <w:szCs w:val="20"/>
          <w:color w:val="auto"/>
        </w:rPr>
      </w:pPr>
      <w:r>
        <w:rPr>
          <w:rFonts w:ascii="Times New Roman" w:cs="Times New Roman" w:eastAsia="Times New Roman" w:hAnsi="Times New Roman"/>
          <w:sz w:val="13"/>
          <w:szCs w:val="13"/>
          <w:color w:val="auto"/>
        </w:rPr>
        <w:t xml:space="preserve">Section 3.03 </w:t>
      </w:r>
      <w:r>
        <w:rPr>
          <w:rFonts w:ascii="Times New Roman" w:cs="Times New Roman" w:eastAsia="Times New Roman" w:hAnsi="Times New Roman"/>
          <w:sz w:val="13"/>
          <w:szCs w:val="13"/>
          <w:u w:val="single" w:color="auto"/>
          <w:color w:val="auto"/>
        </w:rPr>
        <w:t>Payment of Debt Securities Called for Redemption</w:t>
      </w:r>
      <w:r>
        <w:rPr>
          <w:rFonts w:ascii="Times New Roman" w:cs="Times New Roman" w:eastAsia="Times New Roman" w:hAnsi="Times New Roman"/>
          <w:sz w:val="13"/>
          <w:szCs w:val="13"/>
          <w:color w:val="auto"/>
        </w:rPr>
        <w:t>. If notice of redemption has been given as provided in Section 3.02, the Debt Securities or portions of Debt Securities of the series with respect to which such notice has been given shall become due and payable on the date and at the Place or Places of Payment stated in such notice at the applicable redemption price, together with any interest accrued to the date fixed for redemption, and on and after said date (unless the Issuers shall default in the payment of such Debt Securities at the applicable redemption price, together with any interest accrued to said date) any interest on the Debt Securities or portions of Debt Securities of any series so called for redemption shall cease to accrue, and any original issue discount in the case of Original Issue Discount Securities shall cease to accrue. On presentation and surrender of such Debt Securities at the Place or Places of Payment in said notice specified, the said Debt Securities or the specified portions thereof shall be paid and redeemed by the Issuers at the applicable redemption price, together with any interest accrued thereon to the date fixed for redemption.</w:t>
      </w:r>
    </w:p>
    <w:p>
      <w:pPr>
        <w:spacing w:after="0" w:line="134" w:lineRule="exact"/>
        <w:rPr>
          <w:sz w:val="20"/>
          <w:szCs w:val="20"/>
          <w:color w:val="auto"/>
        </w:rPr>
      </w:pPr>
    </w:p>
    <w:p>
      <w:pPr>
        <w:ind w:left="280" w:right="319" w:firstLine="337"/>
        <w:spacing w:after="0" w:line="249" w:lineRule="auto"/>
        <w:rPr>
          <w:sz w:val="20"/>
          <w:szCs w:val="20"/>
          <w:color w:val="auto"/>
        </w:rPr>
      </w:pPr>
      <w:r>
        <w:rPr>
          <w:rFonts w:ascii="Times New Roman" w:cs="Times New Roman" w:eastAsia="Times New Roman" w:hAnsi="Times New Roman"/>
          <w:sz w:val="14"/>
          <w:szCs w:val="14"/>
          <w:color w:val="auto"/>
        </w:rPr>
        <w:t>Any Debt Security that is to be redeemed only in part shall be surrendered at the Place of Payment with, if the Issuers, the Registrar or the Trustee so requires, due endorsement by, or a written instrument of transfer in form satisfactory to the Issuers, the Registrar and the Trustee duly executed by, the Holder thereof or his attorney duly authorized in writing, and the Issuers shall execute, and the Trustee shall authenticate and deliver to the Holder of such Debt Security without service charge, a new Debt Security or Debt Securities of the same series, of like tenor and form, of any authorized denomination as requested by such Holder in aggregate principal amount equal to and in exchange for the unredeemed portion of the principal of the Debt Security so surrendered; except that if a Global Security is so surrendered, the Issuers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Debt Security providing appropriate space for such notation, at the option of the Holder thereof, the Trustee, in lieu of delivering a new Debt Security or Debt Securities as aforesaid, may make a notation on such Debt Security of the payment of the redeemed portion thereof.</w:t>
      </w:r>
    </w:p>
    <w:p>
      <w:pPr>
        <w:spacing w:after="0" w:line="150"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Mandatory and Optional Sinking Funds</w:t>
      </w:r>
      <w:r>
        <w:rPr>
          <w:rFonts w:ascii="Times New Roman" w:cs="Times New Roman" w:eastAsia="Times New Roman" w:hAnsi="Times New Roman"/>
          <w:sz w:val="14"/>
          <w:szCs w:val="14"/>
          <w:color w:val="auto"/>
        </w:rPr>
        <w:t>. The minimum amount of any sinking fund payment provided for by the terms of Debt Securities of any series, resolution of the Board of Directors or a supplemental Indenture is herein referred to as a “mandatory sinking fund payment,” and any payment in excess of such minimum amount provided for by the terms of Debt Securities of any series, resolution of the Board of Directors or a supplemental Indenture is herein referred to as an “optional sinking fund payment.”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117" w:name="page118"/>
    <w:bookmarkEnd w:id="117"/>
    <w:p>
      <w:pPr>
        <w:ind w:left="280" w:right="29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In lieu of making all or any part of any mandatory sinking fund payment with respect to any Debt Securities of a series in cash, the Issuers may at their option (a) deliver to the Trustee Debt Securities of that series theretofore purchased or otherwise acquired by the Issuers or (b) receive credit for the principal amount of Debt Securities of that series which have been redeemed either at the election of the Issuers pursuant to the terms of such Debt Securities or through the application of permitted optional sinking fund payments pursuant to the terms of such Debt Securities, resolution or supplemental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Debt Securities have not been previously so credited. Such Debt Securities shall be received and credited for such purpose by the Trustee at the redemption price specified in such Debt Securities, resolution or supplemental Indenture for redemption through operation of the sinking fund and the amount of such mandatory sinking fund payment shall be reduced accordingly.</w:t>
      </w:r>
    </w:p>
    <w:p>
      <w:pPr>
        <w:spacing w:after="0" w:line="145"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 xml:space="preserve">Section 3.05 </w:t>
      </w:r>
      <w:r>
        <w:rPr>
          <w:rFonts w:ascii="Times New Roman" w:cs="Times New Roman" w:eastAsia="Times New Roman" w:hAnsi="Times New Roman"/>
          <w:sz w:val="14"/>
          <w:szCs w:val="14"/>
          <w:u w:val="single" w:color="auto"/>
          <w:color w:val="auto"/>
        </w:rPr>
        <w:t>Redemption of Debt Securities for Sinking Fund</w:t>
      </w:r>
      <w:r>
        <w:rPr>
          <w:rFonts w:ascii="Times New Roman" w:cs="Times New Roman" w:eastAsia="Times New Roman" w:hAnsi="Times New Roman"/>
          <w:sz w:val="14"/>
          <w:szCs w:val="14"/>
          <w:color w:val="auto"/>
        </w:rPr>
        <w:t>. Not less than 60 days prior to each sinking fund payment date for any series of Debt Securities, the Issuers will deliver to the Trustee an Officers’ Certificate specifying the amount of the next ensuing sinking fund payment for that series pursuant to the terms of that series, any resolution or supplemental Indenture, the portion thereof, if any, which is to be satisfied by payment of cash and the portion thereof, if any, which is to be satisfied by delivering and crediting Debt Securities of that series pursuant to this Section 3.05 (which Debt Securities, if not previously redeemed, will accompany such certificate) and whether the Issuers intend to exercise its right to make any permitted optional sinking fund payment with respect to such series. Such certificate shall also state that no Event of Default has occurred and is continuing with respect to such series. Such certificate shall be irrevocable and upon its delivery the Issuers shall be obligated to make the cash payment or payments therein referred to, if any, by 11 a.m., New York City time, on the next succeeding sinking fund payment date. Failure of the Issuers to deliver such certificate (or to deliver the Debt Securities specified in this paragraph) shall not constitute a Default, but such failure shall require that the sinking fund payment due on the next succeeding sinking fund payment date for that series shall be paid entirely in cash and shall be sufficient to redeem the principal amount of such Debt Securities subject to a mandatory sinking fund payment without the option to deliver or credit Debt Securities as provided in this Section 3.05 and without the right to make any optional sinking fund payment, if any, with respect to such series.</w:t>
      </w:r>
    </w:p>
    <w:p>
      <w:pPr>
        <w:spacing w:after="0" w:line="147" w:lineRule="exact"/>
        <w:rPr>
          <w:sz w:val="20"/>
          <w:szCs w:val="20"/>
          <w:color w:val="auto"/>
        </w:rPr>
      </w:pPr>
    </w:p>
    <w:p>
      <w:pPr>
        <w:ind w:left="280" w:right="319" w:firstLine="337"/>
        <w:spacing w:after="0" w:line="250" w:lineRule="auto"/>
        <w:rPr>
          <w:sz w:val="20"/>
          <w:szCs w:val="20"/>
          <w:color w:val="auto"/>
        </w:rPr>
      </w:pPr>
      <w:r>
        <w:rPr>
          <w:rFonts w:ascii="Times New Roman" w:cs="Times New Roman" w:eastAsia="Times New Roman" w:hAnsi="Times New Roman"/>
          <w:sz w:val="14"/>
          <w:szCs w:val="14"/>
          <w:color w:val="auto"/>
        </w:rPr>
        <w:t>Any sinking fund payment or payments (mandatory or optional) made in cash plus any unused balance of any preceding sinking fund payments made in cash which shall equal or exceed $100,000 (or a lesser sum if the Issuers shall so request) with respect to the Debt Securities of any particular series shall be applied by the Trustee on the sinking fund payment date on which such payment is made (or, if such payment is made before a sinking fund payment date, on the sinking fund payment date following the date of such payment) to the redemption of such Debt Securities at the redemption price specified in such Debt Securities, resolution or supplemental Indenture for operation of the sinking fund together with any accrued interest to the date fixed for redemption. Any sinking fund moneys not so applied or allocated by the Trustee to the redemption of Debt Securities shall be added to the next cash sinking fund payment received by the Trustee for such series and, together with such payment, shall be applied in accordance with the provisions of this Section 3.05. Any and all sinking fund moneys with respect to the Debt Securities of any particular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118" w:name="page119"/>
    <w:bookmarkEnd w:id="118"/>
    <w:p>
      <w:pPr>
        <w:ind w:left="280" w:right="63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series held by the Trustee on the last sinking fund payment date with respect to Debt Securities of such series and not held for the payment or redemption of particular Debt Securities shall be applied by the Trustee, together with other moneys, if necessary, to be deposited sufficient for the purpose, to the payment of the principal of the Debt Securities of that series at its Stated Maturity.</w:t>
      </w:r>
    </w:p>
    <w:p>
      <w:pPr>
        <w:spacing w:after="0" w:line="141"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The Trustee shall select the Debt Securities to be redeemed upon such sinking fund payment date in the manner specified in the last paragraph of Section 3.02 and the Issuers shall cause notice of the redemption thereof to be given in the manner provided in Section 3.02 except that the notice of redemption shall also state that the Debt Securities are being redeemed by operation of the sinking fund. Such notice having been duly given, the redemption of such Debt Securities shall be made upon the terms and in the manner stated in Section 3.03.</w:t>
      </w:r>
    </w:p>
    <w:p>
      <w:pPr>
        <w:spacing w:after="0" w:line="143"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 xml:space="preserve">The Trustee shall not redeem any Debt Securities of a series with sinking fund moneys or mail any notice of redemption of such Debt Securities by operation of the sinking fund for such series during the continuance of a Default in payment of interest on such Debt Securities or of any Event of Default (other than an Event of Default occurring as a consequence of this paragraph) with respect to such Debt Securities, except that if the notice of redemption of any such Debt Securities shall theretofore have been mailed in accordance with the provisions hereof, the Trustee shall redeem such Debt Securities if cash sufficient for that purpose shall be deposited with the Trustee for that purpose in accordance with the terms of this Article III.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such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case such Default or Event of Default shall have been cured or waived as provided herein, such moneys shall thereafter be applied on the next sinking fund payment date for such Debt Securities on which such moneys may be applied pursuant to the provisions of this Section 3.05.</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PARTICULAR COVENANTS OF THE ISSUERS</w:t>
      </w:r>
    </w:p>
    <w:p>
      <w:pPr>
        <w:spacing w:after="0" w:line="157" w:lineRule="exact"/>
        <w:rPr>
          <w:sz w:val="20"/>
          <w:szCs w:val="20"/>
          <w:color w:val="auto"/>
        </w:rPr>
      </w:pPr>
    </w:p>
    <w:p>
      <w:pPr>
        <w:ind w:left="280" w:right="47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Payment of Principal of, and Premium, If Any, and Interest on, Debt Securities</w:t>
      </w:r>
      <w:r>
        <w:rPr>
          <w:rFonts w:ascii="Times New Roman" w:cs="Times New Roman" w:eastAsia="Times New Roman" w:hAnsi="Times New Roman"/>
          <w:sz w:val="14"/>
          <w:szCs w:val="14"/>
          <w:color w:val="auto"/>
        </w:rPr>
        <w:t>. The Issuers, for the benefit of each series of Debt Securities, will duly and punctually pay or cause to be paid the principal of, and premium, if any, and interest on, each of the Debt Securities at the place, at the respective times and in the manner provided herein or in the Debt Securities. Each installment of interest on any Debt Securities not in global form may at the Issuers’ option be paid by mailing checks for such interest payable to the Person entitled thereto pursuant to Section 2.07(a) to the address of such Person as it appears on the Debt Security Register.</w:t>
      </w:r>
    </w:p>
    <w:p>
      <w:pPr>
        <w:spacing w:after="0" w:line="144" w:lineRule="exact"/>
        <w:rPr>
          <w:sz w:val="20"/>
          <w:szCs w:val="20"/>
          <w:color w:val="auto"/>
        </w:rPr>
      </w:pPr>
    </w:p>
    <w:p>
      <w:pPr>
        <w:jc w:val="both"/>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Principal of and premium and interest on Debt Securities of any series shall be considered paid on the date due if, by 11:00 a.m., New York City time, on such date the Trustee or any paying agent holds in accordance with this Indenture money sufficient to pay all principal, premium and interest then due.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119" w:name="page120"/>
    <w:bookmarkEnd w:id="119"/>
    <w:p>
      <w:pPr>
        <w:ind w:left="280" w:right="659" w:firstLine="337"/>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Issuers shall pay interest on overdue principal or premium, if any, at the rate specified therefor in the Debt Securities, and they shall pay interest on overdue installments of interest at the same rate to the extent lawful.</w:t>
      </w:r>
    </w:p>
    <w:p>
      <w:pPr>
        <w:spacing w:after="0" w:line="130" w:lineRule="exact"/>
        <w:rPr>
          <w:sz w:val="20"/>
          <w:szCs w:val="20"/>
          <w:color w:val="auto"/>
        </w:rPr>
      </w:pPr>
    </w:p>
    <w:p>
      <w:pPr>
        <w:ind w:left="280" w:right="339" w:firstLine="337"/>
        <w:spacing w:after="0" w:line="272" w:lineRule="auto"/>
        <w:rPr>
          <w:sz w:val="20"/>
          <w:szCs w:val="20"/>
          <w:color w:val="auto"/>
        </w:rPr>
      </w:pPr>
      <w:r>
        <w:rPr>
          <w:rFonts w:ascii="Times New Roman" w:cs="Times New Roman" w:eastAsia="Times New Roman" w:hAnsi="Times New Roman"/>
          <w:sz w:val="13"/>
          <w:szCs w:val="13"/>
          <w:color w:val="auto"/>
        </w:rPr>
        <w:t xml:space="preserve">Section 4.02 </w:t>
      </w:r>
      <w:r>
        <w:rPr>
          <w:rFonts w:ascii="Times New Roman" w:cs="Times New Roman" w:eastAsia="Times New Roman" w:hAnsi="Times New Roman"/>
          <w:sz w:val="13"/>
          <w:szCs w:val="13"/>
          <w:u w:val="single" w:color="auto"/>
          <w:color w:val="auto"/>
        </w:rPr>
        <w:t>Maintenance of Offices or Agencies for Registration of Transfer, Exchange and Payment of Debt Securities</w:t>
      </w:r>
      <w:r>
        <w:rPr>
          <w:rFonts w:ascii="Times New Roman" w:cs="Times New Roman" w:eastAsia="Times New Roman" w:hAnsi="Times New Roman"/>
          <w:sz w:val="13"/>
          <w:szCs w:val="13"/>
          <w:color w:val="auto"/>
        </w:rPr>
        <w:t>. The Issuers will maintain in each Place of Payment for any series of Debt Securities an office or agency where Debt Securities of such series may be presented or surrendered for payment, and they shall also maintain (in or outside such Place of Payment) an office or agency where Debt Securities of such series may be surrendered for transfer or exchange and where notices and demands to or upon the Issuers in respect of the Debt Securities of such series and this Indenture may be served. The Issuers will give prompt written notice to the Trustee of the location, and any change in the location, of such office or agency. If at any time the Issuers shall fail to maintain any such required office or agency or shall fail to furnish the Trustee with the address thereof, such presentations, surrenders, notices and demands may be made or served at the office of the Trustee where its corporate trust business is principally administered in the United States, and the Issuers hereby appoint the Trustee as their agent to receive all presentations, surrenders, notices and demands.</w:t>
      </w:r>
    </w:p>
    <w:p>
      <w:pPr>
        <w:spacing w:after="0" w:line="134" w:lineRule="exact"/>
        <w:rPr>
          <w:sz w:val="20"/>
          <w:szCs w:val="20"/>
          <w:color w:val="auto"/>
        </w:rPr>
      </w:pPr>
    </w:p>
    <w:p>
      <w:pPr>
        <w:ind w:left="280" w:right="379" w:firstLine="337"/>
        <w:spacing w:after="0" w:line="255" w:lineRule="auto"/>
        <w:rPr>
          <w:sz w:val="20"/>
          <w:szCs w:val="20"/>
          <w:color w:val="auto"/>
        </w:rPr>
      </w:pPr>
      <w:r>
        <w:rPr>
          <w:rFonts w:ascii="Times New Roman" w:cs="Times New Roman" w:eastAsia="Times New Roman" w:hAnsi="Times New Roman"/>
          <w:sz w:val="14"/>
          <w:szCs w:val="14"/>
          <w:color w:val="auto"/>
        </w:rPr>
        <w:t xml:space="preserve">The Issuers may also from time to time designate different or additional offices or agencies to be maintained for such purposes (in or outside of such Place of Payment), and may from time to time rescind any such designation;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designation or rescission shall in any manner relieve the Issuers of their obligations described in the preceding paragraph. The Issuers will give prompt written notice to the Trustee of any such additional designation or rescission of designation and any change in the location of any such different or additional office or agency.</w:t>
      </w:r>
    </w:p>
    <w:p>
      <w:pPr>
        <w:spacing w:after="0" w:line="143" w:lineRule="exact"/>
        <w:rPr>
          <w:sz w:val="20"/>
          <w:szCs w:val="20"/>
          <w:color w:val="auto"/>
        </w:rPr>
      </w:pPr>
    </w:p>
    <w:p>
      <w:pPr>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Appointment to Fill a Vacancy in the Office of Trustee</w:t>
      </w:r>
      <w:r>
        <w:rPr>
          <w:rFonts w:ascii="Times New Roman" w:cs="Times New Roman" w:eastAsia="Times New Roman" w:hAnsi="Times New Roman"/>
          <w:sz w:val="14"/>
          <w:szCs w:val="14"/>
          <w:color w:val="auto"/>
        </w:rPr>
        <w:t>. The Issuers, whenever necessary to avoid or fill a vacancy in the office of Trustee, will appoint, in the manner provided in Section 7.08, a Trustee, so that there shall at all times be a Trustee hereunder with respect to each series of Debt Securities.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Duties of Paying Agents, etc.</w:t>
      </w:r>
    </w:p>
    <w:p>
      <w:pPr>
        <w:spacing w:after="0" w:line="170" w:lineRule="exact"/>
        <w:rPr>
          <w:sz w:val="20"/>
          <w:szCs w:val="20"/>
          <w:color w:val="auto"/>
        </w:rPr>
      </w:pPr>
    </w:p>
    <w:p>
      <w:pPr>
        <w:ind w:left="280" w:right="599" w:firstLine="342"/>
        <w:spacing w:after="0" w:line="273" w:lineRule="auto"/>
        <w:tabs>
          <w:tab w:leader="none" w:pos="80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shall cause each paying agent, if any, other than the Trustee, to execute and deliver to the Trustee an instrument in which such agent shall agree with the Trustee, subject to the provisions of this Section 4.04,</w:t>
      </w:r>
    </w:p>
    <w:p>
      <w:pPr>
        <w:spacing w:after="0" w:line="130" w:lineRule="exact"/>
        <w:rPr>
          <w:rFonts w:ascii="Times New Roman" w:cs="Times New Roman" w:eastAsia="Times New Roman" w:hAnsi="Times New Roman"/>
          <w:sz w:val="14"/>
          <w:szCs w:val="14"/>
          <w:color w:val="auto"/>
        </w:rPr>
      </w:pPr>
    </w:p>
    <w:p>
      <w:pPr>
        <w:ind w:left="280" w:right="419" w:firstLine="764"/>
        <w:spacing w:after="0" w:line="259" w:lineRule="auto"/>
        <w:tabs>
          <w:tab w:leader="none" w:pos="1204"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Debt Securities of any series (whether such sums have been paid to it by the Issuers or by any other obligor on the Debt Securities of such series) in trust for the benefit of the Holders of the Debt Securities of such series;</w:t>
      </w:r>
    </w:p>
    <w:p>
      <w:pPr>
        <w:spacing w:after="0" w:line="140" w:lineRule="exact"/>
        <w:rPr>
          <w:rFonts w:ascii="Times New Roman" w:cs="Times New Roman" w:eastAsia="Times New Roman" w:hAnsi="Times New Roman"/>
          <w:sz w:val="14"/>
          <w:szCs w:val="14"/>
          <w:color w:val="auto"/>
        </w:rPr>
      </w:pPr>
    </w:p>
    <w:p>
      <w:pPr>
        <w:ind w:left="280" w:right="439" w:firstLine="764"/>
        <w:spacing w:after="0" w:line="312" w:lineRule="auto"/>
        <w:tabs>
          <w:tab w:leader="none" w:pos="1242" w:val="left"/>
        </w:tabs>
        <w:numPr>
          <w:ilvl w:val="1"/>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it will give the Trustee notice of any failure by the Issuers (or by any other obligor on the Debt Securities of such series) to make any payment of the principal of, and premium, if any, or interest on, the Debt Securities of such series when the same shall be due and payable; and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120" w:name="page121"/>
    <w:bookmarkEnd w:id="120"/>
    <w:p>
      <w:pPr>
        <w:ind w:left="280" w:right="599" w:firstLine="764"/>
        <w:spacing w:after="0" w:line="273" w:lineRule="auto"/>
        <w:tabs>
          <w:tab w:leader="none" w:pos="1281"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that it will at any time during the continuance of an Event of Default, upon the written request of the Trustee, forthwith pay to the Trustee all sums so held by it as such agent.</w:t>
      </w:r>
    </w:p>
    <w:p>
      <w:pPr>
        <w:spacing w:after="0" w:line="130" w:lineRule="exact"/>
        <w:rPr>
          <w:rFonts w:ascii="Times New Roman" w:cs="Times New Roman" w:eastAsia="Times New Roman" w:hAnsi="Times New Roman"/>
          <w:sz w:val="14"/>
          <w:szCs w:val="14"/>
          <w:color w:val="auto"/>
        </w:rPr>
      </w:pPr>
    </w:p>
    <w:p>
      <w:pPr>
        <w:ind w:left="280" w:right="339" w:firstLine="342"/>
        <w:spacing w:after="0" w:line="253" w:lineRule="auto"/>
        <w:tabs>
          <w:tab w:leader="none" w:pos="81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either of the Issuers shall act as its own paying agent, it will, on or before each due date of the principal of, and premium, if any, or interest on, the Debt Securities of any series, set aside, segregate and hold in trust for the benefit of the Holders of the Debt Securities of such series a sum sufficient to pay such principal, premium, if any, or interest so becoming due. The Issuers will promptly notify the Trustee of any failure by either of the Issuers to take such action or the failure by any other obligor on such Debt Securities to make any payment of the principal of, and premium, if any, or interest on, such Debt Securities when the same shall be due and payable.</w:t>
      </w:r>
    </w:p>
    <w:p>
      <w:pPr>
        <w:spacing w:after="0" w:line="144" w:lineRule="exact"/>
        <w:rPr>
          <w:rFonts w:ascii="Times New Roman" w:cs="Times New Roman" w:eastAsia="Times New Roman" w:hAnsi="Times New Roman"/>
          <w:sz w:val="14"/>
          <w:szCs w:val="14"/>
          <w:color w:val="auto"/>
        </w:rPr>
      </w:pPr>
    </w:p>
    <w:p>
      <w:pPr>
        <w:ind w:left="280" w:right="319" w:firstLine="342"/>
        <w:spacing w:after="0" w:line="255" w:lineRule="auto"/>
        <w:tabs>
          <w:tab w:leader="none" w:pos="80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Section 4.04 to the contrary notwithstanding, either of the Issuers may, at any time, for the purpose of obtaining a satisfaction and discharge of this Indenture, or for any other reason, pay or cause to be paid to the Trustee all sums held in trust by it or any paying agent, as required by this Section 4.04, such sums to be held by the Trustee upon the same trusts as those upon which such sums were held by such Issuer or such paying agent.</w:t>
      </w:r>
    </w:p>
    <w:p>
      <w:pPr>
        <w:spacing w:after="0" w:line="143" w:lineRule="exact"/>
        <w:rPr>
          <w:rFonts w:ascii="Times New Roman" w:cs="Times New Roman" w:eastAsia="Times New Roman" w:hAnsi="Times New Roman"/>
          <w:sz w:val="14"/>
          <w:szCs w:val="14"/>
          <w:color w:val="auto"/>
        </w:rPr>
      </w:pPr>
    </w:p>
    <w:p>
      <w:pPr>
        <w:ind w:left="280" w:right="299" w:firstLine="342"/>
        <w:spacing w:after="0" w:line="255" w:lineRule="auto"/>
        <w:tabs>
          <w:tab w:leader="none" w:pos="81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the Issuers shall have one or more paying agents with respect to any series of Debt Securities, they will, prior to each due date of the principal of, and premium, if any, or interest on, any Debt Securities of such series, deposit with any such paying agent a sum sufficient to pay the principal, premium or interest so becoming due, such sum to be held in trust for the benefit of the Persons entitled thereto, and (unless any such paying agent is the Trustee) the Issuers will promptly notify the Trustee of its action or failure so to act.</w:t>
      </w:r>
    </w:p>
    <w:p>
      <w:pPr>
        <w:spacing w:after="0" w:line="143" w:lineRule="exact"/>
        <w:rPr>
          <w:rFonts w:ascii="Times New Roman" w:cs="Times New Roman" w:eastAsia="Times New Roman" w:hAnsi="Times New Roman"/>
          <w:sz w:val="14"/>
          <w:szCs w:val="14"/>
          <w:color w:val="auto"/>
        </w:rPr>
      </w:pPr>
    </w:p>
    <w:p>
      <w:pPr>
        <w:ind w:left="280" w:right="359" w:firstLine="342"/>
        <w:spacing w:after="0" w:line="273" w:lineRule="auto"/>
        <w:tabs>
          <w:tab w:leader="none" w:pos="80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Section 4.04 to the contrary notwithstanding, the agreement to hold sums in trust as provided in this Section 4.04 is subject to the provisions of Section 11.05.</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Section 4.05 SEC Reports; Financial Statements.</w:t>
      </w:r>
    </w:p>
    <w:p>
      <w:pPr>
        <w:spacing w:after="0" w:line="170" w:lineRule="exact"/>
        <w:rPr>
          <w:sz w:val="20"/>
          <w:szCs w:val="20"/>
          <w:color w:val="auto"/>
        </w:rPr>
      </w:pPr>
    </w:p>
    <w:p>
      <w:pPr>
        <w:ind w:left="280" w:right="299" w:firstLine="342"/>
        <w:spacing w:after="0" w:line="271" w:lineRule="auto"/>
        <w:tabs>
          <w:tab w:leader="none" w:pos="805"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Partnership shall, so long as any of the Debt Securities are Outstanding, file with the Trustee, within 30 days after it files the same with the SEC, copies of the annual reports and the information, documents and other reports (or copies of such portions of any of the foregoing as the SEC may by rules and regulations prescribe) that the Partnership is required to file with the SEC pursuant to Section 13 or 15(d) of the Exchange Act. If the Partnership is not subject to the requirements of such Section 13 or 15(d) (or otherwise permitted to rely upon applicable reports of a parent guarantor pursuant to Rule 3-10 of Regulation S-X and Exchange Act Rule 12h-5), the Partnership shall file with the Trustee, within 30 days after it would have been required to file the same with the SEC, financial statements, including any notes thereto (and with respect to annual reports, an auditors’ report by a firm of established national reputation), and a “Management’s Discussion and Analysis of Financial Condition and Results of Operations,” both comparable to that which the Partnership would have been required to include in such annual reports, information, documents or other reports if the Partnership had been subject to the requirements of such Section 13 or 15 (d). The Issuers shall also comply with the provisions of TIA Section 314(a).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121" w:name="page122"/>
    <w:bookmarkEnd w:id="121"/>
    <w:p>
      <w:pPr>
        <w:ind w:left="280" w:right="719" w:firstLine="342"/>
        <w:spacing w:after="0" w:line="273" w:lineRule="auto"/>
        <w:tabs>
          <w:tab w:leader="none" w:pos="81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Partnership shall provide the Trustee with a sufficient number of copies of all reports and other documents and information that the Trustee may be required to deliver to Holders under this Section.</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Section 4.06 Compliance Certificate.</w:t>
      </w:r>
    </w:p>
    <w:p>
      <w:pPr>
        <w:spacing w:after="0" w:line="170" w:lineRule="exact"/>
        <w:rPr>
          <w:sz w:val="20"/>
          <w:szCs w:val="20"/>
          <w:color w:val="auto"/>
        </w:rPr>
      </w:pPr>
    </w:p>
    <w:p>
      <w:pPr>
        <w:ind w:left="280" w:right="319" w:firstLine="342"/>
        <w:spacing w:after="0" w:line="250" w:lineRule="auto"/>
        <w:tabs>
          <w:tab w:leader="none" w:pos="80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Issuers shall, so long as any of the Debt Securities are Outstanding, deliver to the Trustee, within 120 days after the end of each fiscal year of the Partnership, an Officers’ Certificate stating that a review of the activities of the Partnership and its Subsidiaries during the preceding fiscal year has been made under the supervision of the Officers signing the certificate with a view to determining whether each of the Issuers has kept, observed, performed and fulfilled its obligations under this Indenture, and further stating, as to each such Officer signing such certificate, that to the best of his knowledge each of the Issuers has kept, observed, performed and fulfilled each and every covenant contained in this Indenture and is not in default in the performance or observance of any of the terms, provisions and conditions hereof, without regard to any grace period or requirement of notice required by this Indenture (or, if a Default or Event of Default shall have occurred, describing all such Defaults or Events of Default of which such Officer may have knowledge and what action the Issuers are taking or proposes to take with respect thereto).</w:t>
      </w:r>
    </w:p>
    <w:p>
      <w:pPr>
        <w:spacing w:after="0" w:line="147" w:lineRule="exact"/>
        <w:rPr>
          <w:rFonts w:ascii="Times New Roman" w:cs="Times New Roman" w:eastAsia="Times New Roman" w:hAnsi="Times New Roman"/>
          <w:sz w:val="14"/>
          <w:szCs w:val="14"/>
          <w:color w:val="auto"/>
        </w:rPr>
      </w:pPr>
    </w:p>
    <w:p>
      <w:pPr>
        <w:ind w:left="280" w:right="319" w:firstLine="342"/>
        <w:spacing w:after="0" w:line="259" w:lineRule="auto"/>
        <w:tabs>
          <w:tab w:leader="none" w:pos="813"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Partnership shall, so long as any of the Debt Securities are Outstanding, deliver to the Trustee within 30 days after the occurrence of any Default or Event of Default under this Indenture, written notice (which need not be an Officers’ Certificate) specifying such Default or Event of Default, the status thereof and what action the Partnership is taking or proposes to take with respect thereto.</w:t>
      </w:r>
    </w:p>
    <w:p>
      <w:pPr>
        <w:spacing w:after="0" w:line="141" w:lineRule="exact"/>
        <w:rPr>
          <w:sz w:val="20"/>
          <w:szCs w:val="20"/>
          <w:color w:val="auto"/>
        </w:rPr>
      </w:pPr>
    </w:p>
    <w:p>
      <w:pPr>
        <w:ind w:left="280" w:right="399" w:firstLine="337"/>
        <w:spacing w:after="0" w:line="251" w:lineRule="auto"/>
        <w:rPr>
          <w:sz w:val="20"/>
          <w:szCs w:val="20"/>
          <w:color w:val="auto"/>
        </w:rPr>
      </w:pPr>
      <w:r>
        <w:rPr>
          <w:rFonts w:ascii="Times New Roman" w:cs="Times New Roman" w:eastAsia="Times New Roman" w:hAnsi="Times New Roman"/>
          <w:sz w:val="14"/>
          <w:szCs w:val="14"/>
          <w:color w:val="auto"/>
        </w:rPr>
        <w:t>Section 4.07 Waiver of Certain Covenants. The Issuers may, with respect to the Debt Securities of any series, omit in any particular instance to comply with any covenant set forth in this Article IV (except Section 4.01) or made applicable to such Debt Securities pursuant to Section 2.03, if, before or after the time for such compliance, the Holders of a majority in aggregate principal amount of the Outstanding Debt Securities of each series affected, waive such compliance in such instance with such covenant, but no such waiver shall extend to or affect such covenant except to the extent so expressly waived, and, until such waiver shall become effective, the obligations of the Issuers and the duties of the Trustee in respect of any such covenant shall remain in full force and effect.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HOLDERS’ LISTS AND REPORTS BY THE TRUSTEE</w:t>
      </w:r>
    </w:p>
    <w:p>
      <w:pPr>
        <w:spacing w:after="0" w:line="157" w:lineRule="exact"/>
        <w:rPr>
          <w:sz w:val="20"/>
          <w:szCs w:val="20"/>
          <w:color w:val="auto"/>
        </w:rPr>
      </w:pPr>
    </w:p>
    <w:p>
      <w:pPr>
        <w:ind w:left="280" w:right="31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Issuers to Furnish Trustee Information as to Names and Addresses of Holders; Preservation of Information</w:t>
      </w:r>
      <w:r>
        <w:rPr>
          <w:rFonts w:ascii="Times New Roman" w:cs="Times New Roman" w:eastAsia="Times New Roman" w:hAnsi="Times New Roman"/>
          <w:sz w:val="14"/>
          <w:szCs w:val="14"/>
          <w:color w:val="auto"/>
        </w:rPr>
        <w:t>. The Issuers covenant and agree that they will furnish or cause to be furnished to the Trustee with respect to the Debt Securities of each series:</w:t>
      </w:r>
    </w:p>
    <w:p>
      <w:pPr>
        <w:spacing w:after="0" w:line="47" w:lineRule="exact"/>
        <w:rPr>
          <w:sz w:val="20"/>
          <w:szCs w:val="20"/>
          <w:color w:val="auto"/>
        </w:rPr>
      </w:pPr>
    </w:p>
    <w:p>
      <w:pPr>
        <w:ind w:left="280" w:right="439" w:firstLine="342"/>
        <w:spacing w:after="0" w:line="273" w:lineRule="auto"/>
        <w:tabs>
          <w:tab w:leader="none" w:pos="80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10 days after each record date with respect to the payment of interest, if any, a list, in such form as the Trustee may reasonably require, of the names and addresses of the Holders as of such record date, and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122" w:name="page123"/>
    <w:bookmarkEnd w:id="122"/>
    <w:p>
      <w:pPr>
        <w:ind w:left="280" w:right="519" w:firstLine="342"/>
        <w:spacing w:after="0" w:line="273" w:lineRule="auto"/>
        <w:tabs>
          <w:tab w:leader="none" w:pos="813"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at such other times as the Trustee may request in writing, within 30 days after the receipt by the Issuers of any such request, a list of similar form and contents as of a date not more than 15 days prior to the time such list is furnished;</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so long as the Trustee shall be the Registrar, such lists shall not be required to be furnished.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w:t>
      </w:r>
    </w:p>
    <w:p>
      <w:pPr>
        <w:spacing w:after="0" w:line="18" w:lineRule="exact"/>
        <w:rPr>
          <w:sz w:val="20"/>
          <w:szCs w:val="20"/>
          <w:color w:val="auto"/>
        </w:rPr>
      </w:pPr>
    </w:p>
    <w:p>
      <w:pPr>
        <w:ind w:left="280" w:right="359" w:firstLine="5"/>
        <w:spacing w:after="0" w:line="253" w:lineRule="auto"/>
        <w:tabs>
          <w:tab w:leader="none" w:pos="445"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contained in the most recent list furnished to it as provided in this Section 5.01 or (ii) received by it in the capacity of paying agent or Registrar (if so acting) hereunder.</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Trustee may destroy any list furnished to it as provided in this Section 5.01 upon receipt of a new list so furnished.</w:t>
      </w:r>
    </w:p>
    <w:p>
      <w:pPr>
        <w:spacing w:after="0" w:line="170" w:lineRule="exact"/>
        <w:rPr>
          <w:sz w:val="20"/>
          <w:szCs w:val="20"/>
          <w:color w:val="auto"/>
        </w:rPr>
      </w:pPr>
    </w:p>
    <w:p>
      <w:pPr>
        <w:ind w:left="280" w:right="29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u w:val="single" w:color="auto"/>
          <w:color w:val="auto"/>
        </w:rPr>
        <w:t>Communications to Holders</w:t>
      </w:r>
      <w:r>
        <w:rPr>
          <w:rFonts w:ascii="Times New Roman" w:cs="Times New Roman" w:eastAsia="Times New Roman" w:hAnsi="Times New Roman"/>
          <w:sz w:val="14"/>
          <w:szCs w:val="14"/>
          <w:color w:val="auto"/>
        </w:rPr>
        <w:t>. Holders may communicate pursuant to Section 312(b) of the TIA with other Holders with respect to their rights under this Indenture or the Debt Securities. The Issuers, the Trustee, the Registrar and anyone else shall have the protection of Section 312(c) of the TIA.</w:t>
      </w:r>
    </w:p>
    <w:p>
      <w:pPr>
        <w:spacing w:after="0" w:line="141" w:lineRule="exact"/>
        <w:rPr>
          <w:sz w:val="20"/>
          <w:szCs w:val="20"/>
          <w:color w:val="auto"/>
        </w:rPr>
      </w:pPr>
    </w:p>
    <w:p>
      <w:pPr>
        <w:jc w:val="both"/>
        <w:ind w:left="280" w:right="49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Reports by Trustee</w:t>
      </w:r>
      <w:r>
        <w:rPr>
          <w:rFonts w:ascii="Times New Roman" w:cs="Times New Roman" w:eastAsia="Times New Roman" w:hAnsi="Times New Roman"/>
          <w:sz w:val="14"/>
          <w:szCs w:val="14"/>
          <w:color w:val="auto"/>
        </w:rPr>
        <w:t xml:space="preserve">. Within 60 days after each January 31, beginning with the first January 31 following the date of this Indenture, and in any event on or before April 1 in each year, the Trustee shall mail to Holders a brief report dated as of such January 31 that complies with TIA Section 313 (a);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no event described in TIA Section 313 (a) has occurred within the twelve months preceding the reporting date, no report need be transmitted. The Trustee also shall comply with TIA Section 313 (b).</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Reports pursuant to this Section 5.03 shall be transmitted by mail:</w:t>
      </w:r>
    </w:p>
    <w:p>
      <w:pPr>
        <w:spacing w:after="0" w:line="87" w:lineRule="exact"/>
        <w:rPr>
          <w:sz w:val="20"/>
          <w:szCs w:val="20"/>
          <w:color w:val="auto"/>
        </w:rPr>
      </w:pPr>
    </w:p>
    <w:p>
      <w:pPr>
        <w:ind w:left="800" w:hanging="178"/>
        <w:spacing w:after="0"/>
        <w:tabs>
          <w:tab w:leader="none" w:pos="8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all Holders, as the names and addresses of such Holders appear in the Debt Security Register; and</w:t>
      </w:r>
    </w:p>
    <w:p>
      <w:pPr>
        <w:spacing w:after="0" w:line="169" w:lineRule="exact"/>
        <w:rPr>
          <w:rFonts w:ascii="Times New Roman" w:cs="Times New Roman" w:eastAsia="Times New Roman" w:hAnsi="Times New Roman"/>
          <w:sz w:val="14"/>
          <w:szCs w:val="14"/>
          <w:color w:val="auto"/>
        </w:rPr>
      </w:pPr>
    </w:p>
    <w:p>
      <w:pPr>
        <w:ind w:left="280" w:right="579" w:firstLine="342"/>
        <w:spacing w:after="0" w:line="273" w:lineRule="auto"/>
        <w:tabs>
          <w:tab w:leader="none" w:pos="813"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the cases of reports under Section 313(b)(2) of the TIA, to each Holder of a Debt Security of any series whose name and address appear in the information preserved at the time by the Trustee in accordance with Section 5.01.</w:t>
      </w:r>
    </w:p>
    <w:p>
      <w:pPr>
        <w:spacing w:after="0" w:line="130" w:lineRule="exact"/>
        <w:rPr>
          <w:sz w:val="20"/>
          <w:szCs w:val="20"/>
          <w:color w:val="auto"/>
        </w:rPr>
      </w:pPr>
    </w:p>
    <w:p>
      <w:pPr>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A copy of each report at the time of its mailing to Holders shall be filed with the Securities and Exchange Commission and each stock exchange (if any) on which the Debt Securities of any series are listed. The Issuers agree to notify promptly the Trustee whenever the Debt Securities of any series become listed on any stock exchange and of any delisting thereof.</w:t>
      </w:r>
    </w:p>
    <w:p>
      <w:pPr>
        <w:spacing w:after="0" w:line="141"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u w:val="single" w:color="auto"/>
          <w:color w:val="auto"/>
        </w:rPr>
        <w:t>Record Dates for Action by Holders</w:t>
      </w:r>
      <w:r>
        <w:rPr>
          <w:rFonts w:ascii="Times New Roman" w:cs="Times New Roman" w:eastAsia="Times New Roman" w:hAnsi="Times New Roman"/>
          <w:sz w:val="14"/>
          <w:szCs w:val="14"/>
          <w:color w:val="auto"/>
        </w:rPr>
        <w:t>. If the Issuers shall solicit from the Holders of Debt Securities of any series any action (including the making of any demand or request, the giving of any direction, notice, consent or waiver or the taking of any other action), the Issuers may, at their option, by resolution of their respective Boards of Directors, fix in advance a record date for the determination of Holders of Debt Securities entitled to take such action, but the Issuers shall have no obligation to do so. Any such record date shall be fixed at the Issuers’ discretion. If such a record date is fixed, such action may be sought or given before or after the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123" w:name="page124"/>
    <w:bookmarkEnd w:id="123"/>
    <w:p>
      <w:pPr>
        <w:ind w:left="280" w:right="45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record date, but only the Holders of Debt Securities of record at the close of business on such record date shall be deemed to be Holders of Debt Securities for the purpose of determining whether Holders of the requisite proportion of Debt Securities of such series Outstanding have authorized or agreed or consented to such action, and for that purpose the Debt Securities of such series Outstanding shall be computed as of such record date.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REMEDIES OF THE TRUSTEE AND HOLDERS IN EVENT OF DEFAULT</w:t>
      </w:r>
    </w:p>
    <w:p>
      <w:pPr>
        <w:spacing w:after="0" w:line="157" w:lineRule="exact"/>
        <w:rPr>
          <w:sz w:val="20"/>
          <w:szCs w:val="20"/>
          <w:color w:val="auto"/>
        </w:rPr>
      </w:pPr>
    </w:p>
    <w:p>
      <w:pPr>
        <w:ind w:left="280" w:right="43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 If any one or more of the following shall have occurred and be continuing with respect to Debt Securities of any series (each of the following, an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w:t>
      </w:r>
    </w:p>
    <w:p>
      <w:pPr>
        <w:spacing w:after="0" w:line="47" w:lineRule="exact"/>
        <w:rPr>
          <w:sz w:val="20"/>
          <w:szCs w:val="20"/>
          <w:color w:val="auto"/>
        </w:rPr>
      </w:pPr>
    </w:p>
    <w:p>
      <w:pPr>
        <w:ind w:left="280" w:right="739" w:firstLine="342"/>
        <w:spacing w:after="0" w:line="273" w:lineRule="auto"/>
        <w:tabs>
          <w:tab w:leader="none" w:pos="80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installment of interest upon any Debt Securities of that series as and when the same shall become due and payable, and continuance of such default for a period of 60 days; or</w:t>
      </w:r>
    </w:p>
    <w:p>
      <w:pPr>
        <w:spacing w:after="0" w:line="130" w:lineRule="exact"/>
        <w:rPr>
          <w:rFonts w:ascii="Times New Roman" w:cs="Times New Roman" w:eastAsia="Times New Roman" w:hAnsi="Times New Roman"/>
          <w:sz w:val="14"/>
          <w:szCs w:val="14"/>
          <w:color w:val="auto"/>
        </w:rPr>
      </w:pPr>
    </w:p>
    <w:p>
      <w:pPr>
        <w:ind w:left="280" w:right="359" w:firstLine="342"/>
        <w:spacing w:after="0" w:line="273" w:lineRule="auto"/>
        <w:tabs>
          <w:tab w:leader="none" w:pos="81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or premium, if any, on any Debt Securities of that series as and when the same shall become due and payable, whether at Stated Maturity, upon redemption, by declaration, upon required repurchase or otherwise; or</w:t>
      </w:r>
    </w:p>
    <w:p>
      <w:pPr>
        <w:spacing w:after="0" w:line="130" w:lineRule="exact"/>
        <w:rPr>
          <w:rFonts w:ascii="Times New Roman" w:cs="Times New Roman" w:eastAsia="Times New Roman" w:hAnsi="Times New Roman"/>
          <w:sz w:val="14"/>
          <w:szCs w:val="14"/>
          <w:color w:val="auto"/>
        </w:rPr>
      </w:pPr>
    </w:p>
    <w:p>
      <w:pPr>
        <w:ind w:left="280" w:right="419" w:firstLine="342"/>
        <w:spacing w:after="0" w:line="273" w:lineRule="auto"/>
        <w:tabs>
          <w:tab w:leader="none" w:pos="80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sinking fund payment with respect to any Debt Securities of that series as and when the same shall become due and payable; or</w:t>
      </w:r>
    </w:p>
    <w:p>
      <w:pPr>
        <w:spacing w:after="0" w:line="130" w:lineRule="exact"/>
        <w:rPr>
          <w:rFonts w:ascii="Times New Roman" w:cs="Times New Roman" w:eastAsia="Times New Roman" w:hAnsi="Times New Roman"/>
          <w:sz w:val="14"/>
          <w:szCs w:val="14"/>
          <w:color w:val="auto"/>
        </w:rPr>
      </w:pPr>
    </w:p>
    <w:p>
      <w:pPr>
        <w:ind w:left="280" w:right="319" w:firstLine="342"/>
        <w:spacing w:after="0" w:line="250" w:lineRule="auto"/>
        <w:tabs>
          <w:tab w:leader="none" w:pos="81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failure on the part of the Issuers to comply with the covenants in Section 10.01 or (ii) failure on the part of the Issuers, duly to observe or perform any other of the covenants or agreements on the part of the Issuers, in the Debt Securities of that series, in any resolution of the Board of Directors authorizing the issuance of that series of Debt Securities, in this Indenture with respect to such series or in any supplemental Indenture with respect to such series (other than a covenant a default in the performance of which is elsewhere in this Section specifically dealt with), continuing, in the case of this clause (ii), for a period of 30 days after the date on which written notice specifying such failure and requiring the Issuers to remedy the same shall have been given to the Issuers by the Trustee or to the Issuers and the Trustee by the Holders of at least 30% in aggregate principal amount of the Debt Securities of that series at the time Outstanding, provided that no such notice may be given with respect to any action taken, and reported publicly, more than two years prior to such notice of default; or</w:t>
      </w:r>
    </w:p>
    <w:p>
      <w:pPr>
        <w:spacing w:after="0" w:line="147"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of the Issuers pursuant to or within the meaning of any Bankruptcy Law,</w:t>
      </w:r>
    </w:p>
    <w:p>
      <w:pPr>
        <w:spacing w:after="0" w:line="169" w:lineRule="exact"/>
        <w:rPr>
          <w:rFonts w:ascii="Times New Roman" w:cs="Times New Roman" w:eastAsia="Times New Roman" w:hAnsi="Times New Roman"/>
          <w:sz w:val="14"/>
          <w:szCs w:val="14"/>
          <w:color w:val="auto"/>
        </w:rPr>
      </w:pPr>
    </w:p>
    <w:p>
      <w:pPr>
        <w:ind w:left="1200" w:hanging="156"/>
        <w:spacing w:after="0"/>
        <w:tabs>
          <w:tab w:leader="none" w:pos="120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69" w:lineRule="exact"/>
        <w:rPr>
          <w:rFonts w:ascii="Times New Roman" w:cs="Times New Roman" w:eastAsia="Times New Roman" w:hAnsi="Times New Roman"/>
          <w:sz w:val="14"/>
          <w:szCs w:val="14"/>
          <w:color w:val="auto"/>
        </w:rPr>
      </w:pPr>
    </w:p>
    <w:p>
      <w:pPr>
        <w:ind w:left="1240" w:hanging="196"/>
        <w:spacing w:after="0"/>
        <w:tabs>
          <w:tab w:leader="none" w:pos="124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69" w:lineRule="exact"/>
        <w:rPr>
          <w:rFonts w:ascii="Times New Roman" w:cs="Times New Roman" w:eastAsia="Times New Roman" w:hAnsi="Times New Roman"/>
          <w:sz w:val="14"/>
          <w:szCs w:val="14"/>
          <w:color w:val="auto"/>
        </w:rPr>
      </w:pPr>
    </w:p>
    <w:p>
      <w:pPr>
        <w:ind w:left="1280" w:hanging="236"/>
        <w:spacing w:after="0"/>
        <w:tabs>
          <w:tab w:leader="none" w:pos="128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 or</w:t>
      </w:r>
    </w:p>
    <w:p>
      <w:pPr>
        <w:spacing w:after="0" w:line="169" w:lineRule="exact"/>
        <w:rPr>
          <w:rFonts w:ascii="Times New Roman" w:cs="Times New Roman" w:eastAsia="Times New Roman" w:hAnsi="Times New Roman"/>
          <w:sz w:val="14"/>
          <w:szCs w:val="14"/>
          <w:color w:val="auto"/>
        </w:rPr>
      </w:pPr>
    </w:p>
    <w:p>
      <w:pPr>
        <w:ind w:left="1280" w:hanging="236"/>
        <w:spacing w:after="0"/>
        <w:tabs>
          <w:tab w:leader="none" w:pos="128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124" w:name="page125"/>
    <w:bookmarkEnd w:id="124"/>
    <w:p>
      <w:pPr>
        <w:ind w:left="800" w:hanging="178"/>
        <w:spacing w:after="0"/>
        <w:tabs>
          <w:tab w:leader="none" w:pos="8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 court of competent jurisdiction enters an order or decree under any Bankruptcy Law that:</w:t>
      </w:r>
    </w:p>
    <w:p>
      <w:pPr>
        <w:spacing w:after="0" w:line="87" w:lineRule="exact"/>
        <w:rPr>
          <w:rFonts w:ascii="Times New Roman" w:cs="Times New Roman" w:eastAsia="Times New Roman" w:hAnsi="Times New Roman"/>
          <w:sz w:val="14"/>
          <w:szCs w:val="14"/>
          <w:color w:val="auto"/>
        </w:rPr>
      </w:pPr>
    </w:p>
    <w:p>
      <w:pPr>
        <w:ind w:left="1200" w:hanging="156"/>
        <w:spacing w:after="0"/>
        <w:tabs>
          <w:tab w:leader="none" w:pos="120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either of the Issuers as debtor in an involuntary case,</w:t>
      </w:r>
    </w:p>
    <w:p>
      <w:pPr>
        <w:spacing w:after="0" w:line="169" w:lineRule="exact"/>
        <w:rPr>
          <w:rFonts w:ascii="Times New Roman" w:cs="Times New Roman" w:eastAsia="Times New Roman" w:hAnsi="Times New Roman"/>
          <w:sz w:val="14"/>
          <w:szCs w:val="14"/>
          <w:color w:val="auto"/>
        </w:rPr>
      </w:pPr>
    </w:p>
    <w:p>
      <w:pPr>
        <w:ind w:left="1240" w:hanging="196"/>
        <w:spacing w:after="0"/>
        <w:tabs>
          <w:tab w:leader="none" w:pos="124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either of the Issuers or a Custodian for all or substantially all of the property of either of the Issuers, or</w:t>
      </w:r>
    </w:p>
    <w:p>
      <w:pPr>
        <w:spacing w:after="0" w:line="169" w:lineRule="exact"/>
        <w:rPr>
          <w:rFonts w:ascii="Times New Roman" w:cs="Times New Roman" w:eastAsia="Times New Roman" w:hAnsi="Times New Roman"/>
          <w:sz w:val="14"/>
          <w:szCs w:val="14"/>
          <w:color w:val="auto"/>
        </w:rPr>
      </w:pPr>
    </w:p>
    <w:p>
      <w:pPr>
        <w:ind w:left="1280" w:hanging="236"/>
        <w:spacing w:after="0"/>
        <w:tabs>
          <w:tab w:leader="none" w:pos="128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either of the Issuers,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days;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(g) any other Event of Default provided with respect to Debt Securities of that series;</w:t>
      </w:r>
    </w:p>
    <w:p>
      <w:pPr>
        <w:spacing w:after="0" w:line="170" w:lineRule="exact"/>
        <w:rPr>
          <w:sz w:val="20"/>
          <w:szCs w:val="20"/>
          <w:color w:val="auto"/>
        </w:rPr>
      </w:pPr>
    </w:p>
    <w:p>
      <w:pPr>
        <w:ind w:left="280" w:right="299"/>
        <w:spacing w:after="0" w:line="248" w:lineRule="auto"/>
        <w:rPr>
          <w:sz w:val="20"/>
          <w:szCs w:val="20"/>
          <w:color w:val="auto"/>
        </w:rPr>
      </w:pPr>
      <w:r>
        <w:rPr>
          <w:rFonts w:ascii="Times New Roman" w:cs="Times New Roman" w:eastAsia="Times New Roman" w:hAnsi="Times New Roman"/>
          <w:sz w:val="14"/>
          <w:szCs w:val="14"/>
          <w:color w:val="auto"/>
        </w:rPr>
        <w:t>then and in each and every case that an Event of Default described in clause (a), (b), (c), (d) or (g) with respect to Debt Securities of that series at the time Outstanding occurs and is continuing, unless the principal of, premium, if any, and accrued and unpaid interest on all the Debt Securities of that series shall have already become due and payable, either the Trustee or the Holders of not less than 30% in aggregate principal amount of the Debt Securities of that series then Outstanding hereunder, by notice in writing to the Issuers (and to the Trustee if given by Holders), may declare the principal of (or, if the Debt Securities of that series are Original Issue Discount Debt Securities, such portion of the principal amount as may be specified in the terms of that series), premium, if any, and interest on all the Debt Securities of that series to be due and payable immediately, and upon any such declaration the same shall become and shall be immediately due and payable, anything in this Indenture or in the Debt Securities of that series contained to the contrary notwithstanding, provided that no such notice may be given with respect to any action taken, and reported publicly, more than two years prior to such notice of default. If an Event of Default described in clause (e) or (f) occurs with respect to either of the Issuers, then and in each and every such case, unless the principal of and accrued and unpaid interest on all the Debt Securities shall have become due and payable, the principal of (or, if the Debt Securities of that series are Original Issue Discount Debt Securities, such portion of the principal amount as may be specified in the terms thereof), premium, if any, and interest on all the Debt Securities then Outstanding hereunder shall ipso facto become and be immediately due and payable without any declaration or other act on the part of the Trustee or any Holders, anything in this Indenture or in the Debt Securities contained to the contrary notwithstanding.</w:t>
      </w:r>
    </w:p>
    <w:p>
      <w:pPr>
        <w:spacing w:after="0" w:line="153" w:lineRule="exact"/>
        <w:rPr>
          <w:sz w:val="20"/>
          <w:szCs w:val="20"/>
          <w:color w:val="auto"/>
        </w:rPr>
      </w:pPr>
    </w:p>
    <w:p>
      <w:pPr>
        <w:ind w:left="280" w:right="399" w:firstLine="337"/>
        <w:spacing w:after="0" w:line="277" w:lineRule="auto"/>
        <w:rPr>
          <w:sz w:val="20"/>
          <w:szCs w:val="20"/>
          <w:color w:val="auto"/>
        </w:rPr>
      </w:pPr>
      <w:r>
        <w:rPr>
          <w:rFonts w:ascii="Times New Roman" w:cs="Times New Roman" w:eastAsia="Times New Roman" w:hAnsi="Times New Roman"/>
          <w:sz w:val="13"/>
          <w:szCs w:val="13"/>
          <w:color w:val="auto"/>
        </w:rPr>
        <w:t>The Holders of a majority in aggregate principal amount of the Debt Securities of a particular series by written notice to the Trustee may rescind an acceleration and its consequences if the rescission would not conflict with any judgment or decree of a court of competent jurisdiction already rendered and if all existing Events of Default with respect to that series have been cured or waived except nonpayment of principal, premium, if any, or interest that has become due solely because of acceleration. Upon any such rescission, the parties hereto shall be restored respectively to their several positions and rights hereunder, and all rights, remedies and powers of the parties hereto shall continue as though no such proceeding had been taken.</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125" w:name="page126"/>
    <w:bookmarkEnd w:id="125"/>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6.02 </w:t>
      </w:r>
      <w:r>
        <w:rPr>
          <w:rFonts w:ascii="Times New Roman" w:cs="Times New Roman" w:eastAsia="Times New Roman" w:hAnsi="Times New Roman"/>
          <w:sz w:val="14"/>
          <w:szCs w:val="14"/>
          <w:u w:val="single" w:color="auto"/>
          <w:color w:val="auto"/>
        </w:rPr>
        <w:t>Collection of Debt by Trustee, etc.</w:t>
      </w:r>
      <w:r>
        <w:rPr>
          <w:rFonts w:ascii="Times New Roman" w:cs="Times New Roman" w:eastAsia="Times New Roman" w:hAnsi="Times New Roman"/>
          <w:sz w:val="14"/>
          <w:szCs w:val="14"/>
          <w:color w:val="auto"/>
        </w:rPr>
        <w:t xml:space="preserve"> 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Debt Securities of the affected series or this Indenture, and may prosecute any such action or proceedings to judgment or final decree, and may enforce any such judgment or final decree against either of the Issuers or any other obligor upon the Debt Securities of such series (and collect in the manner provided by law out of the property of the Issuers or any other obligor upon the Debt Securities of such series wherever situated the moneys adjudged or decreed to be payable).</w:t>
      </w:r>
    </w:p>
    <w:p>
      <w:pPr>
        <w:spacing w:after="0" w:line="148"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In case there shall be pending proceedings for the bankruptcy or for the reorganization of either of the Issuers or any other obligor upon the Debt Securities of any series under any Bankruptcy Law, or in case a Custodian shall have been appointed for its property, or in case of any other similar judicial proceedings relative to either of the Issuers or any other obligor upon the Debt Securities of any series, its creditors or its property, the Trustee, irrespective of whether the principal of Debt Securities of any series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premium, if any, and interest (or, if the Debt Securities of such series are Original Issue Discount Debt Securities, such portion of the principal amount as may be specified in the terms of such series) owing and unpaid in respect of the Debt Securities of such series, and to file such other papers or documents as may be necessary or advisable in order to have the claims of the Trustee (including any claim for reasonable compensation to the Trustee, its agents, attorneys and counsel, and for reimbursement of all expenses and liabilities incurred, and all advances made, by the Trustee except as a result of its negligence or bad faith) and of the Holders thereof allowed in any such judicial proceedings relative to either of the Issuers, or any other obligor upon the Debt Securities of such series, its creditors or its property, and to collect and receive any moneys or other property payable or deliverable on any such claims, and to distribute all amounts received with respect to the claims of such Holders and of the Trustee on their behalf, and any receiver, assignee or trustee in bankruptcy or reorganization is hereby authorized by each of such Holders to make payments to the Trustee, and, in the event that the Trustee shall consent to the making of payments directly to such Holders, to pay to the Trustee such amount as shall be sufficient to cover reasonable compensation to the Trustee, its agents, attorneys and counsel, and all other reasonable expenses and liabilities incurred, and all advances made, by the Trustee except as a result of its negligence or bad faith.</w:t>
      </w:r>
    </w:p>
    <w:p>
      <w:pPr>
        <w:spacing w:after="0" w:line="150" w:lineRule="exact"/>
        <w:rPr>
          <w:sz w:val="20"/>
          <w:szCs w:val="20"/>
          <w:color w:val="auto"/>
        </w:rPr>
      </w:pPr>
    </w:p>
    <w:p>
      <w:pPr>
        <w:ind w:left="280" w:right="319" w:firstLine="337"/>
        <w:spacing w:after="0" w:line="253" w:lineRule="auto"/>
        <w:rPr>
          <w:sz w:val="20"/>
          <w:szCs w:val="20"/>
          <w:color w:val="auto"/>
        </w:rPr>
      </w:pPr>
      <w:r>
        <w:rPr>
          <w:rFonts w:ascii="Times New Roman" w:cs="Times New Roman" w:eastAsia="Times New Roman" w:hAnsi="Times New Roman"/>
          <w:sz w:val="14"/>
          <w:szCs w:val="14"/>
          <w:color w:val="auto"/>
        </w:rPr>
        <w:t>All rights of action and of asserting claims under this Indenture, or under any of the Debt Securities of any series, may be enforced by the Trustee without the possession of any such Debt Securities, or the production thereof in any trial or other proceedings relative thereto, and any such action or proceedings instituted by the Trustee shall be brought in its own name as trustee of an express trust, and any recovery of judgment (except for any amounts payable to the Trustee pursuant to Section 7.06) shall be for the ratable benefit of the Holders of all the Debt Securities in respect of which such action was taken.</w:t>
      </w:r>
    </w:p>
    <w:p>
      <w:pPr>
        <w:spacing w:after="0" w:line="144"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126" w:name="page127"/>
    <w:bookmarkEnd w:id="126"/>
    <w:p>
      <w:pPr>
        <w:ind w:left="280" w:right="479" w:firstLine="337"/>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6.03 </w:t>
      </w:r>
      <w:r>
        <w:rPr>
          <w:rFonts w:ascii="Times New Roman" w:cs="Times New Roman" w:eastAsia="Times New Roman" w:hAnsi="Times New Roman"/>
          <w:sz w:val="14"/>
          <w:szCs w:val="14"/>
          <w:u w:val="single" w:color="auto"/>
          <w:color w:val="auto"/>
        </w:rPr>
        <w:t>Application of Moneys Collected by Trustee</w:t>
      </w:r>
      <w:r>
        <w:rPr>
          <w:rFonts w:ascii="Times New Roman" w:cs="Times New Roman" w:eastAsia="Times New Roman" w:hAnsi="Times New Roman"/>
          <w:sz w:val="14"/>
          <w:szCs w:val="14"/>
          <w:color w:val="auto"/>
        </w:rPr>
        <w:t>. Any moneys or other property collected by the Trustee pursuant to Section 6.02 with respect to Debt Securities of any series shall be applied in the order following, at the date or dates fixed by the Trustee for the distribution of such moneys or other property, upon presentation of the several Debt Securities of such series in respect of which moneys or other property have been collected, and the notation thereon of the payment, if only partially paid, and upon surrender thereof if fully paid:</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FIRST: To the payment of all money due the Trustee pursuant to Section 7.06;</w:t>
      </w:r>
    </w:p>
    <w:p>
      <w:pPr>
        <w:spacing w:after="0" w:line="170" w:lineRule="exact"/>
        <w:rPr>
          <w:sz w:val="20"/>
          <w:szCs w:val="20"/>
          <w:color w:val="auto"/>
        </w:rPr>
      </w:pPr>
    </w:p>
    <w:p>
      <w:pPr>
        <w:ind w:left="280" w:right="419" w:firstLine="337"/>
        <w:spacing w:after="0" w:line="253" w:lineRule="auto"/>
        <w:rPr>
          <w:sz w:val="20"/>
          <w:szCs w:val="20"/>
          <w:color w:val="auto"/>
        </w:rPr>
      </w:pPr>
      <w:r>
        <w:rPr>
          <w:rFonts w:ascii="Times New Roman" w:cs="Times New Roman" w:eastAsia="Times New Roman" w:hAnsi="Times New Roman"/>
          <w:sz w:val="14"/>
          <w:szCs w:val="14"/>
          <w:color w:val="auto"/>
        </w:rPr>
        <w:t>SECOND: In case the principal of the Outstanding Debt Securities in respect of which such moneys have been collected shall not have become due, to the payment of interest on the Debt Securities of such series in the order of the maturity of the installments of such interest, with interest (to the extent that such interest has been collected by the Trustee) upon the overdue installments of interest at the rate or Yield to Maturity (in the case of Original Issue Discount Debt Securities) borne by the Debt Securities of such series, such payments to be made ratably to the Persons entitled thereto, without discrimination or preference;</w:t>
      </w:r>
    </w:p>
    <w:p>
      <w:pPr>
        <w:spacing w:after="0" w:line="144" w:lineRule="exact"/>
        <w:rPr>
          <w:sz w:val="20"/>
          <w:szCs w:val="20"/>
          <w:color w:val="auto"/>
        </w:rPr>
      </w:pPr>
    </w:p>
    <w:p>
      <w:pPr>
        <w:ind w:left="280" w:right="319" w:firstLine="337"/>
        <w:spacing w:after="0" w:line="272" w:lineRule="auto"/>
        <w:rPr>
          <w:sz w:val="20"/>
          <w:szCs w:val="20"/>
          <w:color w:val="auto"/>
        </w:rPr>
      </w:pPr>
      <w:r>
        <w:rPr>
          <w:rFonts w:ascii="Times New Roman" w:cs="Times New Roman" w:eastAsia="Times New Roman" w:hAnsi="Times New Roman"/>
          <w:sz w:val="13"/>
          <w:szCs w:val="13"/>
          <w:color w:val="auto"/>
        </w:rPr>
        <w:t>THIRD: In case the principal of the Outstanding Debt Securities in respect of which such moneys have been collected shall have become due, by declaration or otherwise, to the payment of the whole amount then owing and unpaid upon the Debt Securities of such series for principal and premium, if any, and interest, with interest on the overdue principal and premium, if any, and (to the extent that such interest has been collected by the Trustee) upon overdue installments of interest at the rate or Yield to Maturity (in the case of Original Issue Discount Debt Securities) borne by the Debt Securities of such series; and, in case such moneys shall be insufficient to pay in full the whole amount so due and unpaid upon the Debt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Debt Security of such series over any Debt Security of such series, ratably to the aggregate of such principal and premium, if any, and interest; and</w:t>
      </w:r>
    </w:p>
    <w:p>
      <w:pPr>
        <w:spacing w:after="0" w:line="134" w:lineRule="exact"/>
        <w:rPr>
          <w:sz w:val="20"/>
          <w:szCs w:val="20"/>
          <w:color w:val="auto"/>
        </w:rPr>
      </w:pPr>
    </w:p>
    <w:p>
      <w:pPr>
        <w:ind w:left="280" w:right="679" w:firstLine="337"/>
        <w:spacing w:after="0" w:line="273" w:lineRule="auto"/>
        <w:rPr>
          <w:sz w:val="20"/>
          <w:szCs w:val="20"/>
          <w:color w:val="auto"/>
        </w:rPr>
      </w:pPr>
      <w:r>
        <w:rPr>
          <w:rFonts w:ascii="Times New Roman" w:cs="Times New Roman" w:eastAsia="Times New Roman" w:hAnsi="Times New Roman"/>
          <w:sz w:val="14"/>
          <w:szCs w:val="14"/>
          <w:color w:val="auto"/>
        </w:rPr>
        <w:t>FOURTH: The remainder, if any, shall be paid to the Issuers or to whomsoever may be lawfully entitled to receive the same, or as a court of competent jurisdiction may direct.</w:t>
      </w:r>
    </w:p>
    <w:p>
      <w:pPr>
        <w:spacing w:after="0" w:line="130" w:lineRule="exact"/>
        <w:rPr>
          <w:sz w:val="20"/>
          <w:szCs w:val="20"/>
          <w:color w:val="auto"/>
        </w:rPr>
      </w:pPr>
    </w:p>
    <w:p>
      <w:pPr>
        <w:ind w:left="280" w:right="359" w:firstLine="337"/>
        <w:spacing w:after="0" w:line="273" w:lineRule="auto"/>
        <w:rPr>
          <w:sz w:val="20"/>
          <w:szCs w:val="20"/>
          <w:color w:val="auto"/>
        </w:rPr>
      </w:pPr>
      <w:r>
        <w:rPr>
          <w:rFonts w:ascii="Times New Roman" w:cs="Times New Roman" w:eastAsia="Times New Roman" w:hAnsi="Times New Roman"/>
          <w:sz w:val="14"/>
          <w:szCs w:val="14"/>
          <w:color w:val="auto"/>
        </w:rPr>
        <w:t>The Trustee may fix a record date and payment date for any payment to Holders pursuant to this Section 6.03. At least 15 days before such record date, the Issuers shall mail to each Holder and the Trustee a notice that states the record date, the payment date and amount to be paid.</w:t>
      </w:r>
    </w:p>
    <w:p>
      <w:pPr>
        <w:spacing w:after="0" w:line="130" w:lineRule="exact"/>
        <w:rPr>
          <w:sz w:val="20"/>
          <w:szCs w:val="20"/>
          <w:color w:val="auto"/>
        </w:rPr>
      </w:pPr>
    </w:p>
    <w:p>
      <w:pPr>
        <w:ind w:left="280" w:right="47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Limitation on Suits by Holders</w:t>
      </w:r>
      <w:r>
        <w:rPr>
          <w:rFonts w:ascii="Times New Roman" w:cs="Times New Roman" w:eastAsia="Times New Roman" w:hAnsi="Times New Roman"/>
          <w:sz w:val="14"/>
          <w:szCs w:val="14"/>
          <w:color w:val="auto"/>
        </w:rPr>
        <w:t>. No Holder of any Debt Security of any series shall have any right by virtue or by availing of any provision of this Indenture to institute any action or proceeding at law or in equity or in bankruptcy or otherwise, upon or under or with respect to this Indenture, or for the appointment of a receiver or trustee, or for any other remedy hereunder, unless such Holder previously shall have given to the Trustee written notice of an Event of Default with respect to Debt Securities of that same series and of the continuance thereof and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127" w:name="page128"/>
    <w:bookmarkEnd w:id="127"/>
    <w:p>
      <w:pPr>
        <w:ind w:left="280" w:right="29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unless the Holders of not less than 30% in aggregate principal amount of the Outstanding Debt Securities of that series shall have made written request upon the Trustee to institute such action or proceedings in respect of such Event of Default in its own name as Trustee hereunder and shall have offered to the Trustee such reasonable indemnity or security as it may require against the costs, expenses and liabilities to be incurred therein or thereby, and the Trustee, for 60 days after its receipt of such notice, request and offer of indemnity or security shall have failed to institute any such action or proceedings and no direction inconsistent with such written request shall have been given to the Trustee pursuant to Section 6.06; it being understood and intended, and being expressly covenanted by the Holder of every Debt Security with every other Holder and the Trustee, that no one or more Holders shall have any right in any manner whatever by virtue or by availing of any provision of this Indenture to affect, disturb or prejudice the rights of any Holders, or to obtain or seek to obtain priority over or preference to any other such Holder, or to enforce any right under this Indenture, except in the manner herein provided and for the equal, ratable and common benefit of all such Holders. For the protection and enforcement of the provisions of this Section 6.04, each and every Holder and the Trustee shall be entitled to such relief as can be given either at law or in equity.</w:t>
      </w:r>
    </w:p>
    <w:p>
      <w:pPr>
        <w:spacing w:after="0" w:line="138"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in this Indenture, however, the right of any Holder of any Debt Security to receive payment of the principal of, and premium, if any, and (subject to Section 2.12) interest on, such Debt Security, on or after the respective due dates expressed in such Debt Security, and to institute suit for the enforcement of any such payment on or after such respective dates, shall not be impaired or affected without the consent of such Holder.</w:t>
      </w:r>
    </w:p>
    <w:p>
      <w:pPr>
        <w:spacing w:after="0" w:line="143" w:lineRule="exact"/>
        <w:rPr>
          <w:sz w:val="20"/>
          <w:szCs w:val="20"/>
          <w:color w:val="auto"/>
        </w:rPr>
      </w:pPr>
    </w:p>
    <w:p>
      <w:pPr>
        <w:ind w:left="280" w:right="319" w:firstLine="337"/>
        <w:spacing w:after="0" w:line="251" w:lineRule="auto"/>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Remedies Cumulative; Delay or Omission in Exercise of Rights Not a Waiver of Default</w:t>
      </w:r>
      <w:r>
        <w:rPr>
          <w:rFonts w:ascii="Times New Roman" w:cs="Times New Roman" w:eastAsia="Times New Roman" w:hAnsi="Times New Roman"/>
          <w:sz w:val="14"/>
          <w:szCs w:val="14"/>
          <w:color w:val="auto"/>
        </w:rPr>
        <w:t>. All powers and remedies given by this Article VI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this Indenture, and no delay or omission of the Trustee or of any Holder to exercise any right or power accruing upon any Default occurring and continuing as aforesaid, shall impair any such right or power, or shall be construed to be a waiver of any such Default or an acquiescence therein; and, subject to the provisions of Section 6.04, every power and remedy given by this Article VI or by law to the Trustee or to the Holders may be exercised from time to time, and as often as shall be deemed expedient, by the Trustee or by the Holders.</w:t>
      </w:r>
    </w:p>
    <w:p>
      <w:pPr>
        <w:spacing w:after="0" w:line="145" w:lineRule="exact"/>
        <w:rPr>
          <w:sz w:val="20"/>
          <w:szCs w:val="20"/>
          <w:color w:val="auto"/>
        </w:rPr>
      </w:pPr>
    </w:p>
    <w:p>
      <w:pPr>
        <w:ind w:left="280" w:right="419" w:firstLine="337"/>
        <w:spacing w:after="0" w:line="250" w:lineRule="auto"/>
        <w:rPr>
          <w:sz w:val="20"/>
          <w:szCs w:val="20"/>
          <w:color w:val="auto"/>
        </w:rPr>
      </w:pPr>
      <w:r>
        <w:rPr>
          <w:rFonts w:ascii="Times New Roman" w:cs="Times New Roman" w:eastAsia="Times New Roman" w:hAnsi="Times New Roman"/>
          <w:sz w:val="14"/>
          <w:szCs w:val="14"/>
          <w:color w:val="auto"/>
        </w:rPr>
        <w:t xml:space="preserve">Section 6.06 </w:t>
      </w:r>
      <w:r>
        <w:rPr>
          <w:rFonts w:ascii="Times New Roman" w:cs="Times New Roman" w:eastAsia="Times New Roman" w:hAnsi="Times New Roman"/>
          <w:sz w:val="14"/>
          <w:szCs w:val="14"/>
          <w:u w:val="single" w:color="auto"/>
          <w:color w:val="auto"/>
        </w:rPr>
        <w:t>Rights of Holders of Majority in Principal Amount of Debt Securities to Direct Trustee and to Waive Default</w:t>
      </w:r>
      <w:r>
        <w:rPr>
          <w:rFonts w:ascii="Times New Roman" w:cs="Times New Roman" w:eastAsia="Times New Roman" w:hAnsi="Times New Roman"/>
          <w:sz w:val="14"/>
          <w:szCs w:val="14"/>
          <w:color w:val="auto"/>
        </w:rPr>
        <w:t xml:space="preserve">. The Holders of a majority in aggregate principal amount of the Debt Securities of any series at the time Outstanding shall have the right to direct the time, method and place of conducting any proceeding for any remedy available to the Trustee, or of exercising any right, trust or power conferred on the Trustee, with respect to the Debt Securities of such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direction shall not be otherwise than in accordance with law and the provisions of this Indenture, and that subject to the provisions of Section 7.01, the Trustee shall have the right to decline to follow any such direction if the Trustee being advised by counsel shall determine that the action so directed may not lawfully be taken or is inconsistent with any provision of this Indenture, or if the Trustee shall by a responsible officer or officers determine that the action so directed would involve it in personal liability or would be unduly prejudicial to Holders of Debt Securities of such series not taking part in such direction;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128" w:name="page129"/>
    <w:bookmarkEnd w:id="128"/>
    <w:p>
      <w:pPr>
        <w:ind w:left="280" w:right="299"/>
        <w:spacing w:after="0" w:line="250"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further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nothing in this Indenture contained shall impair the right of the Trustee to take any action deemed proper by the Trustee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which is not inconsistent with such direction by such Holders. The Holders of a majority in aggregate principal amount of the Debt Securities of any series at the time Outstanding may on behalf of the Holders of all the Debt Securities of that series waive any past Default or Event of Default and its consequences for that series, except a Default or Event of Default in the payment of the principal of, and premium, if any, or interest on, any of the Debt Securities and a Default or Event of Default in respect of a provision that under Section 9.02 cannot be amended without the consent of each Holder affected thereby. In case of any such waiver, such Default shall cease to exist, any Event of Default arising therefrom shall be deemed to have been cured for every purpose of this Indenture, and the Issuers, the Trustee and the Holders of the Debt Securities of that series shall be restored to their former positions and rights hereunder, respectively; but no such waiver shall extend to any subsequent or other Default or Event of Default or impair any right consequent thereon.</w:t>
      </w:r>
    </w:p>
    <w:p>
      <w:pPr>
        <w:spacing w:after="0" w:line="149" w:lineRule="exact"/>
        <w:rPr>
          <w:sz w:val="20"/>
          <w:szCs w:val="20"/>
          <w:color w:val="auto"/>
        </w:rPr>
      </w:pPr>
    </w:p>
    <w:p>
      <w:pPr>
        <w:ind w:left="280" w:right="399" w:firstLine="337"/>
        <w:spacing w:after="0" w:line="250" w:lineRule="auto"/>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Trustee to Give Notice of Events of Defaults Known to It, but May Withhold Such Notice in Certain Circumstances</w:t>
      </w:r>
      <w:r>
        <w:rPr>
          <w:rFonts w:ascii="Times New Roman" w:cs="Times New Roman" w:eastAsia="Times New Roman" w:hAnsi="Times New Roman"/>
          <w:sz w:val="14"/>
          <w:szCs w:val="14"/>
          <w:color w:val="auto"/>
        </w:rPr>
        <w:t xml:space="preserve">. The Trustee shall, within 90 days after the occurrence of an Event of Default, or if later, within 30 days after the Trustee obtains actual knowledge of the Event of Default, with respect to a series of Debt Securities give to the Holders thereof, in the manner provided in Section 13.03, notice of all Events of Default with respect to such series known to the Trustee, unless such Events of Default shall have been cured or waived before the giving of such notice;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except in the case of an Event of Default in the payment of the principal of, or premium, if any, or interest on, any of the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such series or in the making of any sinking fund payment with respect to the Debt Securities of such series, the Trustee shall be protected in withholding such notice if and so long as the board of directors, the executive committee or a committee of directors or responsible officers of the Trustee in good faith determines that the withholding of such notice is in the interests of the Holders thereof.</w:t>
      </w:r>
    </w:p>
    <w:p>
      <w:pPr>
        <w:spacing w:after="0" w:line="148" w:lineRule="exact"/>
        <w:rPr>
          <w:sz w:val="20"/>
          <w:szCs w:val="20"/>
          <w:color w:val="auto"/>
        </w:rPr>
      </w:pPr>
    </w:p>
    <w:p>
      <w:pPr>
        <w:ind w:left="280" w:right="299" w:firstLine="337"/>
        <w:spacing w:after="0" w:line="271" w:lineRule="auto"/>
        <w:rPr>
          <w:sz w:val="20"/>
          <w:szCs w:val="20"/>
          <w:color w:val="auto"/>
        </w:rPr>
      </w:pPr>
      <w:r>
        <w:rPr>
          <w:rFonts w:ascii="Times New Roman" w:cs="Times New Roman" w:eastAsia="Times New Roman" w:hAnsi="Times New Roman"/>
          <w:sz w:val="13"/>
          <w:szCs w:val="13"/>
          <w:color w:val="auto"/>
        </w:rPr>
        <w:t xml:space="preserve">Section 6.08 </w:t>
      </w:r>
      <w:r>
        <w:rPr>
          <w:rFonts w:ascii="Times New Roman" w:cs="Times New Roman" w:eastAsia="Times New Roman" w:hAnsi="Times New Roman"/>
          <w:sz w:val="13"/>
          <w:szCs w:val="13"/>
          <w:u w:val="single" w:color="auto"/>
          <w:color w:val="auto"/>
        </w:rPr>
        <w:t>Requirement of an Undertaking to Pay Costs in Certain Suits under the Indenture or Against the Trustee</w:t>
      </w:r>
      <w:r>
        <w:rPr>
          <w:rFonts w:ascii="Times New Roman" w:cs="Times New Roman" w:eastAsia="Times New Roman" w:hAnsi="Times New Roman"/>
          <w:sz w:val="13"/>
          <w:szCs w:val="13"/>
          <w:color w:val="auto"/>
        </w:rPr>
        <w:t>. All parties to this Indenture agree, and each Holder of any Debt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in the manner and to the extent provided in the TIA,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6.08 shall not apply to any suit instituted by the Trustee, to any suit instituted by any Holder, or group of Holders, holding in the aggregate more than 25 percent in principal amount of the Outstanding Debt Securities of that series or to any suit instituted by any Holder for the enforcement of the payment of the principal of, or premium, if any, or interest on, any Debt Security on or after the due date for such payment expressed in such Debt Security.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6"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57"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Certain Duties and Responsibilities</w:t>
      </w:r>
      <w:r>
        <w:rPr>
          <w:rFonts w:ascii="Times New Roman" w:cs="Times New Roman" w:eastAsia="Times New Roman" w:hAnsi="Times New Roman"/>
          <w:sz w:val="14"/>
          <w:szCs w:val="14"/>
          <w:color w:val="auto"/>
        </w:rPr>
        <w:t>. The Trustee, prior to the occurrence of an Event of Default and after the curing or waiving of all Events of Default which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44"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its own bad faith or its own willful misconduct, except that:</w:t>
      </w:r>
    </w:p>
    <w:p>
      <w:pPr>
        <w:spacing w:after="0" w:line="47" w:lineRule="exact"/>
        <w:rPr>
          <w:sz w:val="20"/>
          <w:szCs w:val="20"/>
          <w:color w:val="auto"/>
        </w:rPr>
      </w:pPr>
    </w:p>
    <w:p>
      <w:pPr>
        <w:ind w:left="800" w:hanging="178"/>
        <w:spacing w:after="0"/>
        <w:tabs>
          <w:tab w:leader="none" w:pos="8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shall not be construed to limit the effect of the first paragraph of this Section 7.01;</w:t>
      </w:r>
    </w:p>
    <w:p>
      <w:pPr>
        <w:spacing w:after="0" w:line="169" w:lineRule="exact"/>
        <w:rPr>
          <w:rFonts w:ascii="Times New Roman" w:cs="Times New Roman" w:eastAsia="Times New Roman" w:hAnsi="Times New Roman"/>
          <w:sz w:val="14"/>
          <w:szCs w:val="14"/>
          <w:color w:val="auto"/>
        </w:rPr>
      </w:pPr>
    </w:p>
    <w:p>
      <w:pPr>
        <w:ind w:left="280" w:right="539" w:firstLine="342"/>
        <w:spacing w:after="0" w:line="273" w:lineRule="auto"/>
        <w:tabs>
          <w:tab w:leader="none" w:pos="81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occurrence of an Event of Default with respect to the Debt Securities of a series and after the curing or waiving of all Events of Default with respect to such series which may have occurred:</w:t>
      </w:r>
    </w:p>
    <w:p>
      <w:pPr>
        <w:spacing w:after="0" w:line="47" w:lineRule="exact"/>
        <w:rPr>
          <w:rFonts w:ascii="Times New Roman" w:cs="Times New Roman" w:eastAsia="Times New Roman" w:hAnsi="Times New Roman"/>
          <w:sz w:val="14"/>
          <w:szCs w:val="14"/>
          <w:color w:val="auto"/>
        </w:rPr>
      </w:pPr>
    </w:p>
    <w:p>
      <w:pPr>
        <w:ind w:left="280" w:right="299" w:firstLine="764"/>
        <w:spacing w:after="0" w:line="255" w:lineRule="auto"/>
        <w:tabs>
          <w:tab w:leader="none" w:pos="1204"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and obligations of the Trustee with respect to Debt Securities of any series shall be determined solely by the express provisions of this Indenture, and the Trustee shall not be liable except for the performance of such duties and obligations with respect to such series as are specifically set forth in this Indenture, and no implied covenants or obligations with respect to such series shall be read into this Indenture against the Trustee;</w:t>
      </w:r>
    </w:p>
    <w:p>
      <w:pPr>
        <w:spacing w:after="0" w:line="143" w:lineRule="exact"/>
        <w:rPr>
          <w:rFonts w:ascii="Times New Roman" w:cs="Times New Roman" w:eastAsia="Times New Roman" w:hAnsi="Times New Roman"/>
          <w:sz w:val="14"/>
          <w:szCs w:val="14"/>
          <w:color w:val="auto"/>
        </w:rPr>
      </w:pPr>
    </w:p>
    <w:p>
      <w:pPr>
        <w:ind w:left="280" w:right="399" w:firstLine="764"/>
        <w:spacing w:after="0" w:line="251" w:lineRule="auto"/>
        <w:tabs>
          <w:tab w:leader="none" w:pos="1242"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the Trustee shall examine the evidence furnished to it pursuant to Sections 4.05 and 4.06 to determine whether or not such evidence conforms to the requirement of this Indenture;</w:t>
      </w:r>
    </w:p>
    <w:p>
      <w:pPr>
        <w:spacing w:after="0" w:line="148" w:lineRule="exact"/>
        <w:rPr>
          <w:rFonts w:ascii="Times New Roman" w:cs="Times New Roman" w:eastAsia="Times New Roman" w:hAnsi="Times New Roman"/>
          <w:sz w:val="14"/>
          <w:szCs w:val="14"/>
          <w:color w:val="auto"/>
        </w:rPr>
      </w:pPr>
    </w:p>
    <w:p>
      <w:pPr>
        <w:ind w:left="280" w:right="499" w:firstLine="764"/>
        <w:spacing w:after="0" w:line="273" w:lineRule="auto"/>
        <w:tabs>
          <w:tab w:leader="none" w:pos="1281"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 error of judgment made in good faith by a responsible officer, unless it shall be proved that the Trustee was negligent in ascertaining the pertinent facts; and</w:t>
      </w:r>
    </w:p>
    <w:p>
      <w:pPr>
        <w:spacing w:after="0" w:line="130" w:lineRule="exact"/>
        <w:rPr>
          <w:rFonts w:ascii="Times New Roman" w:cs="Times New Roman" w:eastAsia="Times New Roman" w:hAnsi="Times New Roman"/>
          <w:sz w:val="14"/>
          <w:szCs w:val="14"/>
          <w:color w:val="auto"/>
        </w:rPr>
      </w:pPr>
    </w:p>
    <w:p>
      <w:pPr>
        <w:ind w:left="280" w:right="359" w:firstLine="764"/>
        <w:spacing w:after="0" w:line="255" w:lineRule="auto"/>
        <w:tabs>
          <w:tab w:leader="none" w:pos="1273"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or omitted to be taken by it with respect to Debt Securities of any series in good faith in accordance with the direction of the Holders of a majority in aggregate principal amount of the Outstanding Debt Securities of that series relating to the time, method and place of conducting any proceeding for any remedy available to the Trustee, or exercising any trust or power conferred upon the Trustee, under this Indenture with respect to Debt Securities of such series.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6" w:right="1440" w:bottom="1440" w:gutter="0" w:footer="0" w:header="0"/>
        </w:sectPr>
      </w:pPr>
    </w:p>
    <w:bookmarkStart w:id="130" w:name="page131"/>
    <w:bookmarkEnd w:id="130"/>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None of the provisions of this Indenture shall require the Trustee to expend or risk its own funds or otherwise incur any personal financial liability in the performance of any of its duties hereunder, or in the exercise of any of its rights or powers, if there shall be reasonable grounds for believing that repayment of such funds or adequate indemnity against such risk or liability is not reasonably assured to it.</w:t>
      </w:r>
    </w:p>
    <w:p>
      <w:pPr>
        <w:spacing w:after="0" w:line="141"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Certain Rights of Trustee</w:t>
      </w:r>
      <w:r>
        <w:rPr>
          <w:rFonts w:ascii="Times New Roman" w:cs="Times New Roman" w:eastAsia="Times New Roman" w:hAnsi="Times New Roman"/>
          <w:sz w:val="14"/>
          <w:szCs w:val="14"/>
          <w:color w:val="auto"/>
        </w:rPr>
        <w:t>. Except as otherwise provided in Section 7.01:</w:t>
      </w:r>
    </w:p>
    <w:p>
      <w:pPr>
        <w:spacing w:after="0" w:line="87" w:lineRule="exact"/>
        <w:rPr>
          <w:sz w:val="20"/>
          <w:szCs w:val="20"/>
          <w:color w:val="auto"/>
        </w:rPr>
      </w:pPr>
    </w:p>
    <w:p>
      <w:pPr>
        <w:ind w:left="280" w:right="319" w:firstLine="342"/>
        <w:spacing w:after="0" w:line="259" w:lineRule="auto"/>
        <w:tabs>
          <w:tab w:leader="none" w:pos="80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and shall be protected in acting or refraining from acting upon any resolution, certificate, statement, instrument, opinion, report, notice, request, direction, consent, order, bond, debenture, note or other paper or document (whether in its original or facsimile form) believed by it to be genuine and to have been signed or presented by the proper party or parties;</w:t>
      </w:r>
    </w:p>
    <w:p>
      <w:pPr>
        <w:spacing w:after="0" w:line="140" w:lineRule="exact"/>
        <w:rPr>
          <w:rFonts w:ascii="Times New Roman" w:cs="Times New Roman" w:eastAsia="Times New Roman" w:hAnsi="Times New Roman"/>
          <w:sz w:val="14"/>
          <w:szCs w:val="14"/>
          <w:color w:val="auto"/>
        </w:rPr>
      </w:pPr>
    </w:p>
    <w:p>
      <w:pPr>
        <w:jc w:val="both"/>
        <w:ind w:left="280" w:right="499" w:firstLine="342"/>
        <w:spacing w:after="0" w:line="259" w:lineRule="auto"/>
        <w:tabs>
          <w:tab w:leader="none" w:pos="813"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direction, order or demand of either of the Issuers mentioned herein shall be sufficiently; evidenced by an Issuer Order (unless other evidence in respect thereof be herein specifically prescribed); and any resolution of the Board of Directors of an Issuer may be evidenced to the Trustee by a copy thereof certified by its Secretary or an Assistant Secretary;</w:t>
      </w:r>
    </w:p>
    <w:p>
      <w:pPr>
        <w:spacing w:after="0" w:line="140" w:lineRule="exact"/>
        <w:rPr>
          <w:rFonts w:ascii="Times New Roman" w:cs="Times New Roman" w:eastAsia="Times New Roman" w:hAnsi="Times New Roman"/>
          <w:sz w:val="14"/>
          <w:szCs w:val="14"/>
          <w:color w:val="auto"/>
        </w:rPr>
      </w:pPr>
    </w:p>
    <w:p>
      <w:pPr>
        <w:ind w:left="280" w:right="379" w:firstLine="342"/>
        <w:spacing w:after="0" w:line="312" w:lineRule="auto"/>
        <w:tabs>
          <w:tab w:leader="none" w:pos="805"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may consult with counsel, and the advice of such counsel or any Opinion of Counsel shall be full and complete authorization and protection in respect of any action taken or suffered or omitted by it hereunder in good faith and in accordance with such advice or Opinion of Counsel;</w:t>
      </w:r>
    </w:p>
    <w:p>
      <w:pPr>
        <w:spacing w:after="0" w:line="107" w:lineRule="exact"/>
        <w:rPr>
          <w:rFonts w:ascii="Times New Roman" w:cs="Times New Roman" w:eastAsia="Times New Roman" w:hAnsi="Times New Roman"/>
          <w:sz w:val="13"/>
          <w:szCs w:val="13"/>
          <w:color w:val="auto"/>
        </w:rPr>
      </w:pPr>
    </w:p>
    <w:p>
      <w:pPr>
        <w:ind w:left="280" w:right="319" w:firstLine="342"/>
        <w:spacing w:after="0" w:line="259" w:lineRule="auto"/>
        <w:tabs>
          <w:tab w:leader="none" w:pos="813"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Holders of Debt Securities of any series pursuant to the provisions of this Indenture, unless such Holders shall have offered to the Trustee reasonable security or indemnity against the costs, expenses and liabilities which may be incurred therein or thereby;</w:t>
      </w:r>
    </w:p>
    <w:p>
      <w:pPr>
        <w:spacing w:after="0" w:line="140" w:lineRule="exact"/>
        <w:rPr>
          <w:rFonts w:ascii="Times New Roman" w:cs="Times New Roman" w:eastAsia="Times New Roman" w:hAnsi="Times New Roman"/>
          <w:sz w:val="14"/>
          <w:szCs w:val="14"/>
          <w:color w:val="auto"/>
        </w:rPr>
      </w:pPr>
    </w:p>
    <w:p>
      <w:pPr>
        <w:ind w:left="280" w:right="519" w:firstLine="342"/>
        <w:spacing w:after="0" w:line="273" w:lineRule="auto"/>
        <w:tabs>
          <w:tab w:leader="none" w:pos="80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taken or omitted by it in good faith and reasonably believed by it to be authorized or within the discretion or rights or powers conferred upon it by this Indenture;</w:t>
      </w:r>
    </w:p>
    <w:p>
      <w:pPr>
        <w:spacing w:after="0" w:line="130" w:lineRule="exact"/>
        <w:rPr>
          <w:rFonts w:ascii="Times New Roman" w:cs="Times New Roman" w:eastAsia="Times New Roman" w:hAnsi="Times New Roman"/>
          <w:sz w:val="14"/>
          <w:szCs w:val="14"/>
          <w:color w:val="auto"/>
        </w:rPr>
      </w:pPr>
    </w:p>
    <w:p>
      <w:pPr>
        <w:ind w:left="280" w:right="339" w:firstLine="342"/>
        <w:spacing w:after="0" w:line="250" w:lineRule="auto"/>
        <w:tabs>
          <w:tab w:leader="none" w:pos="79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occurrence of an Event of Default and after the curing of all Events of Default which may have occurred, the Trustee shall not be bound to make any investigation into the facts or matters stated in any resolution, certificate, statement, instrument, opinion, report, notice, request, direction, consent, order, approval or other paper or document, unless requested in writing to do so by the Holders of a majority in aggregate principal amount of the then Outstanding Debt Securities of a series affected by such matter;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payment within a reasonable time to the Trustee of the costs, expenses or liabilities likely to be incurred by it in the making of such investigation is not, in the opinion of the Trustee, reasonably assured to the Trustee by the security afforded to it by the terms of this Indenture, the Trustee may require reasonable indemnity against such costs, expenses or liabilities as a condition to so proceeding, and the reasonable expense of every such investigation shall be paid by the Issuers or, if paid by the Trustee, shall be repaid by the Issuers upon demand;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131" w:name="page132"/>
    <w:bookmarkEnd w:id="131"/>
    <w:p>
      <w:pPr>
        <w:ind w:left="280" w:right="519" w:firstLine="342"/>
        <w:spacing w:after="0" w:line="259" w:lineRule="auto"/>
        <w:tabs>
          <w:tab w:leader="none" w:pos="81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 and</w:t>
      </w:r>
    </w:p>
    <w:p>
      <w:pPr>
        <w:spacing w:after="0" w:line="140" w:lineRule="exact"/>
        <w:rPr>
          <w:rFonts w:ascii="Times New Roman" w:cs="Times New Roman" w:eastAsia="Times New Roman" w:hAnsi="Times New Roman"/>
          <w:sz w:val="14"/>
          <w:szCs w:val="14"/>
          <w:color w:val="auto"/>
        </w:rPr>
      </w:pPr>
    </w:p>
    <w:p>
      <w:pPr>
        <w:ind w:left="280" w:right="419" w:firstLine="342"/>
        <w:spacing w:after="0" w:line="259" w:lineRule="auto"/>
        <w:tabs>
          <w:tab w:leader="none" w:pos="81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property other than cash shall at any time be subject to a Lien in favor of the Holders, the Trustee, if and to the extent authorized by a receivership or bankruptcy court of competent jurisdiction or by the supplemental instrument subjecting such property to such Lien, shall be entitled to make advances for the purpose of preserving such property or of discharging tax Liens or other prior Liens or encumbrances thereon.</w:t>
      </w:r>
    </w:p>
    <w:p>
      <w:pPr>
        <w:spacing w:after="0" w:line="141" w:lineRule="exact"/>
        <w:rPr>
          <w:sz w:val="20"/>
          <w:szCs w:val="20"/>
          <w:color w:val="auto"/>
        </w:rPr>
      </w:pPr>
    </w:p>
    <w:p>
      <w:pPr>
        <w:ind w:left="280" w:right="339" w:firstLine="337"/>
        <w:spacing w:after="0" w:line="275" w:lineRule="auto"/>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u w:val="single" w:color="auto"/>
          <w:color w:val="auto"/>
        </w:rPr>
        <w:t>Trustee Not Liable for Recitals in Indenture or in Debt Securities</w:t>
      </w:r>
      <w:r>
        <w:rPr>
          <w:rFonts w:ascii="Times New Roman" w:cs="Times New Roman" w:eastAsia="Times New Roman" w:hAnsi="Times New Roman"/>
          <w:sz w:val="13"/>
          <w:szCs w:val="13"/>
          <w:color w:val="auto"/>
        </w:rPr>
        <w:t>. The recitals contained herein, in the Debt Securities (except the Trustee’s certificate of authentication) shall be taken as the statements of the Issuers, and the Trustee assumes no responsibility for the correctness of the same. The Trustee makes no representations as to the validity or sufficiency of this Indenture or of the Debt Securities of any series, except that the Trustee represents that it is duly authorized to execute and deliver this Indenture, authenticate the Debt Securities and perform its obligations hereunder, and that the statements made by it or to be made by it in a Statement of Eligibility and Qualification on Form T-1 supplied to the Issuers are true and accurate. The Trustee shall not be accountable for the use or application by the Issuers of any of the Debt Securities or of the proceeds thereof.</w:t>
      </w:r>
    </w:p>
    <w:p>
      <w:pPr>
        <w:spacing w:after="0" w:line="131"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Trustee, Paying Agent or Registrar May Own Debt Securities</w:t>
      </w:r>
      <w:r>
        <w:rPr>
          <w:rFonts w:ascii="Times New Roman" w:cs="Times New Roman" w:eastAsia="Times New Roman" w:hAnsi="Times New Roman"/>
          <w:sz w:val="14"/>
          <w:szCs w:val="14"/>
          <w:color w:val="auto"/>
        </w:rPr>
        <w:t>. The Trustee or any paying agent or Registrar, in its individual or any other capacity, may become the owner or pledgee of Debt Securities and subject to the provisions of the TIA relating to conflicts of interest and preferential claims may otherwise deal with the Issuers with the same rights it would have if it were not Trustee, paying agent or Registrar.</w:t>
      </w:r>
    </w:p>
    <w:p>
      <w:pPr>
        <w:spacing w:after="0" w:line="141" w:lineRule="exact"/>
        <w:rPr>
          <w:sz w:val="20"/>
          <w:szCs w:val="20"/>
          <w:color w:val="auto"/>
        </w:rPr>
      </w:pPr>
    </w:p>
    <w:p>
      <w:pPr>
        <w:ind w:left="280" w:right="43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Moneys Received by Trustee to Be Held in Trust</w:t>
      </w:r>
      <w:r>
        <w:rPr>
          <w:rFonts w:ascii="Times New Roman" w:cs="Times New Roman" w:eastAsia="Times New Roman" w:hAnsi="Times New Roman"/>
          <w:sz w:val="14"/>
          <w:szCs w:val="14"/>
          <w:color w:val="auto"/>
        </w:rPr>
        <w:t>.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So long as no Event of Default shall have occurred and be continuing, all interest allowed on any such moneys shall be paid from time to time to the Issuers upon an Issuer Order.</w:t>
      </w:r>
    </w:p>
    <w:p>
      <w:pPr>
        <w:spacing w:after="0" w:line="144"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Compensation and Reimbursement</w:t>
      </w:r>
      <w:r>
        <w:rPr>
          <w:rFonts w:ascii="Times New Roman" w:cs="Times New Roman" w:eastAsia="Times New Roman" w:hAnsi="Times New Roman"/>
          <w:sz w:val="14"/>
          <w:szCs w:val="14"/>
          <w:color w:val="auto"/>
        </w:rPr>
        <w:t>. The Issuers covenant and agree to pay in Dollars to the Trustee from time to time, and the Trustee shall be entitled to, reasonable compensation for all services rendered by it hereunder (which shall not be limited by any provision of law in regard to the compensation of a trustee of an express trust), and, except as otherwise expressly provided herein, the Issuers will pay or reimburse in Dollars the Trustee upon its request for all reasonable expenses, disbursements and advances incurred or made by the Trustee in accordance with any of the provisions of this Indenture (including the reasonable compensation and the expenses and disbursements of its agents, attorneys and counsel and of all Persons not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132" w:name="page133"/>
    <w:bookmarkEnd w:id="132"/>
    <w:p>
      <w:pPr>
        <w:ind w:left="280" w:right="3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regularly in its employ), including without limitation, Section 6.02, except any such expense, disbursement or advances as may arise from its negligence, willful misconduct or bad faith. The Issuers also covenant to indemnify in Dollars the Trustee for, and to hold it harmless against, any loss, liability or expense incurred without negligence, willful misconduct or bad faith on the part of the Trustee, arising out of or in connection with the acceptance or administration of this trust or trusts hereunder, including the reasonable costs and expenses of defending itself against any claim of liability in connection with the exercise or performance of any of its powers or duties hereunder. The obligations of the Issuers under this Section 7.06 to compensate and indemnify the Trustee and to pay or reimburse the Trustee for expenses, disbursements and advances shall constitute additional Debt hereunder and shall survive the satisfaction and discharge of this Indenture. The Issuers and the Holders agree that such additional Debt shall be secured by a Lien prior to that of the Debt Securities upon all property and funds held or collected by the Trustee, as such, except funds held in trust for the payment of principal of, and premium, if any, or interest on, particular Debt Securities.</w:t>
      </w:r>
    </w:p>
    <w:p>
      <w:pPr>
        <w:spacing w:after="0" w:line="145" w:lineRule="exact"/>
        <w:rPr>
          <w:sz w:val="20"/>
          <w:szCs w:val="20"/>
          <w:color w:val="auto"/>
        </w:rPr>
      </w:pPr>
    </w:p>
    <w:p>
      <w:pPr>
        <w:ind w:left="280" w:right="579" w:firstLine="337"/>
        <w:spacing w:after="0" w:line="273"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6.01(e) or (f) occurs, the expenses and the compensation for the services are intended to constitute expenses of administration under any Bankruptcy Law.</w:t>
      </w:r>
    </w:p>
    <w:p>
      <w:pPr>
        <w:spacing w:after="0" w:line="130" w:lineRule="exact"/>
        <w:rPr>
          <w:sz w:val="20"/>
          <w:szCs w:val="20"/>
          <w:color w:val="auto"/>
        </w:rPr>
      </w:pPr>
    </w:p>
    <w:p>
      <w:pPr>
        <w:ind w:left="280" w:right="359" w:firstLine="337"/>
        <w:spacing w:after="0" w:line="275" w:lineRule="auto"/>
        <w:rPr>
          <w:sz w:val="20"/>
          <w:szCs w:val="20"/>
          <w:color w:val="auto"/>
        </w:rPr>
      </w:pPr>
      <w:r>
        <w:rPr>
          <w:rFonts w:ascii="Times New Roman" w:cs="Times New Roman" w:eastAsia="Times New Roman" w:hAnsi="Times New Roman"/>
          <w:sz w:val="13"/>
          <w:szCs w:val="13"/>
          <w:color w:val="auto"/>
        </w:rPr>
        <w:t xml:space="preserve">Section 7.07 </w:t>
      </w:r>
      <w:r>
        <w:rPr>
          <w:rFonts w:ascii="Times New Roman" w:cs="Times New Roman" w:eastAsia="Times New Roman" w:hAnsi="Times New Roman"/>
          <w:sz w:val="13"/>
          <w:szCs w:val="13"/>
          <w:u w:val="single" w:color="auto"/>
          <w:color w:val="auto"/>
        </w:rPr>
        <w:t>Right of Trustee to Rely on an Officers’ Certificate Where No Other Evidence Specifically Prescribed</w:t>
      </w:r>
      <w:r>
        <w:rPr>
          <w:rFonts w:ascii="Times New Roman" w:cs="Times New Roman" w:eastAsia="Times New Roman" w:hAnsi="Times New Roman"/>
          <w:sz w:val="13"/>
          <w:szCs w:val="13"/>
          <w:color w:val="auto"/>
        </w:rPr>
        <w:t>. Except as otherwise provided in Section 7.01, whenever in the administration of the provisions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31" w:lineRule="exact"/>
        <w:rPr>
          <w:sz w:val="20"/>
          <w:szCs w:val="20"/>
          <w:color w:val="auto"/>
        </w:rPr>
      </w:pPr>
    </w:p>
    <w:p>
      <w:pPr>
        <w:ind w:left="280" w:right="47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Separate Trustee; Replacement of Trustee</w:t>
      </w:r>
      <w:r>
        <w:rPr>
          <w:rFonts w:ascii="Times New Roman" w:cs="Times New Roman" w:eastAsia="Times New Roman" w:hAnsi="Times New Roman"/>
          <w:sz w:val="14"/>
          <w:szCs w:val="14"/>
          <w:color w:val="auto"/>
        </w:rPr>
        <w:t>. The Issuers may, but need not, appoint a separate Trustee for any one or more series of Debt Securities. The Trustee may resign with respect to one or more or all series of Debt Securities at any time by giving notice to the Issuers. The Holders of a majority in aggregate principal amount of the Debt Securities of a particular series may remove the Trustee for such series and only such series by so notifying the Trustee and may appoint a successor Trustee. The Issuers shall remove the Trustee if:</w:t>
      </w:r>
    </w:p>
    <w:p>
      <w:pPr>
        <w:spacing w:after="0" w:line="60" w:lineRule="exact"/>
        <w:rPr>
          <w:sz w:val="20"/>
          <w:szCs w:val="20"/>
          <w:color w:val="auto"/>
        </w:rPr>
      </w:pPr>
    </w:p>
    <w:p>
      <w:pPr>
        <w:ind w:left="800" w:hanging="178"/>
        <w:spacing w:after="0"/>
        <w:tabs>
          <w:tab w:leader="none" w:pos="8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Section 7.10;</w:t>
      </w:r>
    </w:p>
    <w:p>
      <w:pPr>
        <w:spacing w:after="0" w:line="169"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bankrupt or insolvent;</w:t>
      </w:r>
    </w:p>
    <w:p>
      <w:pPr>
        <w:spacing w:after="0" w:line="169"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takes charge of the Trustee or its property; or</w:t>
      </w:r>
    </w:p>
    <w:p>
      <w:pPr>
        <w:spacing w:after="0" w:line="169"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otherwise becomes incapable of acting.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133" w:name="page134"/>
    <w:bookmarkEnd w:id="133"/>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the Trustee resigns, is removed by the Issuers or by the Holders of a majority in aggregate principal amount of the Debt Securities of a particular series and such Holders do not reasonably promptly appoint a successor Trustee, or if a vacancy exists in the office of Trustee for any reason (the Trustee in such event being referred to herein as the retiring Trustee), the Issuers shall promptly appoint a successor Trustee. No resignation or removal of the Trustee and no appointment of a successor Trustee shall become effective until the acceptance of appointment by the successor Trustee in accordance with the applicable requirements of this Section 7.08.</w:t>
      </w:r>
    </w:p>
    <w:p>
      <w:pPr>
        <w:spacing w:after="0" w:line="144" w:lineRule="exact"/>
        <w:rPr>
          <w:sz w:val="20"/>
          <w:szCs w:val="20"/>
          <w:color w:val="auto"/>
        </w:rPr>
      </w:pPr>
    </w:p>
    <w:p>
      <w:pPr>
        <w:ind w:left="280" w:right="459" w:firstLine="337"/>
        <w:spacing w:after="0" w:line="255" w:lineRule="auto"/>
        <w:rPr>
          <w:sz w:val="20"/>
          <w:szCs w:val="20"/>
          <w:color w:val="auto"/>
        </w:rPr>
      </w:pPr>
      <w:r>
        <w:rPr>
          <w:rFonts w:ascii="Times New Roman" w:cs="Times New Roman" w:eastAsia="Times New Roman" w:hAnsi="Times New Roman"/>
          <w:sz w:val="14"/>
          <w:szCs w:val="14"/>
          <w:color w:val="auto"/>
        </w:rPr>
        <w:t>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of Debt Securities of each applicable series. The retiring Trustee shall promptly transfer all property held by it as Trustee to the successor Trustee, subject to the Lien provided for in Section 7.06.</w:t>
      </w:r>
    </w:p>
    <w:p>
      <w:pPr>
        <w:spacing w:after="0" w:line="143" w:lineRule="exact"/>
        <w:rPr>
          <w:sz w:val="20"/>
          <w:szCs w:val="20"/>
          <w:color w:val="auto"/>
        </w:rPr>
      </w:pPr>
    </w:p>
    <w:p>
      <w:pPr>
        <w:jc w:val="both"/>
        <w:ind w:left="280" w:right="319" w:firstLine="337"/>
        <w:spacing w:after="0" w:line="259" w:lineRule="auto"/>
        <w:rPr>
          <w:sz w:val="20"/>
          <w:szCs w:val="20"/>
          <w:color w:val="auto"/>
        </w:rPr>
      </w:pPr>
      <w:r>
        <w:rPr>
          <w:rFonts w:ascii="Times New Roman" w:cs="Times New Roman" w:eastAsia="Times New Roman" w:hAnsi="Times New Roman"/>
          <w:sz w:val="14"/>
          <w:szCs w:val="14"/>
          <w:color w:val="auto"/>
        </w:rPr>
        <w:t>If a successor Trustee does not take office within 60 days after the retiring Trustee gives notice of resignation or is removed, the retiring Trustee or the Holders of 25% in aggregate principal amount of the Debt Securities of any applicable series may petition any court of competent jurisdiction for the appointment of a successor Trustee for the Debt Securities of such series.</w:t>
      </w:r>
    </w:p>
    <w:p>
      <w:pPr>
        <w:spacing w:after="0" w:line="141" w:lineRule="exact"/>
        <w:rPr>
          <w:sz w:val="20"/>
          <w:szCs w:val="20"/>
          <w:color w:val="auto"/>
        </w:rPr>
      </w:pPr>
    </w:p>
    <w:p>
      <w:pPr>
        <w:ind w:left="280" w:right="719" w:firstLine="337"/>
        <w:spacing w:after="0" w:line="273" w:lineRule="auto"/>
        <w:rPr>
          <w:sz w:val="20"/>
          <w:szCs w:val="20"/>
          <w:color w:val="auto"/>
        </w:rPr>
      </w:pPr>
      <w:r>
        <w:rPr>
          <w:rFonts w:ascii="Times New Roman" w:cs="Times New Roman" w:eastAsia="Times New Roman" w:hAnsi="Times New Roman"/>
          <w:sz w:val="14"/>
          <w:szCs w:val="14"/>
          <w:color w:val="auto"/>
        </w:rPr>
        <w:t>If the Trustee fails to comply with Section 7.10, any Holder of Debt Securities of any applicable series may petition any court of competent jurisdiction for the removal of the Trustee and the appointment of a successor Trustee for the Debt Securities of such series.</w:t>
      </w:r>
    </w:p>
    <w:p>
      <w:pPr>
        <w:spacing w:after="0" w:line="130" w:lineRule="exact"/>
        <w:rPr>
          <w:sz w:val="20"/>
          <w:szCs w:val="20"/>
          <w:color w:val="auto"/>
        </w:rPr>
      </w:pPr>
    </w:p>
    <w:p>
      <w:pPr>
        <w:ind w:left="280" w:right="539" w:firstLine="337"/>
        <w:spacing w:after="0" w:line="273" w:lineRule="auto"/>
        <w:rPr>
          <w:sz w:val="20"/>
          <w:szCs w:val="20"/>
          <w:color w:val="auto"/>
        </w:rPr>
      </w:pPr>
      <w:r>
        <w:rPr>
          <w:rFonts w:ascii="Times New Roman" w:cs="Times New Roman" w:eastAsia="Times New Roman" w:hAnsi="Times New Roman"/>
          <w:sz w:val="14"/>
          <w:szCs w:val="14"/>
          <w:color w:val="auto"/>
        </w:rPr>
        <w:t>Notwithstanding the replacement of the Trustee pursuant to this Section 7.08, the Issuers’ obligations under Section 7.06 shall continue for the benefit of the retiring Trustee.</w:t>
      </w:r>
    </w:p>
    <w:p>
      <w:pPr>
        <w:spacing w:after="0" w:line="130" w:lineRule="exact"/>
        <w:rPr>
          <w:sz w:val="20"/>
          <w:szCs w:val="20"/>
          <w:color w:val="auto"/>
        </w:rPr>
      </w:pPr>
    </w:p>
    <w:p>
      <w:pPr>
        <w:ind w:left="280" w:right="379" w:firstLine="337"/>
        <w:spacing w:after="0" w:line="250" w:lineRule="auto"/>
        <w:rPr>
          <w:sz w:val="20"/>
          <w:szCs w:val="20"/>
          <w:color w:val="auto"/>
        </w:rPr>
      </w:pPr>
      <w:r>
        <w:rPr>
          <w:rFonts w:ascii="Times New Roman" w:cs="Times New Roman" w:eastAsia="Times New Roman" w:hAnsi="Times New Roman"/>
          <w:sz w:val="14"/>
          <w:szCs w:val="14"/>
          <w:color w:val="auto"/>
        </w:rPr>
        <w:t>In the case of the appointment hereunder of a separate or successor Trustee with respect to the Debt Securities of one or more series, the Issuers, any retiring Trustee and each successor or separate Trustee with respect to the Debt Securities of any applicable series shall execute and deliver an Indenture supplemental hereto (i) which shall contain such provisions as shall be deemed necessary or desirable to confirm that all the rights, powers, trusts and duties of any retiring Trustee with respect to the Debt Securities of any series as to which any such retiring Trustee is not retiring shall continue to be vested in such retiring Trustee and (ii) that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separate, retiring or successor Trustee shall be Trustee of a trust or trusts hereunder separate and apart from any trust or trusts hereunder administered by any other such Trustee.</w:t>
      </w:r>
    </w:p>
    <w:p>
      <w:pPr>
        <w:spacing w:after="0" w:line="148"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7.09 </w:t>
      </w:r>
      <w:r>
        <w:rPr>
          <w:rFonts w:ascii="Times New Roman" w:cs="Times New Roman" w:eastAsia="Times New Roman" w:hAnsi="Times New Roman"/>
          <w:sz w:val="14"/>
          <w:szCs w:val="14"/>
          <w:u w:val="single" w:color="auto"/>
          <w:color w:val="auto"/>
        </w:rPr>
        <w:t>Successor Trustee by Merger</w:t>
      </w:r>
      <w:r>
        <w:rPr>
          <w:rFonts w:ascii="Times New Roman" w:cs="Times New Roman" w:eastAsia="Times New Roman" w:hAnsi="Times New Roman"/>
          <w:sz w:val="14"/>
          <w:szCs w:val="14"/>
          <w:color w:val="auto"/>
        </w:rPr>
        <w:t>. If the Trustee consolidates with, merges or converts into, or transfers all or substantially all its corporate trust business or assets to, another corporation or banking association, the resulting, surviving or transferee corporation or banking association without any further act shall be the successor Trustee.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134" w:name="page135"/>
    <w:bookmarkEnd w:id="134"/>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case at the time such successor or successors to the Trustee by merger, conversion, consolidation or transfer shall succeed to the trusts created by this Indenture any of the Debt Securities shall have been authenticated but not delivered, any such successor to the Trustee may adopt the certificate of authentication of any predecessor Trustee, and deliver such Debt Securities so authenticated; and in case at that time any of the Debt Securities shall not have been authenticated, any successor to the Trustee may authenticate such Debt Securities either in the name of any predecessor hereunder or in the name of the successor to the Trustee; and in all such cases such certificates shall have the full force which it is anywhere in the Debt Securities or in this Indenture provided that the certificate of the Trustee shall have.</w:t>
      </w:r>
    </w:p>
    <w:p>
      <w:pPr>
        <w:spacing w:after="0" w:line="148" w:lineRule="exact"/>
        <w:rPr>
          <w:sz w:val="20"/>
          <w:szCs w:val="20"/>
          <w:color w:val="auto"/>
        </w:rPr>
      </w:pPr>
    </w:p>
    <w:p>
      <w:pPr>
        <w:ind w:left="280" w:right="319" w:firstLine="337"/>
        <w:spacing w:after="0" w:line="275" w:lineRule="auto"/>
        <w:rPr>
          <w:sz w:val="20"/>
          <w:szCs w:val="20"/>
          <w:color w:val="auto"/>
        </w:rPr>
      </w:pPr>
      <w:r>
        <w:rPr>
          <w:rFonts w:ascii="Times New Roman" w:cs="Times New Roman" w:eastAsia="Times New Roman" w:hAnsi="Times New Roman"/>
          <w:sz w:val="13"/>
          <w:szCs w:val="13"/>
          <w:color w:val="auto"/>
        </w:rPr>
        <w:t xml:space="preserve">Section 7.10 </w:t>
      </w:r>
      <w:r>
        <w:rPr>
          <w:rFonts w:ascii="Times New Roman" w:cs="Times New Roman" w:eastAsia="Times New Roman" w:hAnsi="Times New Roman"/>
          <w:sz w:val="13"/>
          <w:szCs w:val="13"/>
          <w:u w:val="single" w:color="auto"/>
          <w:color w:val="auto"/>
        </w:rPr>
        <w:t>Eligibility; Disqualification</w:t>
      </w:r>
      <w:r>
        <w:rPr>
          <w:rFonts w:ascii="Times New Roman" w:cs="Times New Roman" w:eastAsia="Times New Roman" w:hAnsi="Times New Roman"/>
          <w:sz w:val="13"/>
          <w:szCs w:val="13"/>
          <w:color w:val="auto"/>
        </w:rPr>
        <w:t xml:space="preserve">. The Trustee shall at all times satisfy the requirements of Section 310(a) of the TIA. The Trustee shall have a combined capital and surplus of at least $50,000,000 as set forth in its most recent published annual report of condition. No obligor upon the Debt Securities of a particular series or Person directly or indirectly controlling, controlled by or under common control with such obligor shall serve as Trustee for the Debt Securities of such series. The Trustee shall comply with Section 310(b) of the TIA;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there shall be excluded from the operation of Section 310(b)(1) of the TIA this Indenture or any indenture or indentures under which other securities or certificates of interest or participation in other securities of the Issuers are outstanding if the requirements for such exclusion set forth in Section 310(b)(1) of the TIA are met.</w:t>
      </w:r>
    </w:p>
    <w:p>
      <w:pPr>
        <w:spacing w:after="0" w:line="131" w:lineRule="exact"/>
        <w:rPr>
          <w:sz w:val="20"/>
          <w:szCs w:val="20"/>
          <w:color w:val="auto"/>
        </w:rPr>
      </w:pPr>
    </w:p>
    <w:p>
      <w:pPr>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Preferential Collection of Claims Against Issuers</w:t>
      </w:r>
      <w:r>
        <w:rPr>
          <w:rFonts w:ascii="Times New Roman" w:cs="Times New Roman" w:eastAsia="Times New Roman" w:hAnsi="Times New Roman"/>
          <w:sz w:val="14"/>
          <w:szCs w:val="14"/>
          <w:color w:val="auto"/>
        </w:rPr>
        <w:t>. The Trustee shall comply with Section 311(a) of the TIA, excluding any creditor relationship listed in Section 311(b) of the TIA. A Trustee who has resigned or been removed shall be subject to Section 311(a) of the TIA to the extent indicated therein.</w:t>
      </w:r>
    </w:p>
    <w:p>
      <w:pPr>
        <w:spacing w:after="0" w:line="141" w:lineRule="exact"/>
        <w:rPr>
          <w:sz w:val="20"/>
          <w:szCs w:val="20"/>
          <w:color w:val="auto"/>
        </w:rPr>
      </w:pPr>
    </w:p>
    <w:p>
      <w:pPr>
        <w:ind w:left="280" w:right="47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7.12 </w:t>
      </w:r>
      <w:r>
        <w:rPr>
          <w:rFonts w:ascii="Times New Roman" w:cs="Times New Roman" w:eastAsia="Times New Roman" w:hAnsi="Times New Roman"/>
          <w:sz w:val="14"/>
          <w:szCs w:val="14"/>
          <w:u w:val="single" w:color="auto"/>
          <w:color w:val="auto"/>
        </w:rPr>
        <w:t>Compliance with Tax Laws</w:t>
      </w:r>
      <w:r>
        <w:rPr>
          <w:rFonts w:ascii="Times New Roman" w:cs="Times New Roman" w:eastAsia="Times New Roman" w:hAnsi="Times New Roman"/>
          <w:sz w:val="14"/>
          <w:szCs w:val="14"/>
          <w:color w:val="auto"/>
        </w:rPr>
        <w:t>. The Trustee hereby agrees to comply with all U.S. Federal income tax information reporting and withholding requirements applicable to it with respect to payments of premium (if any) and interest on the Debt Securities, whether acting as Trustee, Registrar, paying agent or otherwise with respect to the Debt Securities.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HOLDERS</w:t>
      </w:r>
    </w:p>
    <w:p>
      <w:pPr>
        <w:spacing w:after="0" w:line="157" w:lineRule="exact"/>
        <w:rPr>
          <w:sz w:val="20"/>
          <w:szCs w:val="20"/>
          <w:color w:val="auto"/>
        </w:rPr>
      </w:pPr>
    </w:p>
    <w:p>
      <w:pPr>
        <w:ind w:left="280" w:right="339" w:firstLine="337"/>
        <w:spacing w:after="0" w:line="250" w:lineRule="auto"/>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Evidence of Action by Holders</w:t>
      </w:r>
      <w:r>
        <w:rPr>
          <w:rFonts w:ascii="Times New Roman" w:cs="Times New Roman" w:eastAsia="Times New Roman" w:hAnsi="Times New Roman"/>
          <w:sz w:val="14"/>
          <w:szCs w:val="14"/>
          <w:color w:val="auto"/>
        </w:rPr>
        <w:t>. Whenever in this Indenture it is provided that the Holders of a specified percentage in aggregate principal amount of the Debt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the provisions of Section 5.02, (c) by a combination of such instrument or instruments and any such record of such a meeting of Holders or (d) in the case of Debt Securities evidenced by a Global Security, by any electronic transmission or other message, whether or not in written format, that complies with the Depositary’s applicable procedures.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135" w:name="page136"/>
    <w:bookmarkEnd w:id="135"/>
    <w:p>
      <w:pPr>
        <w:ind w:left="280" w:right="359" w:firstLine="337"/>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8.02 </w:t>
      </w:r>
      <w:r>
        <w:rPr>
          <w:rFonts w:ascii="Times New Roman" w:cs="Times New Roman" w:eastAsia="Times New Roman" w:hAnsi="Times New Roman"/>
          <w:sz w:val="14"/>
          <w:szCs w:val="14"/>
          <w:u w:val="single" w:color="auto"/>
          <w:color w:val="auto"/>
        </w:rPr>
        <w:t>Proof of Execution of Instruments and of Holding of Debt Securities</w:t>
      </w:r>
      <w:r>
        <w:rPr>
          <w:rFonts w:ascii="Times New Roman" w:cs="Times New Roman" w:eastAsia="Times New Roman" w:hAnsi="Times New Roman"/>
          <w:sz w:val="14"/>
          <w:szCs w:val="14"/>
          <w:color w:val="auto"/>
        </w:rPr>
        <w:t>. Subject to the provisions of Sections 7.01, 7.02 and 13.09, proof of the execution of any instrument by a Holder or his agent or proxy shall be sufficient if made in accordance with such reasonable rules and regulations as may be prescribed by the Trustee or in such manner as shall be satisfactory to the Trustee. The ownership of Debt Securities of any series shall be proved by the Debt Security Register or by a certificate of the Registrar for such series. The Trustee may require such additional proof of any matter referred to in this Section 8.02 as it shall deem necessary.</w:t>
      </w:r>
    </w:p>
    <w:p>
      <w:pPr>
        <w:spacing w:after="0" w:line="144"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3"/>
          <w:szCs w:val="13"/>
          <w:color w:val="auto"/>
        </w:rPr>
        <w:t xml:space="preserve">Section 8.03 </w:t>
      </w:r>
      <w:r>
        <w:rPr>
          <w:rFonts w:ascii="Times New Roman" w:cs="Times New Roman" w:eastAsia="Times New Roman" w:hAnsi="Times New Roman"/>
          <w:sz w:val="13"/>
          <w:szCs w:val="13"/>
          <w:u w:val="single" w:color="auto"/>
          <w:color w:val="auto"/>
        </w:rPr>
        <w:t>Who May Be Deemed Owner of Debt Securities</w:t>
      </w:r>
      <w:r>
        <w:rPr>
          <w:rFonts w:ascii="Times New Roman" w:cs="Times New Roman" w:eastAsia="Times New Roman" w:hAnsi="Times New Roman"/>
          <w:sz w:val="13"/>
          <w:szCs w:val="13"/>
          <w:color w:val="auto"/>
        </w:rPr>
        <w:t>. Prior to due presentment for registration of transfer of any Debt Security, the Issuers, the Trustee, any paying agent and any Registrar may deem and treat the Person in whose name any Debt Security shall be registered upon the books of the Issuers as the absolute owner of such Debt Security (whether or not such Debt Security shall be overdue and notwithstanding any notation of ownership or other writing thereon) for the purpose of receiving payment of or on account of the principal of and premium, if any, and (subject to Section 2.12) interest on such Debt Security and for all other purposes, and none of the Issuers or the Trustee nor any paying agent nor any Registrar shall be affected by any notice to the contrary; and all such payments so made to any such Holder for the time being, or upon his order, shall be valid and, to the extent of the sum or sums so paid, effectual to satisfy and discharge the liability for moneys payable upon any such Debt Security.</w:t>
      </w:r>
    </w:p>
    <w:p>
      <w:pPr>
        <w:spacing w:after="0" w:line="133" w:lineRule="exact"/>
        <w:rPr>
          <w:sz w:val="20"/>
          <w:szCs w:val="20"/>
          <w:color w:val="auto"/>
        </w:rPr>
      </w:pPr>
    </w:p>
    <w:p>
      <w:pPr>
        <w:jc w:val="both"/>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None of the Issuers, the Trustee, any paying agent or any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41" w:lineRule="exact"/>
        <w:rPr>
          <w:sz w:val="20"/>
          <w:szCs w:val="20"/>
          <w:color w:val="auto"/>
        </w:rPr>
      </w:pPr>
    </w:p>
    <w:p>
      <w:pPr>
        <w:ind w:left="280" w:right="359" w:firstLine="337"/>
        <w:spacing w:after="0" w:line="249" w:lineRule="auto"/>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Instruments Executed by Holders Bind Future Holders</w:t>
      </w:r>
      <w:r>
        <w:rPr>
          <w:rFonts w:ascii="Times New Roman" w:cs="Times New Roman" w:eastAsia="Times New Roman" w:hAnsi="Times New Roman"/>
          <w:sz w:val="14"/>
          <w:szCs w:val="14"/>
          <w:color w:val="auto"/>
        </w:rPr>
        <w:t>. At any time prior to (but not after) the evidencing to the Trustee, as provided in Section 8.01, of the taking of any action by the Holders of the percentage in aggregate principal amount of the Debt Securities of any series specified in this Indenture in connection with such action and subject to the following paragraph, any Holder of a Debt Security which is shown by the evidence to be included in the Debt Securities the Holders of which have consented to such action may, by filing written notice with the Trustee at its corporate trust office and upon proof of holding as provided in Section 8.02, revoke such action so far as concerns such Debt Security. Except as aforesaid any such action taken by the Holder of any Debt Security shall be conclusive and binding upon such Holder and upon all future Holders and owners of such Debt Security and of any Debt Security issued upon transfer thereof or in exchange or substitution therefor, irrespective of whether or not any notation in regard thereto is made upon such Debt Security or such other Debt Securities. Any action taken by the Holders of the percentage in aggregate principal amount of the Debt Securities of any series specified in this Indenture in connection with such action shall be conclusively binding upon the Issuers, the Trustee and the Holders of all the Debt Securities of such series.</w:t>
      </w:r>
    </w:p>
    <w:p>
      <w:pPr>
        <w:spacing w:after="0" w:line="150"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The Issuers may, but shall not be obligated to, fix a record date for the purpose of determining the Holders of Debt Securities entitled to give their consent or take any other action required or permitted to be taken pursuant to this Indenture. If a record date is fixed, then notwithstanding the immediately preceding paragraph, those Persons who were Holders of Debt Securities at such record date (or their duly designated proxies), and only those Persons, shall be entitled to give such consent or to revoke any consent previously given or to take any such action, whether or not such Persons continue to be Holders of Debt Securities after such record date. No such consent shall be valid or effective for more than 120 days after such record date unless the consent of the Holders of the percentage in aggregate principal amount of the Debt Securities of such series specified in this Indenture shall have been received within such 120-day period.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0"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IX</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57" w:lineRule="exact"/>
        <w:rPr>
          <w:sz w:val="20"/>
          <w:szCs w:val="20"/>
          <w:color w:val="auto"/>
        </w:rPr>
      </w:pPr>
    </w:p>
    <w:p>
      <w:pPr>
        <w:ind w:left="280" w:right="29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Purposes for Which Supplemental Indenture May Be Entered into Without Consent of Holders</w:t>
      </w:r>
      <w:r>
        <w:rPr>
          <w:rFonts w:ascii="Times New Roman" w:cs="Times New Roman" w:eastAsia="Times New Roman" w:hAnsi="Times New Roman"/>
          <w:sz w:val="14"/>
          <w:szCs w:val="14"/>
          <w:color w:val="auto"/>
        </w:rPr>
        <w:t>. The Issuers and the Trustee may from time to time and at any time, without the consent of Holders, enter into an Indenture or Indentures supplemental hereto (which shall conform to the provisions of the TIA as in force at the date of the execution thereof) for one or more of the following purposes:</w:t>
      </w:r>
    </w:p>
    <w:p>
      <w:pPr>
        <w:spacing w:after="0" w:line="58" w:lineRule="exact"/>
        <w:rPr>
          <w:sz w:val="20"/>
          <w:szCs w:val="20"/>
          <w:color w:val="auto"/>
        </w:rPr>
      </w:pPr>
    </w:p>
    <w:p>
      <w:pPr>
        <w:ind w:left="280" w:right="299" w:firstLine="342"/>
        <w:spacing w:after="0" w:line="259" w:lineRule="auto"/>
        <w:tabs>
          <w:tab w:leader="none" w:pos="805"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pursuant to Article X of another Person to either of the Issuers, or successive successions, and the assumption by the Successor Company (as defined in Section 10.01) of the covenants, agreements and obligations of its predecessor Issuer in this Indenture and in the Debt Securities;</w:t>
      </w:r>
    </w:p>
    <w:p>
      <w:pPr>
        <w:spacing w:after="0" w:line="140" w:lineRule="exact"/>
        <w:rPr>
          <w:rFonts w:ascii="Times New Roman" w:cs="Times New Roman" w:eastAsia="Times New Roman" w:hAnsi="Times New Roman"/>
          <w:sz w:val="14"/>
          <w:szCs w:val="14"/>
          <w:color w:val="auto"/>
        </w:rPr>
      </w:pPr>
    </w:p>
    <w:p>
      <w:pPr>
        <w:ind w:left="280" w:right="379" w:firstLine="342"/>
        <w:spacing w:after="0" w:line="249" w:lineRule="auto"/>
        <w:tabs>
          <w:tab w:leader="none" w:pos="813"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surrender any right or power herein conferred upon the Issuers, to add to the covenants of the Issuers such further covenants, restrictions, guarantors, co-obligors, conditions or provisions for the protection of the Holders of all or any series of Debt Securities (and if such covenants are to be for the benefit of less than all series of Debt Securities, stating that such covenants are expressly being included solely for the benefit of such series) as the Board of Directors shall consider to be for the protection of the Holders of such Debt Securities, and to make the occurrence, or the occurrence and continuance, of a Default in any of such additional covenants, restrictions, conditions or provisions a Default or an Event of Default permitting the enforcement of all or any of the several remedies provided in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any or all series of Debt Securities to waive such Default;</w:t>
      </w:r>
    </w:p>
    <w:p>
      <w:pPr>
        <w:spacing w:after="0" w:line="149" w:lineRule="exact"/>
        <w:rPr>
          <w:rFonts w:ascii="Times New Roman" w:cs="Times New Roman" w:eastAsia="Times New Roman" w:hAnsi="Times New Roman"/>
          <w:sz w:val="14"/>
          <w:szCs w:val="14"/>
          <w:color w:val="auto"/>
        </w:rPr>
      </w:pPr>
    </w:p>
    <w:p>
      <w:pPr>
        <w:jc w:val="both"/>
        <w:ind w:left="280" w:right="479" w:firstLine="342"/>
        <w:spacing w:after="0" w:line="259" w:lineRule="auto"/>
        <w:tabs>
          <w:tab w:leader="none" w:pos="805"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or omission or to correct or supplement any provision contained herein, in any supplemental Indenture or in any Debt Securities of any series that may be defective or inconsistent with any other provision contained herein, in any supplemental Indenture or in the Debt Securities of such series;</w:t>
      </w:r>
    </w:p>
    <w:p>
      <w:pPr>
        <w:spacing w:after="0" w:line="140" w:lineRule="exact"/>
        <w:rPr>
          <w:rFonts w:ascii="Times New Roman" w:cs="Times New Roman" w:eastAsia="Times New Roman" w:hAnsi="Times New Roman"/>
          <w:sz w:val="14"/>
          <w:szCs w:val="14"/>
          <w:color w:val="auto"/>
        </w:rPr>
      </w:pPr>
    </w:p>
    <w:p>
      <w:pPr>
        <w:ind w:left="280" w:right="499" w:firstLine="342"/>
        <w:spacing w:after="0" w:line="312" w:lineRule="auto"/>
        <w:tabs>
          <w:tab w:leader="none" w:pos="813"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permit the qualification of this Indenture or any Indenture supplemental hereto under the TIA as then in effect, except that nothing herein contained shall permit or authorize the inclusion in any Indenture supplemental hereto of the provisions referred to in Section 316(a)(2) of the TIA;</w:t>
      </w:r>
    </w:p>
    <w:p>
      <w:pPr>
        <w:spacing w:after="0" w:line="107" w:lineRule="exact"/>
        <w:rPr>
          <w:rFonts w:ascii="Times New Roman" w:cs="Times New Roman" w:eastAsia="Times New Roman" w:hAnsi="Times New Roman"/>
          <w:sz w:val="13"/>
          <w:szCs w:val="13"/>
          <w:color w:val="auto"/>
        </w:rPr>
      </w:pPr>
    </w:p>
    <w:p>
      <w:pPr>
        <w:ind w:left="800" w:hanging="178"/>
        <w:spacing w:after="0"/>
        <w:tabs>
          <w:tab w:leader="none" w:pos="8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permit or facilitate the issuance of Debt Securities of any series in uncertificated form;</w:t>
      </w:r>
    </w:p>
    <w:p>
      <w:pPr>
        <w:spacing w:after="0" w:line="169"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hereunder of any Holder;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6" w:right="1440" w:bottom="1440" w:gutter="0" w:footer="0" w:header="0"/>
        </w:sectPr>
      </w:pPr>
    </w:p>
    <w:bookmarkStart w:id="137" w:name="page138"/>
    <w:bookmarkEnd w:id="137"/>
    <w:p>
      <w:pPr>
        <w:ind w:left="280" w:right="499" w:firstLine="342"/>
        <w:spacing w:after="0" w:line="257" w:lineRule="auto"/>
        <w:tabs>
          <w:tab w:leader="none" w:pos="813"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to add to, change or eliminate any of the provisions of this Indenture in respect of one or more series of Debt Securities;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such addition, change or elimination not otherwise permitted under this Section 9.01 shall neither apply to any Debt Security of any series created prior to the execution of such supplemental Indenture and entitled to the benefit of such provision nor modify the rights of the Holder of any such Debt Security with respect to such provision or shall become effective only when there is no such Debt Security Outstanding;</w:t>
      </w:r>
    </w:p>
    <w:p>
      <w:pPr>
        <w:spacing w:after="0" w:line="141" w:lineRule="exact"/>
        <w:rPr>
          <w:rFonts w:ascii="Times New Roman" w:cs="Times New Roman" w:eastAsia="Times New Roman" w:hAnsi="Times New Roman"/>
          <w:sz w:val="14"/>
          <w:szCs w:val="14"/>
          <w:color w:val="auto"/>
        </w:rPr>
      </w:pPr>
    </w:p>
    <w:p>
      <w:pPr>
        <w:jc w:val="both"/>
        <w:ind w:left="280" w:right="399" w:firstLine="342"/>
        <w:spacing w:after="0" w:line="259" w:lineRule="auto"/>
        <w:tabs>
          <w:tab w:leader="none" w:pos="813"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or separate Trustee with respect to the Debt Securities of one or more series and to add to or change any of the provisions of this Indenture as shall be necessary to provide for or facilitate the administration of the trusts hereunder by more than one Trustee; and</w:t>
      </w:r>
    </w:p>
    <w:p>
      <w:pPr>
        <w:spacing w:after="0" w:line="140" w:lineRule="exact"/>
        <w:rPr>
          <w:rFonts w:ascii="Times New Roman" w:cs="Times New Roman" w:eastAsia="Times New Roman" w:hAnsi="Times New Roman"/>
          <w:sz w:val="14"/>
          <w:szCs w:val="14"/>
          <w:color w:val="auto"/>
        </w:rPr>
      </w:pPr>
    </w:p>
    <w:p>
      <w:pPr>
        <w:ind w:left="780" w:hanging="158"/>
        <w:spacing w:after="0"/>
        <w:tabs>
          <w:tab w:leader="none" w:pos="7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of any series as permitted by Sections 2.01 and 2.03.</w:t>
      </w:r>
    </w:p>
    <w:p>
      <w:pPr>
        <w:spacing w:after="0" w:line="170" w:lineRule="exact"/>
        <w:rPr>
          <w:sz w:val="20"/>
          <w:szCs w:val="20"/>
          <w:color w:val="auto"/>
        </w:rPr>
      </w:pPr>
    </w:p>
    <w:p>
      <w:pPr>
        <w:ind w:left="280" w:right="559" w:firstLine="337"/>
        <w:spacing w:after="0" w:line="255" w:lineRule="auto"/>
        <w:rPr>
          <w:sz w:val="20"/>
          <w:szCs w:val="20"/>
          <w:color w:val="auto"/>
        </w:rPr>
      </w:pPr>
      <w:r>
        <w:rPr>
          <w:rFonts w:ascii="Times New Roman" w:cs="Times New Roman" w:eastAsia="Times New Roman" w:hAnsi="Times New Roman"/>
          <w:sz w:val="14"/>
          <w:szCs w:val="14"/>
          <w:color w:val="auto"/>
        </w:rPr>
        <w:t>The Trustee is hereby authorized to join with the Issuers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9.01 may be executed by the Issuers and the Trustee without the consent of the Holders of any of the Debt Securities at the time Outstanding, notwithstanding any of the provisions of Section 9.02.</w:t>
      </w:r>
    </w:p>
    <w:p>
      <w:pPr>
        <w:spacing w:after="0" w:line="130"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Modification of Indenture with Consent of Holders of Debt Securities</w:t>
      </w:r>
      <w:r>
        <w:rPr>
          <w:rFonts w:ascii="Times New Roman" w:cs="Times New Roman" w:eastAsia="Times New Roman" w:hAnsi="Times New Roman"/>
          <w:sz w:val="14"/>
          <w:szCs w:val="14"/>
          <w:color w:val="auto"/>
        </w:rPr>
        <w:t xml:space="preserve">. Without notice to any Holder but with the consent (evidenced as provided in Section 8.01) of the Holders of a majority in aggregate principal amount of the Outstanding Debt Securities of each series affected by such supplemental Indenture (including consents obtained in connection with a tender offer or exchange offer for any such series of Debt Securities), (i) the Issuers, when authorized by resolutions of each Issuer’s Board of Directors, and the Trustee may from time to time and at any time enter into an Indenture or Indentures supplemental hereto (which shall conform to the provisions of the TIA as in force at the date of execution thereof) for the purpose of adding any provisions to or changing in any manner or eliminating any of the provisions of this Indenture or of any supplemental Indenture or of modifying in any manner the rights of the Holders of the Debt Securities of such series, and (ii) subject to Sections 6.04 and 6.06, any existing Default or Event of Default or compliance with any provision of this Indenture or the Debt Securities of such series may be waived;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 such supplemental Indenture or waiver, without the consent of the Holders of each Debt Security so affected, shall: reduce the rate of or extend the time for payment of interest on any Debt Security; reduce the principal of or extend the Stated Maturity of any Debt Security; reduce any premium payable upon the redemption of any Debt Security or change the time at which any Debt Security may or shall be redeemed in accordance with Article III; make any Debt Security payable in currency other than that stated in such Debt Security; impair the right of any Holder to receive payment of premium, if any, principal of and interest on such Holder’s Debt Securities on or after the due dates therefor or to institute suit for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6" w:right="1440" w:bottom="1440" w:gutter="0" w:footer="0" w:header="0"/>
        </w:sectPr>
      </w:pPr>
    </w:p>
    <w:bookmarkStart w:id="138" w:name="page139"/>
    <w:bookmarkEnd w:id="138"/>
    <w:p>
      <w:pPr>
        <w:jc w:val="both"/>
        <w:ind w:left="280" w:right="419"/>
        <w:spacing w:after="0" w:line="28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 enforcement of any payment on or with respect to such Holder’s Debt Securities; release any security that may have been granted in respect of the Debt Securities, other than in accordance with this Indenture; make any change in Section 6.06 or this Section 9.02 (except to increase any percentage set forth therein or herein); waive any redemption payment with respect to any Debt Security (except as may be permitted by Sections 2.01 and 2.03 in the case of a particular series of Debt Securities); or make any change in this Section 9.02 (except to increase any percentage set forth herein).</w:t>
      </w:r>
    </w:p>
    <w:p>
      <w:pPr>
        <w:spacing w:after="0" w:line="127"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A supplemental Indenture which changes or eliminates any covenant or other provision of this Indenture which has been expressly included solely for the benefit of one or more particular series of Debt Securities or which modifies the rights of the Holders of Debt Securities of such series with respect to such covenant or other provision, shall be deemed not to affect the rights under this Indenture of the Holders of Debt Securities of any other series.</w:t>
      </w:r>
    </w:p>
    <w:p>
      <w:pPr>
        <w:spacing w:after="0" w:line="143" w:lineRule="exact"/>
        <w:rPr>
          <w:sz w:val="20"/>
          <w:szCs w:val="20"/>
          <w:color w:val="auto"/>
        </w:rPr>
      </w:pPr>
    </w:p>
    <w:p>
      <w:pPr>
        <w:ind w:left="280" w:right="359" w:firstLine="337"/>
        <w:spacing w:after="0" w:line="255" w:lineRule="auto"/>
        <w:rPr>
          <w:sz w:val="20"/>
          <w:szCs w:val="20"/>
          <w:color w:val="auto"/>
        </w:rPr>
      </w:pPr>
      <w:r>
        <w:rPr>
          <w:rFonts w:ascii="Times New Roman" w:cs="Times New Roman" w:eastAsia="Times New Roman" w:hAnsi="Times New Roman"/>
          <w:sz w:val="14"/>
          <w:szCs w:val="14"/>
          <w:color w:val="auto"/>
        </w:rPr>
        <w:t>Upon the request of the Issuers, accompanied by a copy of resolutions of the Board of Directors of each Issuer authorizing the execution of any such supplemental Indenture, and upon the filing with the Trustee of evidence of the consent of Holders as aforesaid, the Trustee shall join with the Issuers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43" w:lineRule="exact"/>
        <w:rPr>
          <w:sz w:val="20"/>
          <w:szCs w:val="20"/>
          <w:color w:val="auto"/>
        </w:rPr>
      </w:pPr>
    </w:p>
    <w:p>
      <w:pPr>
        <w:ind w:left="280" w:right="719" w:firstLine="337"/>
        <w:spacing w:after="0" w:line="273" w:lineRule="auto"/>
        <w:rPr>
          <w:sz w:val="20"/>
          <w:szCs w:val="20"/>
          <w:color w:val="auto"/>
        </w:rPr>
      </w:pPr>
      <w:r>
        <w:rPr>
          <w:rFonts w:ascii="Times New Roman" w:cs="Times New Roman" w:eastAsia="Times New Roman" w:hAnsi="Times New Roman"/>
          <w:sz w:val="14"/>
          <w:szCs w:val="14"/>
          <w:color w:val="auto"/>
        </w:rPr>
        <w:t>It shall not be necessary for the consent of the Holders under this Section 9.02 to approve the particular form of any proposed supplemental Indenture, but it shall be sufficient if such consent shall approve the substance thereof.</w:t>
      </w:r>
    </w:p>
    <w:p>
      <w:pPr>
        <w:spacing w:after="0" w:line="130" w:lineRule="exact"/>
        <w:rPr>
          <w:sz w:val="20"/>
          <w:szCs w:val="20"/>
          <w:color w:val="auto"/>
        </w:rPr>
      </w:pPr>
    </w:p>
    <w:p>
      <w:pPr>
        <w:ind w:left="280" w:right="499" w:firstLine="337"/>
        <w:spacing w:after="0" w:line="255" w:lineRule="auto"/>
        <w:rPr>
          <w:sz w:val="20"/>
          <w:szCs w:val="20"/>
          <w:color w:val="auto"/>
        </w:rPr>
      </w:pPr>
      <w:r>
        <w:rPr>
          <w:rFonts w:ascii="Times New Roman" w:cs="Times New Roman" w:eastAsia="Times New Roman" w:hAnsi="Times New Roman"/>
          <w:sz w:val="14"/>
          <w:szCs w:val="14"/>
          <w:color w:val="auto"/>
        </w:rPr>
        <w:t>After an amendment under this Section 9.02 requiring the consent of the Holders of any series of Debt Securities becomes effective, the Issuers shall mail to Holders of that series of Debt Securities of each series affected thereby a notice briefly describing such amendment. The failure to give such notice to any such Holders, or any defect therein, shall not impair or affect the validity of an amendment under this Section 9.02 with respect to other Holders.</w:t>
      </w:r>
    </w:p>
    <w:p>
      <w:pPr>
        <w:spacing w:after="0" w:line="143" w:lineRule="exact"/>
        <w:rPr>
          <w:sz w:val="20"/>
          <w:szCs w:val="20"/>
          <w:color w:val="auto"/>
        </w:rPr>
      </w:pPr>
    </w:p>
    <w:p>
      <w:pPr>
        <w:ind w:left="280" w:right="41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Effect of Supplemental Indentures</w:t>
      </w:r>
      <w:r>
        <w:rPr>
          <w:rFonts w:ascii="Times New Roman" w:cs="Times New Roman" w:eastAsia="Times New Roman" w:hAnsi="Times New Roman"/>
          <w:sz w:val="14"/>
          <w:szCs w:val="14"/>
          <w:color w:val="auto"/>
        </w:rPr>
        <w:t>. Upon the execution of any supplemental Indenture pursuant to the provisions of this Article IX, this Indenture shall be and be deemed to be modified and amended in accordance therewith and the respective rights, limitations of rights, obligations, duties and immunities under this Indenture of the Trustee, the Issuers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4" w:lineRule="exact"/>
        <w:rPr>
          <w:sz w:val="20"/>
          <w:szCs w:val="20"/>
          <w:color w:val="auto"/>
        </w:rPr>
      </w:pPr>
    </w:p>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t>The Trustee, subject to the provisions of Sections 7.01 and 7.02, may receive an Officers’ Certificate and an Opinion of Counsel as conclusive evidence that any such supplemental Indenture complies with the provisions of this Article IX.</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139" w:name="page140"/>
    <w:bookmarkEnd w:id="139"/>
    <w:p>
      <w:pPr>
        <w:ind w:left="280" w:right="299" w:firstLine="337"/>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9.04 </w:t>
      </w:r>
      <w:r>
        <w:rPr>
          <w:rFonts w:ascii="Times New Roman" w:cs="Times New Roman" w:eastAsia="Times New Roman" w:hAnsi="Times New Roman"/>
          <w:sz w:val="13"/>
          <w:szCs w:val="13"/>
          <w:u w:val="single" w:color="auto"/>
          <w:color w:val="auto"/>
        </w:rPr>
        <w:t>Debt Securities May Bear Notation of Changes by Supplemental Indentures</w:t>
      </w:r>
      <w:r>
        <w:rPr>
          <w:rFonts w:ascii="Times New Roman" w:cs="Times New Roman" w:eastAsia="Times New Roman" w:hAnsi="Times New Roman"/>
          <w:sz w:val="13"/>
          <w:szCs w:val="13"/>
          <w:color w:val="auto"/>
        </w:rPr>
        <w:t>. Debt Securities of any series authenticated and delivered after the execution of any supplemental Indenture pursuant to the provisions of this Article IX may, and shall if required by the Trustee, bear a notation in form approved by the Trustee as to any matter provided for in such supplemental Indenture. New Debt Securities of any series so modified as to conform, in the opinion of the Trustee and the Board of Directors, to any modification of this Indenture contained in any such supplemental Indenture may be prepared and executed by the Issuers, authenticated by the Trustee and delivered in exchange for the Debt Securities of such series then Outstanding. Failure to make the appropriate notation or to issue a new Debt Security of such series shall not affect the validity of such amendment.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SALE OR CONVEYANCE</w:t>
      </w:r>
    </w:p>
    <w:p>
      <w:pPr>
        <w:spacing w:after="0" w:line="157" w:lineRule="exact"/>
        <w:rPr>
          <w:sz w:val="20"/>
          <w:szCs w:val="20"/>
          <w:color w:val="auto"/>
        </w:rPr>
      </w:pPr>
    </w:p>
    <w:p>
      <w:pPr>
        <w:ind w:left="280" w:right="319" w:firstLine="337"/>
        <w:spacing w:after="0" w:line="248" w:lineRule="auto"/>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Consolidations and Mergers of the Issuers</w:t>
      </w:r>
      <w:r>
        <w:rPr>
          <w:rFonts w:ascii="Times New Roman" w:cs="Times New Roman" w:eastAsia="Times New Roman" w:hAnsi="Times New Roman"/>
          <w:sz w:val="14"/>
          <w:szCs w:val="14"/>
          <w:color w:val="auto"/>
        </w:rPr>
        <w:t>. Neither of the Issuers may consolidate or amalgamate with or merge with or into any Person, or sell, convey, transfer, lease or otherwise dispose of all or substantially all its assets to any Person, whether in a single transaction or a series of related transactions, unless: (a) either (i) either Issuer shall be the surviving Person in the case of a merger or (ii) the resulting, surviving or transferee Person if other than such Issuer (the “</w:t>
      </w:r>
      <w:r>
        <w:rPr>
          <w:rFonts w:ascii="Times New Roman" w:cs="Times New Roman" w:eastAsia="Times New Roman" w:hAnsi="Times New Roman"/>
          <w:sz w:val="14"/>
          <w:szCs w:val="14"/>
          <w:b w:val="1"/>
          <w:bCs w:val="1"/>
          <w:color w:val="auto"/>
        </w:rPr>
        <w:t>Successor Company</w:t>
      </w:r>
      <w:r>
        <w:rPr>
          <w:rFonts w:ascii="Times New Roman" w:cs="Times New Roman" w:eastAsia="Times New Roman" w:hAnsi="Times New Roman"/>
          <w:sz w:val="14"/>
          <w:szCs w:val="14"/>
          <w:color w:val="auto"/>
        </w:rPr>
        <w:t>”), shall be a partnership, limited liability company or corporation organized and existing under the laws of the United States, any State thereof or the District of Columbia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Finance Corp. may not consolidate or amalgamate with or merge into another Person other than a corporation satisfying such requirements so long as the Partnership is not a corporation), and the Successor Company shall expressly assume, by an Indenture supplemental hereto, executed and delivered to the Trustee, in form satisfactory to the Trustee, all the obligations of such Issuer under this Indenture and the Debt Securities according to their tenor; (b) immediately after giving effect to such transaction or series of transactions (and treating any Debt which becomes an obligation of the Successor Company or any Subsidiary of such Issuer as a result of such transaction as having been incurred by the Successor Company or such Subsidiary at the time of such transaction or series of transactions), no Default or Event of Default would occur or be continuing; and (c) the Issuers (or Issuer, if only on surviving) shall have delivered to the Trustee an Officers’ Certificate and an Opinion of Counsel, each stating that such consolidation, amalgamation, merger or disposition and such supplemental Indenture (if any) comply with this Indenture.</w:t>
      </w:r>
    </w:p>
    <w:p>
      <w:pPr>
        <w:spacing w:after="0" w:line="154" w:lineRule="exact"/>
        <w:rPr>
          <w:sz w:val="20"/>
          <w:szCs w:val="20"/>
          <w:color w:val="auto"/>
        </w:rPr>
      </w:pPr>
    </w:p>
    <w:p>
      <w:pPr>
        <w:ind w:left="280" w:right="339" w:firstLine="337"/>
        <w:spacing w:after="0" w:line="271" w:lineRule="auto"/>
        <w:rPr>
          <w:sz w:val="20"/>
          <w:szCs w:val="20"/>
          <w:color w:val="auto"/>
        </w:rPr>
      </w:pPr>
      <w:r>
        <w:rPr>
          <w:rFonts w:ascii="Times New Roman" w:cs="Times New Roman" w:eastAsia="Times New Roman" w:hAnsi="Times New Roman"/>
          <w:sz w:val="13"/>
          <w:szCs w:val="13"/>
          <w:color w:val="auto"/>
        </w:rPr>
        <w:t xml:space="preserve">Section 10.02 </w:t>
      </w:r>
      <w:r>
        <w:rPr>
          <w:rFonts w:ascii="Times New Roman" w:cs="Times New Roman" w:eastAsia="Times New Roman" w:hAnsi="Times New Roman"/>
          <w:sz w:val="13"/>
          <w:szCs w:val="13"/>
          <w:u w:val="single" w:color="auto"/>
          <w:color w:val="auto"/>
        </w:rPr>
        <w:t>Rights and Duties of Successor Company</w:t>
      </w:r>
      <w:r>
        <w:rPr>
          <w:rFonts w:ascii="Times New Roman" w:cs="Times New Roman" w:eastAsia="Times New Roman" w:hAnsi="Times New Roman"/>
          <w:sz w:val="13"/>
          <w:szCs w:val="13"/>
          <w:color w:val="auto"/>
        </w:rPr>
        <w:t>. In case of any consolidation, amalgamation or merger where such Issuer is not the continuing Person, or disposition of all or substantially all of the assets of such Issuer in accordance with Section 10.01, the Successor Company shall succeed to and be substituted for such Issuer with the same effect as if it had been named herein as the respective party to this Indenture, and the predecessor entity shall be released from all liabilities and obligations under this Indenture and the Debt Securities, except that no such release will occur in the case of a lease of all or substantially all of such Issuer’s assets. The Successor Company thereupon may cause to be signed, and may issue either in its own name or in the name of such Issuer, any or all the Debt Securities issuable hereunder which theretofore shall not have been signed by or on behalf of such Issuer and delivered to the Trustee; and, upon the order of the Successor Company, instead of such Issuer, and subject to all the terms, conditions and limitations in this Indenture prescribed, the Trustee shall authenticate and shall deliver any Debt Securities which previously shall have been signed and delivered by or on behalf of such Issuer to the Trustee for authentication, and any Debt Securities which the Successor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140" w:name="page141"/>
    <w:bookmarkEnd w:id="140"/>
    <w:p>
      <w:pPr>
        <w:ind w:left="280" w:right="3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thereafter shall cause to be signed and delivered to the Trustee for that purpose. All the Debt Securities so issued shall in all respects have the same legal rank and benefit under this Indenture as the Debt Securities theretofore or thereafter issued in accordance with the terms of this Indenture as though all such Debt Securities had been issued at the date of the execution hereof.</w:t>
      </w:r>
    </w:p>
    <w:p>
      <w:pPr>
        <w:spacing w:after="0" w:line="141"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In case of any such consolidation, amalgamation, merger, sale or disposition such changes in phraseology and form (but not in substance) may be made in the Debt Securities thereafter to be issued as may be appropriate.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 DEFEASANCE; UNCLAIMED MONEYS</w:t>
      </w:r>
    </w:p>
    <w:p>
      <w:pPr>
        <w:spacing w:after="0" w:line="157" w:lineRule="exact"/>
        <w:rPr>
          <w:sz w:val="20"/>
          <w:szCs w:val="20"/>
          <w:color w:val="auto"/>
        </w:rPr>
      </w:pPr>
    </w:p>
    <w:p>
      <w:pPr>
        <w:ind w:left="280" w:right="39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 The provisions of this Article XI relating to discharge or defeasance of Debt Securities shall be applicable to each series of Debt Securities except as otherwise specified pursuant to Section 2.03 for Debt Securities of such series.</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u w:val="single" w:color="auto"/>
          <w:color w:val="auto"/>
        </w:rPr>
        <w:t>Satisfaction and Discharge of Indenture; Defeasance</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280" w:right="379" w:firstLine="342"/>
        <w:spacing w:after="0" w:line="269" w:lineRule="auto"/>
        <w:tabs>
          <w:tab w:leader="none" w:pos="805"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Issuers shall have delivered to the Trustee for cancellation all Debt Securities of any series theretofore authenticated and delivered (other than any Debt Securities of such series which shall have been destroyed, lost or stolen and which shall have been replaced or paid as provided in Section 2.09 and Debt Securities for whose payment money has theretofore been deposited in trust and thereafter repaid to the Issuers as provided in Section 11.05) or all Debt Securities of such series not theretofore delivered to the Trustee for cancellation shall have become due and payable by reason of the giving of a notice of redemption or otherwise, or are by their terms to become due and payable within one year or are to be called for redemption within one year under arrangements satisfactory to the Trustee for the giving of notice of redemption, and the Issuers shall irrevocably deposit with the Trustee as trust funds the entire amount in cash sufficient, without consideration of any investment of interest, to pay and discharge the entire indebtedness of all Debt Securities of such series not theretofore delivered to the Trustee for cancellation, for principal and premium, if any, and accrued interest to the date of such deposit (in the case of Debt Securities that have become due and payable) or to the stated maturity or Redemption Date, as the case may be, and if in either case the Issuers shall also pay or cause to be paid all other sums payable hereunder by the Issuers with respect to the Debt Securities of such series, then this Indenture shall cease to be of further effect (except as to any surviving rights of registration of transfer or exchange of such Debt Securities herein expressly provided for) with respect to the Debt Securities of such series, and the Trustee, on demand of the Issuers accompanied by an Officers’ Certificate and an Opinion of Counsel and at the cost and expense of the Issuers, shall execute proper instruments acknowledging satisfaction of and discharging this Indenture with respect to the Debt Securities of such series.</w:t>
      </w:r>
    </w:p>
    <w:p>
      <w:pPr>
        <w:spacing w:after="0" w:line="136" w:lineRule="exact"/>
        <w:rPr>
          <w:rFonts w:ascii="Times New Roman" w:cs="Times New Roman" w:eastAsia="Times New Roman" w:hAnsi="Times New Roman"/>
          <w:sz w:val="13"/>
          <w:szCs w:val="13"/>
          <w:color w:val="auto"/>
        </w:rPr>
      </w:pPr>
    </w:p>
    <w:p>
      <w:pPr>
        <w:ind w:left="280" w:right="339" w:firstLine="342"/>
        <w:spacing w:after="0" w:line="253" w:lineRule="auto"/>
        <w:tabs>
          <w:tab w:leader="none" w:pos="813"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Sections 11.02(c), 11.03 and 11.07, the Issuers at any time may terminate, with respect to Debt Securities of a particular series, all their obligations under the Debt Securities of such series and this Indenture with respect to the Debt Securities of such series (“legal defeasance option”) or the operation of (w) Sections 4.09 and 4.10, (x) any covenant made applicable to such Debt Securities pursuant to Section 2.03, (y) Sections 6.01(d) and (g) (“covenant defeasance option”). The Issuers may exercise their legal defeasance option notwithstanding their prior exercise of their covenant defeasance option.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41" w:right="1440" w:bottom="1440" w:gutter="0" w:footer="0" w:header="0"/>
        </w:sectPr>
      </w:pPr>
    </w:p>
    <w:bookmarkStart w:id="141" w:name="page142"/>
    <w:bookmarkEnd w:id="141"/>
    <w:p>
      <w:pPr>
        <w:ind w:left="280" w:right="339" w:firstLine="337"/>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If the Issuers exercise their legal defeasance option, payment of the Debt Securities of the defeased series may not be accelerated because of an Event of Default. If the Issuers exercise their covenant defeasance option, payment of the Debt Securities of the defeased series may not be accelerated because of an Event of Default specified in Sections 6.01(d) and (g). Upon satisfaction of the conditions set forth herein and upon request of the Issuers, the Trustee shall acknowledge in writing the discharge of those obligations that the Issuers terminate.</w:t>
      </w:r>
    </w:p>
    <w:p>
      <w:pPr>
        <w:spacing w:after="0" w:line="143" w:lineRule="exact"/>
        <w:rPr>
          <w:sz w:val="20"/>
          <w:szCs w:val="20"/>
          <w:color w:val="auto"/>
        </w:rPr>
      </w:pPr>
    </w:p>
    <w:p>
      <w:pPr>
        <w:jc w:val="both"/>
        <w:ind w:left="280" w:right="319" w:firstLine="342"/>
        <w:spacing w:after="0" w:line="259" w:lineRule="auto"/>
        <w:tabs>
          <w:tab w:leader="none" w:pos="80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clauses (a) and (b) above, the Issuers’ obligations in Sections 2.07, 2.09, 4.02, 4.03, 4.04, the last sentence of 4.05(a), 4.06(a), 5.01, 7.06, 11.05, 11.06 and 11.07 shall survive until the Debt Securities of the defeased series have been paid in full. Thereafter, the Issuers’ obligations in Sections 7.06, 11.05 and 11.06 shall survive.</w:t>
      </w:r>
    </w:p>
    <w:p>
      <w:pPr>
        <w:spacing w:after="0" w:line="141" w:lineRule="exact"/>
        <w:rPr>
          <w:sz w:val="20"/>
          <w:szCs w:val="20"/>
          <w:color w:val="auto"/>
        </w:rPr>
      </w:pPr>
    </w:p>
    <w:p>
      <w:pPr>
        <w:ind w:left="280" w:right="41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11.03 </w:t>
      </w:r>
      <w:r>
        <w:rPr>
          <w:rFonts w:ascii="Times New Roman" w:cs="Times New Roman" w:eastAsia="Times New Roman" w:hAnsi="Times New Roman"/>
          <w:sz w:val="14"/>
          <w:szCs w:val="14"/>
          <w:u w:val="single" w:color="auto"/>
          <w:color w:val="auto"/>
        </w:rPr>
        <w:t>Conditions of Defeasance</w:t>
      </w:r>
      <w:r>
        <w:rPr>
          <w:rFonts w:ascii="Times New Roman" w:cs="Times New Roman" w:eastAsia="Times New Roman" w:hAnsi="Times New Roman"/>
          <w:sz w:val="14"/>
          <w:szCs w:val="14"/>
          <w:color w:val="auto"/>
        </w:rPr>
        <w:t>. The Issuers may exercise their legal defeasance option or their covenant defeasance option with respect to Debt Securities of a particular series only if:</w:t>
      </w:r>
    </w:p>
    <w:p>
      <w:pPr>
        <w:spacing w:after="0" w:line="47" w:lineRule="exact"/>
        <w:rPr>
          <w:sz w:val="20"/>
          <w:szCs w:val="20"/>
          <w:color w:val="auto"/>
        </w:rPr>
      </w:pPr>
    </w:p>
    <w:p>
      <w:pPr>
        <w:ind w:left="280" w:right="379" w:firstLine="342"/>
        <w:spacing w:after="0" w:line="273" w:lineRule="auto"/>
        <w:tabs>
          <w:tab w:leader="none" w:pos="805"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irrevocably deposit in trust with the Trustee money or U.S. Government Obligations for the payment of principal of, and premium, if any, and interest on, the Debt Securities of such series to final maturity or redemption, as the case may be;</w:t>
      </w:r>
    </w:p>
    <w:p>
      <w:pPr>
        <w:spacing w:after="0" w:line="130" w:lineRule="exact"/>
        <w:rPr>
          <w:rFonts w:ascii="Times New Roman" w:cs="Times New Roman" w:eastAsia="Times New Roman" w:hAnsi="Times New Roman"/>
          <w:sz w:val="14"/>
          <w:szCs w:val="14"/>
          <w:color w:val="auto"/>
        </w:rPr>
      </w:pPr>
    </w:p>
    <w:p>
      <w:pPr>
        <w:ind w:left="280" w:right="319" w:firstLine="342"/>
        <w:spacing w:after="0" w:line="255" w:lineRule="auto"/>
        <w:tabs>
          <w:tab w:leader="none" w:pos="813"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deliver to the Trustee a certificate from a nationally recognized firm of independent accountants expressing their opinion that the payments of principal and interest when due and without reinvestment on the deposited U.S. Government Obligations plus any deposited money without investment will provide cash at such times and in such amounts as will be sufficient to pay the principal, premium, if any, and interest when due on all the Debt Securities of such series to final maturity or redemption, as the case may be;</w:t>
      </w:r>
    </w:p>
    <w:p>
      <w:pPr>
        <w:spacing w:after="0" w:line="143" w:lineRule="exact"/>
        <w:rPr>
          <w:rFonts w:ascii="Times New Roman" w:cs="Times New Roman" w:eastAsia="Times New Roman" w:hAnsi="Times New Roman"/>
          <w:sz w:val="14"/>
          <w:szCs w:val="14"/>
          <w:color w:val="auto"/>
        </w:rPr>
      </w:pPr>
    </w:p>
    <w:p>
      <w:pPr>
        <w:ind w:left="280" w:right="539" w:firstLine="342"/>
        <w:spacing w:after="0" w:line="273" w:lineRule="auto"/>
        <w:tabs>
          <w:tab w:leader="none" w:pos="805"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91 days pass after the deposit is made and during the 91-day period no Default specified in Section 6.01(e) or (f) with respect to the Issuers occurs which is continuing at the end of the period;</w:t>
      </w:r>
    </w:p>
    <w:p>
      <w:pPr>
        <w:spacing w:after="0" w:line="130" w:lineRule="exact"/>
        <w:rPr>
          <w:rFonts w:ascii="Times New Roman" w:cs="Times New Roman" w:eastAsia="Times New Roman" w:hAnsi="Times New Roman"/>
          <w:sz w:val="14"/>
          <w:szCs w:val="14"/>
          <w:color w:val="auto"/>
        </w:rPr>
      </w:pPr>
    </w:p>
    <w:p>
      <w:pPr>
        <w:ind w:left="820" w:hanging="198"/>
        <w:spacing w:after="0"/>
        <w:tabs>
          <w:tab w:leader="none" w:pos="8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has occurred and is continuing on the date of such deposit and after giving effect thereto;</w:t>
      </w:r>
    </w:p>
    <w:p>
      <w:pPr>
        <w:spacing w:after="0" w:line="169" w:lineRule="exact"/>
        <w:rPr>
          <w:rFonts w:ascii="Times New Roman" w:cs="Times New Roman" w:eastAsia="Times New Roman" w:hAnsi="Times New Roman"/>
          <w:sz w:val="14"/>
          <w:szCs w:val="14"/>
          <w:color w:val="auto"/>
        </w:rPr>
      </w:pPr>
    </w:p>
    <w:p>
      <w:pPr>
        <w:ind w:left="800" w:hanging="178"/>
        <w:spacing w:after="0"/>
        <w:tabs>
          <w:tab w:leader="none" w:pos="8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 does not constitute a default under any other agreement binding on the Issuers;</w:t>
      </w:r>
    </w:p>
    <w:p>
      <w:pPr>
        <w:spacing w:after="0" w:line="169" w:lineRule="exact"/>
        <w:rPr>
          <w:rFonts w:ascii="Times New Roman" w:cs="Times New Roman" w:eastAsia="Times New Roman" w:hAnsi="Times New Roman"/>
          <w:sz w:val="14"/>
          <w:szCs w:val="14"/>
          <w:color w:val="auto"/>
        </w:rPr>
      </w:pPr>
    </w:p>
    <w:p>
      <w:pPr>
        <w:ind w:left="280" w:right="379" w:firstLine="342"/>
        <w:spacing w:after="0" w:line="273" w:lineRule="auto"/>
        <w:tabs>
          <w:tab w:leader="none" w:pos="79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deliver to the Trustee an Opinion of Counsel to the effect that the trust resulting from the deposit does not constitute, or is qualified as, a regulated investment company under the Investment Company Act of 1940;</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142" w:name="page143"/>
    <w:bookmarkEnd w:id="142"/>
    <w:p>
      <w:pPr>
        <w:ind w:left="280" w:right="319" w:firstLine="342"/>
        <w:spacing w:after="0" w:line="253" w:lineRule="auto"/>
        <w:tabs>
          <w:tab w:leader="none" w:pos="81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the event of the legal defeasance option, the Issuers shall have delivered to the Trustee an Opinion of Counsel stating that the Issuers have received from the Internal Revenue Service a ruling, or since the date of this Indenture there has been a change in the applicable Federal income tax law, in either case to the effect that, and based thereon such Opinion of Counsel shall confirm that, the Holders of Debt Securities of such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44" w:lineRule="exact"/>
        <w:rPr>
          <w:rFonts w:ascii="Times New Roman" w:cs="Times New Roman" w:eastAsia="Times New Roman" w:hAnsi="Times New Roman"/>
          <w:sz w:val="14"/>
          <w:szCs w:val="14"/>
          <w:color w:val="auto"/>
        </w:rPr>
      </w:pPr>
    </w:p>
    <w:p>
      <w:pPr>
        <w:ind w:left="280" w:right="299" w:firstLine="342"/>
        <w:spacing w:after="0" w:line="255" w:lineRule="auto"/>
        <w:tabs>
          <w:tab w:leader="none" w:pos="81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covenant defeasance option, the Issuers shall have delivered to the Trustee an Opinion of Counsel to the effect that the Holders of Debt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and</w:t>
      </w:r>
    </w:p>
    <w:p>
      <w:pPr>
        <w:spacing w:after="0" w:line="143" w:lineRule="exact"/>
        <w:rPr>
          <w:rFonts w:ascii="Times New Roman" w:cs="Times New Roman" w:eastAsia="Times New Roman" w:hAnsi="Times New Roman"/>
          <w:sz w:val="14"/>
          <w:szCs w:val="14"/>
          <w:color w:val="auto"/>
        </w:rPr>
      </w:pPr>
    </w:p>
    <w:p>
      <w:pPr>
        <w:ind w:left="280" w:right="319" w:firstLine="342"/>
        <w:spacing w:after="0" w:line="273" w:lineRule="auto"/>
        <w:tabs>
          <w:tab w:leader="none" w:pos="782"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deliver to the Trustee an Officers’ Certificate and an Opinion of Counsel, each stating that all conditions precedent to the defeasance and discharge of the Debt Securities of such series as contemplated by this Article XI have been complied with.</w:t>
      </w:r>
    </w:p>
    <w:p>
      <w:pPr>
        <w:spacing w:after="0" w:line="130" w:lineRule="exact"/>
        <w:rPr>
          <w:sz w:val="20"/>
          <w:szCs w:val="20"/>
          <w:color w:val="auto"/>
        </w:rPr>
      </w:pPr>
    </w:p>
    <w:p>
      <w:pPr>
        <w:ind w:left="280" w:right="459" w:firstLine="337"/>
        <w:spacing w:after="0" w:line="273" w:lineRule="auto"/>
        <w:rPr>
          <w:sz w:val="20"/>
          <w:szCs w:val="20"/>
          <w:color w:val="auto"/>
        </w:rPr>
      </w:pPr>
      <w:r>
        <w:rPr>
          <w:rFonts w:ascii="Times New Roman" w:cs="Times New Roman" w:eastAsia="Times New Roman" w:hAnsi="Times New Roman"/>
          <w:sz w:val="14"/>
          <w:szCs w:val="14"/>
          <w:color w:val="auto"/>
        </w:rPr>
        <w:t>Before or after a deposit, the Issuers may make arrangements satisfactory to the Trustee for the redemption of Debt Securities of such series at a future date in accordance with Article III.</w:t>
      </w:r>
    </w:p>
    <w:p>
      <w:pPr>
        <w:spacing w:after="0" w:line="130" w:lineRule="exact"/>
        <w:rPr>
          <w:sz w:val="20"/>
          <w:szCs w:val="20"/>
          <w:color w:val="auto"/>
        </w:rPr>
      </w:pPr>
    </w:p>
    <w:p>
      <w:pPr>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11.04 </w:t>
      </w:r>
      <w:r>
        <w:rPr>
          <w:rFonts w:ascii="Times New Roman" w:cs="Times New Roman" w:eastAsia="Times New Roman" w:hAnsi="Times New Roman"/>
          <w:sz w:val="14"/>
          <w:szCs w:val="14"/>
          <w:u w:val="single" w:color="auto"/>
          <w:color w:val="auto"/>
        </w:rPr>
        <w:t>Application of Trust Money</w:t>
      </w:r>
      <w:r>
        <w:rPr>
          <w:rFonts w:ascii="Times New Roman" w:cs="Times New Roman" w:eastAsia="Times New Roman" w:hAnsi="Times New Roman"/>
          <w:sz w:val="14"/>
          <w:szCs w:val="14"/>
          <w:color w:val="auto"/>
        </w:rPr>
        <w:t>. The Trustee shall hold in trust money or U.S. Government Obligations deposited with it pursuant to this Article XI. It shall apply the deposited money and the money from U.S. Government Obligations through any paying agent and in accordance with this Indenture to the payment of principal of, and premium, if any, and interest on, the Debt Securities of the defeased series.</w:t>
      </w:r>
    </w:p>
    <w:p>
      <w:pPr>
        <w:spacing w:after="0" w:line="141" w:lineRule="exact"/>
        <w:rPr>
          <w:sz w:val="20"/>
          <w:szCs w:val="20"/>
          <w:color w:val="auto"/>
        </w:rPr>
      </w:pPr>
    </w:p>
    <w:p>
      <w:pPr>
        <w:ind w:left="280" w:right="299" w:firstLine="337"/>
        <w:spacing w:after="0" w:line="255" w:lineRule="auto"/>
        <w:rPr>
          <w:sz w:val="20"/>
          <w:szCs w:val="20"/>
          <w:color w:val="auto"/>
        </w:rPr>
      </w:pPr>
      <w:r>
        <w:rPr>
          <w:rFonts w:ascii="Times New Roman" w:cs="Times New Roman" w:eastAsia="Times New Roman" w:hAnsi="Times New Roman"/>
          <w:sz w:val="14"/>
          <w:szCs w:val="14"/>
          <w:color w:val="auto"/>
        </w:rPr>
        <w:t xml:space="preserve">Section 11.05 </w:t>
      </w:r>
      <w:r>
        <w:rPr>
          <w:rFonts w:ascii="Times New Roman" w:cs="Times New Roman" w:eastAsia="Times New Roman" w:hAnsi="Times New Roman"/>
          <w:sz w:val="14"/>
          <w:szCs w:val="14"/>
          <w:u w:val="single" w:color="auto"/>
          <w:color w:val="auto"/>
        </w:rPr>
        <w:t>Repayment to Issuers</w:t>
      </w:r>
      <w:r>
        <w:rPr>
          <w:rFonts w:ascii="Times New Roman" w:cs="Times New Roman" w:eastAsia="Times New Roman" w:hAnsi="Times New Roman"/>
          <w:sz w:val="14"/>
          <w:szCs w:val="14"/>
          <w:color w:val="auto"/>
        </w:rPr>
        <w:t>. The Trustee and any paying agent shall promptly turn over to the Issuers upon request any excess money or securities held by them at any time. Subject to any applicable abandoned property law, the Trustee and any paying agent shall pay to the Issuers upon request any money held by them for the payment of principal, premium or interest that remains unclaimed for two years, and, thereafter, Holders entitled to such money must look to the Issuers for payment as general creditors.</w:t>
      </w:r>
    </w:p>
    <w:p>
      <w:pPr>
        <w:spacing w:after="0" w:line="143" w:lineRule="exact"/>
        <w:rPr>
          <w:sz w:val="20"/>
          <w:szCs w:val="20"/>
          <w:color w:val="auto"/>
        </w:rPr>
      </w:pPr>
    </w:p>
    <w:p>
      <w:pPr>
        <w:jc w:val="both"/>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11.06 </w:t>
      </w:r>
      <w:r>
        <w:rPr>
          <w:rFonts w:ascii="Times New Roman" w:cs="Times New Roman" w:eastAsia="Times New Roman" w:hAnsi="Times New Roman"/>
          <w:sz w:val="14"/>
          <w:szCs w:val="14"/>
          <w:u w:val="single" w:color="auto"/>
          <w:color w:val="auto"/>
        </w:rPr>
        <w:t>Indemnity for Government Obligations</w:t>
      </w:r>
      <w:r>
        <w:rPr>
          <w:rFonts w:ascii="Times New Roman" w:cs="Times New Roman" w:eastAsia="Times New Roman" w:hAnsi="Times New Roman"/>
          <w:sz w:val="14"/>
          <w:szCs w:val="14"/>
          <w:color w:val="auto"/>
        </w:rPr>
        <w:t>. The Issuers shall pay and shall indemnify the Trustee and the Holders against any tax, fee or other charge imposed on or assessed against deposited U.S. Government Obligations or the principal and interest received on such U.S. Government Obligations.</w:t>
      </w:r>
    </w:p>
    <w:p>
      <w:pPr>
        <w:spacing w:after="0" w:line="141" w:lineRule="exact"/>
        <w:rPr>
          <w:sz w:val="20"/>
          <w:szCs w:val="20"/>
          <w:color w:val="auto"/>
        </w:rPr>
      </w:pPr>
    </w:p>
    <w:p>
      <w:pPr>
        <w:ind w:left="280" w:right="339" w:firstLine="337"/>
        <w:spacing w:after="0" w:line="253" w:lineRule="auto"/>
        <w:rPr>
          <w:sz w:val="20"/>
          <w:szCs w:val="20"/>
          <w:color w:val="auto"/>
        </w:rPr>
      </w:pPr>
      <w:r>
        <w:rPr>
          <w:rFonts w:ascii="Times New Roman" w:cs="Times New Roman" w:eastAsia="Times New Roman" w:hAnsi="Times New Roman"/>
          <w:sz w:val="14"/>
          <w:szCs w:val="14"/>
          <w:color w:val="auto"/>
        </w:rPr>
        <w:t xml:space="preserve">Section 11.07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 If the Trustee or any paying agent is unable to apply any money or U.S. Government Obligations in accordance with this Article XI by reason of any legal proceeding or by reason of any order or judgment of any court or government authority enjoining, restraining or otherwise prohibiting such application, the Issuers’ obligations under this Indenture and the Debt Securities of the defeased series shall be revived and reinstated as though no deposit had occurred pursuant to this Article XI until such time as the Trustee or any paying agent is permitted to apply all such money or U.S. Government Obligations in accordance with this Article XI.</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40" w:right="1440" w:bottom="1440" w:gutter="0" w:footer="0" w:header="0"/>
        </w:sectPr>
      </w:pPr>
    </w:p>
    <w:bookmarkStart w:id="143" w:name="page144"/>
    <w:bookmarkEnd w:id="143"/>
    <w:p>
      <w:pPr>
        <w:ind w:left="40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ARTICLE XII</w:t>
      </w:r>
    </w:p>
    <w:p>
      <w:pPr>
        <w:spacing w:after="0" w:line="2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[RESERVED]</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This Article XII has been intentionally omitted.</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XIII</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57" w:lineRule="exact"/>
        <w:rPr>
          <w:sz w:val="20"/>
          <w:szCs w:val="20"/>
          <w:color w:val="auto"/>
        </w:rPr>
      </w:pPr>
    </w:p>
    <w:p>
      <w:pPr>
        <w:ind w:left="280" w:right="45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13.01 </w:t>
      </w:r>
      <w:r>
        <w:rPr>
          <w:rFonts w:ascii="Times New Roman" w:cs="Times New Roman" w:eastAsia="Times New Roman" w:hAnsi="Times New Roman"/>
          <w:sz w:val="14"/>
          <w:szCs w:val="14"/>
          <w:u w:val="single" w:color="auto"/>
          <w:color w:val="auto"/>
        </w:rPr>
        <w:t>Successors and Assigns of Issuers Bound by Indenture</w:t>
      </w:r>
      <w:r>
        <w:rPr>
          <w:rFonts w:ascii="Times New Roman" w:cs="Times New Roman" w:eastAsia="Times New Roman" w:hAnsi="Times New Roman"/>
          <w:sz w:val="14"/>
          <w:szCs w:val="14"/>
          <w:color w:val="auto"/>
        </w:rPr>
        <w:t>. All the covenants, stipulations, promises and agreements in this Indenture contained by or in behalf of the Issuers or the Trustee shall bind their respective successors and assigns, whether so expressed or not.</w:t>
      </w:r>
    </w:p>
    <w:p>
      <w:pPr>
        <w:spacing w:after="0" w:line="130" w:lineRule="exact"/>
        <w:rPr>
          <w:sz w:val="20"/>
          <w:szCs w:val="20"/>
          <w:color w:val="auto"/>
        </w:rPr>
      </w:pPr>
    </w:p>
    <w:p>
      <w:pPr>
        <w:ind w:left="280" w:right="53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13.02 </w:t>
      </w:r>
      <w:r>
        <w:rPr>
          <w:rFonts w:ascii="Times New Roman" w:cs="Times New Roman" w:eastAsia="Times New Roman" w:hAnsi="Times New Roman"/>
          <w:sz w:val="14"/>
          <w:szCs w:val="14"/>
          <w:u w:val="single" w:color="auto"/>
          <w:color w:val="auto"/>
        </w:rPr>
        <w:t>Acts of Board, Committee or Officer of Successor Company Valid.</w:t>
      </w:r>
      <w:r>
        <w:rPr>
          <w:rFonts w:ascii="Times New Roman" w:cs="Times New Roman" w:eastAsia="Times New Roman" w:hAnsi="Times New Roman"/>
          <w:sz w:val="14"/>
          <w:szCs w:val="14"/>
          <w:color w:val="auto"/>
        </w:rPr>
        <w:t xml:space="preserve"> Any act or proceeding by any provision of this Indenture authorized or required to be done or performed by any board, committee or officer of either of the Issuers shall and may be done and performed with like force and effect by the like board, committee or officer of any Successor Company.</w:t>
      </w:r>
    </w:p>
    <w:p>
      <w:pPr>
        <w:spacing w:after="0" w:line="141"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13.03 </w:t>
      </w:r>
      <w:r>
        <w:rPr>
          <w:rFonts w:ascii="Times New Roman" w:cs="Times New Roman" w:eastAsia="Times New Roman" w:hAnsi="Times New Roman"/>
          <w:sz w:val="14"/>
          <w:szCs w:val="14"/>
          <w:u w:val="single" w:color="auto"/>
          <w:color w:val="auto"/>
        </w:rPr>
        <w:t>Required Notices or Demands</w:t>
      </w:r>
      <w:r>
        <w:rPr>
          <w:rFonts w:ascii="Times New Roman" w:cs="Times New Roman" w:eastAsia="Times New Roman" w:hAnsi="Times New Roman"/>
          <w:sz w:val="14"/>
          <w:szCs w:val="14"/>
          <w:color w:val="auto"/>
        </w:rPr>
        <w:t>. Any notice or communication by the Issuers or the Trustee to the others is duly given if in writing in the English language and delivered in Person or mailed by registered or certified mail (return receipt requested), fax or overnight air courier guaranteeing next day delivery, to the other’s address:</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If to the Issuers: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Westlake Chemical Partners LP</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2801 Post Oak Boulevard, Suite 600</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Houston, Texas 77056</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Fax No. (713) 960-8761</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87" w:lineRule="exact"/>
        <w:rPr>
          <w:sz w:val="20"/>
          <w:szCs w:val="20"/>
          <w:color w:val="auto"/>
        </w:rPr>
      </w:pPr>
    </w:p>
    <w:p>
      <w:pPr>
        <w:ind w:left="700" w:hanging="78"/>
        <w:spacing w:after="0"/>
        <w:tabs>
          <w:tab w:leader="none" w:pos="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169" w:lineRule="exact"/>
        <w:rPr>
          <w:rFonts w:ascii="Times New Roman" w:cs="Times New Roman" w:eastAsia="Times New Roman" w:hAnsi="Times New Roman"/>
          <w:sz w:val="14"/>
          <w:szCs w:val="14"/>
          <w:color w:val="auto"/>
        </w:rPr>
      </w:pPr>
    </w:p>
    <w:p>
      <w:pPr>
        <w:ind w:left="700" w:hanging="78"/>
        <w:spacing w:after="0"/>
        <w:tabs>
          <w:tab w:leader="none" w:pos="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169" w:lineRule="exact"/>
        <w:rPr>
          <w:rFonts w:ascii="Times New Roman" w:cs="Times New Roman" w:eastAsia="Times New Roman" w:hAnsi="Times New Roman"/>
          <w:sz w:val="14"/>
          <w:szCs w:val="14"/>
          <w:color w:val="auto"/>
        </w:rPr>
      </w:pPr>
    </w:p>
    <w:p>
      <w:pPr>
        <w:ind w:left="700" w:hanging="78"/>
        <w:spacing w:after="0"/>
        <w:tabs>
          <w:tab w:leader="none" w:pos="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169" w:lineRule="exact"/>
        <w:rPr>
          <w:rFonts w:ascii="Times New Roman" w:cs="Times New Roman" w:eastAsia="Times New Roman" w:hAnsi="Times New Roman"/>
          <w:sz w:val="14"/>
          <w:szCs w:val="14"/>
          <w:color w:val="auto"/>
        </w:rPr>
      </w:pPr>
    </w:p>
    <w:p>
      <w:pPr>
        <w:ind w:left="700" w:hanging="78"/>
        <w:spacing w:after="0"/>
        <w:tabs>
          <w:tab w:leader="none" w:pos="7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169"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Issuers or the Trustee by notice to the others may designate additional or different addresses for subsequent notices or communications.</w:t>
      </w:r>
    </w:p>
    <w:p>
      <w:pPr>
        <w:spacing w:after="0" w:line="170" w:lineRule="exact"/>
        <w:rPr>
          <w:sz w:val="20"/>
          <w:szCs w:val="20"/>
          <w:color w:val="auto"/>
        </w:rPr>
      </w:pPr>
    </w:p>
    <w:p>
      <w:pPr>
        <w:ind w:left="280" w:right="319" w:firstLine="337"/>
        <w:spacing w:after="0" w:line="255" w:lineRule="auto"/>
        <w:rPr>
          <w:sz w:val="20"/>
          <w:szCs w:val="20"/>
          <w:color w:val="auto"/>
        </w:rPr>
      </w:pPr>
      <w:r>
        <w:rPr>
          <w:rFonts w:ascii="Times New Roman" w:cs="Times New Roman" w:eastAsia="Times New Roman" w:hAnsi="Times New Roman"/>
          <w:sz w:val="14"/>
          <w:szCs w:val="14"/>
          <w:color w:val="auto"/>
        </w:rPr>
        <w:t>All notices and communications shall be deemed to have been duly given: at the time delivered by hand, if personally delivered; five Business Days after being deposited in the mail, postage prepaid, if mailed; on the first Business Day on or after being sent, if faxed and the sender receives confirmation of successful transmission; and the next Business Day after timely delivery to the courier, if sent by overnight air courier guaranteeing next day delivery.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6" w:right="1440" w:bottom="1440" w:gutter="0" w:footer="0" w:header="0"/>
        </w:sectPr>
      </w:pPr>
    </w:p>
    <w:bookmarkStart w:id="144" w:name="page145"/>
    <w:bookmarkEnd w:id="144"/>
    <w:p>
      <w:pPr>
        <w:ind w:left="280" w:right="299" w:firstLine="337"/>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Any notice required or permitted to a Holder by the Issuers or the Trustee pursuant to the provisions of this Indenture shall be deemed to be properly given (i) by being deposited postage prepaid in a post office letter box in the United States addressed to such Holder at the address of such Holder as shown on the Debt Security Register or (ii) if the Holder is the Depository, by being given by such other means as the Depository may specify. Any report pursuant to Section 313 of the TIA shall be transmitted in compliance with subsection (c) therein.</w:t>
      </w:r>
    </w:p>
    <w:p>
      <w:pPr>
        <w:spacing w:after="0" w:line="143"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Notwithstanding the foregoing, any notice to Holders of Floating Rate Securities regarding the determination of a periodic rate of interest, if such notice is required pursuant to Section 2.03, shall be sufficiently given if given in the manner specified pursuant to Section 2.03.</w:t>
      </w:r>
    </w:p>
    <w:p>
      <w:pPr>
        <w:spacing w:after="0" w:line="130" w:lineRule="exact"/>
        <w:rPr>
          <w:sz w:val="20"/>
          <w:szCs w:val="20"/>
          <w:color w:val="auto"/>
        </w:rPr>
      </w:pPr>
    </w:p>
    <w:p>
      <w:pPr>
        <w:ind w:left="280" w:right="739" w:firstLine="337"/>
        <w:spacing w:after="0" w:line="273" w:lineRule="auto"/>
        <w:rPr>
          <w:sz w:val="20"/>
          <w:szCs w:val="20"/>
          <w:color w:val="auto"/>
        </w:rPr>
      </w:pPr>
      <w:r>
        <w:rPr>
          <w:rFonts w:ascii="Times New Roman" w:cs="Times New Roman" w:eastAsia="Times New Roman" w:hAnsi="Times New Roman"/>
          <w:sz w:val="14"/>
          <w:szCs w:val="14"/>
          <w:color w:val="auto"/>
        </w:rPr>
        <w:t>In the event of suspension of regular mail service or by reason of any other cause it shall be impracticable to give notice by mail, then such notification as shall be given with the approval of the Trustee shall constitute sufficient notice for every purpose hereunder.</w:t>
      </w:r>
    </w:p>
    <w:p>
      <w:pPr>
        <w:spacing w:after="0" w:line="130" w:lineRule="exact"/>
        <w:rPr>
          <w:sz w:val="20"/>
          <w:szCs w:val="20"/>
          <w:color w:val="auto"/>
        </w:rPr>
      </w:pPr>
    </w:p>
    <w:p>
      <w:pPr>
        <w:ind w:left="280" w:right="479" w:firstLine="337"/>
        <w:spacing w:after="0" w:line="273" w:lineRule="auto"/>
        <w:rPr>
          <w:sz w:val="20"/>
          <w:szCs w:val="20"/>
          <w:color w:val="auto"/>
        </w:rPr>
      </w:pPr>
      <w:r>
        <w:rPr>
          <w:rFonts w:ascii="Times New Roman" w:cs="Times New Roman" w:eastAsia="Times New Roman" w:hAnsi="Times New Roman"/>
          <w:sz w:val="14"/>
          <w:szCs w:val="14"/>
          <w:color w:val="auto"/>
        </w:rPr>
        <w:t>In the event it shall be impracticable to give notice by publication, then such notification as shall be given with the approval of the Trustee shall constitute sufficient notice for every purpose hereunder.</w:t>
      </w:r>
    </w:p>
    <w:p>
      <w:pPr>
        <w:spacing w:after="0" w:line="130" w:lineRule="exact"/>
        <w:rPr>
          <w:sz w:val="20"/>
          <w:szCs w:val="20"/>
          <w:color w:val="auto"/>
        </w:rPr>
      </w:pPr>
    </w:p>
    <w:p>
      <w:pPr>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Failure to mail a notice or communication to a Holder or any defect in it or any defect in any notice by publication as to a Holder shall not affect the sufficiency of such notice with respect to other Holders. If a notice or communication is mailed or published in the manner provided above, it is conclusively presumed duly given.</w:t>
      </w:r>
    </w:p>
    <w:p>
      <w:pPr>
        <w:spacing w:after="0" w:line="141" w:lineRule="exact"/>
        <w:rPr>
          <w:sz w:val="20"/>
          <w:szCs w:val="20"/>
          <w:color w:val="auto"/>
        </w:rPr>
      </w:pPr>
    </w:p>
    <w:p>
      <w:pPr>
        <w:jc w:val="both"/>
        <w:ind w:left="280" w:right="43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13.04 </w:t>
      </w:r>
      <w:r>
        <w:rPr>
          <w:rFonts w:ascii="Times New Roman" w:cs="Times New Roman" w:eastAsia="Times New Roman" w:hAnsi="Times New Roman"/>
          <w:sz w:val="14"/>
          <w:szCs w:val="14"/>
          <w:u w:val="single" w:color="auto"/>
          <w:color w:val="auto"/>
        </w:rPr>
        <w:t>Indenture and Debt Securities to Be Construed in Accordance with the Laws of the State of New York</w:t>
      </w:r>
      <w:r>
        <w:rPr>
          <w:rFonts w:ascii="Times New Roman" w:cs="Times New Roman" w:eastAsia="Times New Roman" w:hAnsi="Times New Roman"/>
          <w:sz w:val="14"/>
          <w:szCs w:val="14"/>
          <w:color w:val="auto"/>
        </w:rPr>
        <w:t>. THIS INDENTURE AND EACH DEBT SECURITY SHALL BE DEEMED TO BE NEW YORK CONTRACTS, AND FOR ALL PURPOSES SHALL BE GOVERNED BY AND CONSTRUED IN ACCORDANCE WITH THE LAWS OF SAID STATE.</w:t>
      </w:r>
    </w:p>
    <w:p>
      <w:pPr>
        <w:spacing w:after="0" w:line="141" w:lineRule="exact"/>
        <w:rPr>
          <w:sz w:val="20"/>
          <w:szCs w:val="20"/>
          <w:color w:val="auto"/>
        </w:rPr>
      </w:pPr>
    </w:p>
    <w:p>
      <w:pPr>
        <w:ind w:left="280" w:right="379" w:firstLine="337"/>
        <w:spacing w:after="0" w:line="251" w:lineRule="auto"/>
        <w:rPr>
          <w:sz w:val="20"/>
          <w:szCs w:val="20"/>
          <w:color w:val="auto"/>
        </w:rPr>
      </w:pPr>
      <w:r>
        <w:rPr>
          <w:rFonts w:ascii="Times New Roman" w:cs="Times New Roman" w:eastAsia="Times New Roman" w:hAnsi="Times New Roman"/>
          <w:sz w:val="14"/>
          <w:szCs w:val="14"/>
          <w:color w:val="auto"/>
        </w:rPr>
        <w:t xml:space="preserve">Section 13.05 </w:t>
      </w:r>
      <w:r>
        <w:rPr>
          <w:rFonts w:ascii="Times New Roman" w:cs="Times New Roman" w:eastAsia="Times New Roman" w:hAnsi="Times New Roman"/>
          <w:sz w:val="14"/>
          <w:szCs w:val="14"/>
          <w:u w:val="single" w:color="auto"/>
          <w:color w:val="auto"/>
        </w:rPr>
        <w:t>Officers’ Certificate and Opinion of Counsel to Be Furnished upon Application or Demand by the Issuers</w:t>
      </w:r>
      <w:r>
        <w:rPr>
          <w:rFonts w:ascii="Times New Roman" w:cs="Times New Roman" w:eastAsia="Times New Roman" w:hAnsi="Times New Roman"/>
          <w:sz w:val="14"/>
          <w:szCs w:val="14"/>
          <w:color w:val="auto"/>
        </w:rPr>
        <w:t>. Upon any application or demand by the Issuers to the Trustee to take any action under any of the provisions of this Indenture, each of the Issuers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48" w:lineRule="exact"/>
        <w:rPr>
          <w:sz w:val="20"/>
          <w:szCs w:val="20"/>
          <w:color w:val="auto"/>
        </w:rPr>
      </w:pPr>
    </w:p>
    <w:p>
      <w:pPr>
        <w:ind w:left="280" w:right="419" w:firstLine="337"/>
        <w:spacing w:after="0" w:line="251" w:lineRule="auto"/>
        <w:rPr>
          <w:sz w:val="20"/>
          <w:szCs w:val="20"/>
          <w:color w:val="auto"/>
        </w:rPr>
      </w:pPr>
      <w:r>
        <w:rPr>
          <w:rFonts w:ascii="Times New Roman" w:cs="Times New Roman" w:eastAsia="Times New Roman" w:hAnsi="Times New Roman"/>
          <w:sz w:val="14"/>
          <w:szCs w:val="14"/>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0" w:right="1440" w:bottom="1440" w:gutter="0" w:footer="0" w:header="0"/>
        </w:sectPr>
      </w:pPr>
    </w:p>
    <w:bookmarkStart w:id="145" w:name="page146"/>
    <w:bookmarkEnd w:id="145"/>
    <w:p>
      <w:pPr>
        <w:ind w:left="280" w:right="339" w:firstLine="337"/>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13.06 </w:t>
      </w:r>
      <w:r>
        <w:rPr>
          <w:rFonts w:ascii="Times New Roman" w:cs="Times New Roman" w:eastAsia="Times New Roman" w:hAnsi="Times New Roman"/>
          <w:sz w:val="14"/>
          <w:szCs w:val="14"/>
          <w:u w:val="single" w:color="auto"/>
          <w:color w:val="auto"/>
        </w:rPr>
        <w:t>Payments Due on Legal Holidays</w:t>
      </w:r>
      <w:r>
        <w:rPr>
          <w:rFonts w:ascii="Times New Roman" w:cs="Times New Roman" w:eastAsia="Times New Roman" w:hAnsi="Times New Roman"/>
          <w:sz w:val="14"/>
          <w:szCs w:val="14"/>
          <w:color w:val="auto"/>
        </w:rPr>
        <w:t>. In any case where the date of maturity of interest on or principal of and premium, if any, on the Debt Securities of a series or the date fixed for redemption or repayment of any Debt Security or the making of any sinking fund payment shall not be a Business Day at any Place of Payment for the Debt Securities of such series, then payment of interest or principal and premium, if any, or the making of such sinking fund payment need not be made on such date at such Place of Payment, but may be made on the next succeeding Business Day at such Place of Payment with the same force and effect as if made on the date of maturity or the date fixed for redemption, and no interest shall accrue for the period after such date. If a record date is not a Business Day, the record date shall not be affected.</w:t>
      </w:r>
    </w:p>
    <w:p>
      <w:pPr>
        <w:spacing w:after="0" w:line="148" w:lineRule="exact"/>
        <w:rPr>
          <w:sz w:val="20"/>
          <w:szCs w:val="20"/>
          <w:color w:val="auto"/>
        </w:rPr>
      </w:pPr>
    </w:p>
    <w:p>
      <w:pPr>
        <w:ind w:left="280" w:right="359" w:firstLine="337"/>
        <w:spacing w:after="0" w:line="259" w:lineRule="auto"/>
        <w:rPr>
          <w:sz w:val="20"/>
          <w:szCs w:val="20"/>
          <w:color w:val="auto"/>
        </w:rPr>
      </w:pPr>
      <w:r>
        <w:rPr>
          <w:rFonts w:ascii="Times New Roman" w:cs="Times New Roman" w:eastAsia="Times New Roman" w:hAnsi="Times New Roman"/>
          <w:sz w:val="14"/>
          <w:szCs w:val="14"/>
          <w:color w:val="auto"/>
        </w:rPr>
        <w:t xml:space="preserve">Section 13.07 </w:t>
      </w:r>
      <w:r>
        <w:rPr>
          <w:rFonts w:ascii="Times New Roman" w:cs="Times New Roman" w:eastAsia="Times New Roman" w:hAnsi="Times New Roman"/>
          <w:sz w:val="14"/>
          <w:szCs w:val="14"/>
          <w:u w:val="single" w:color="auto"/>
          <w:color w:val="auto"/>
        </w:rPr>
        <w:t>Provisions Required by TIA to Control</w:t>
      </w:r>
      <w:r>
        <w:rPr>
          <w:rFonts w:ascii="Times New Roman" w:cs="Times New Roman" w:eastAsia="Times New Roman" w:hAnsi="Times New Roman"/>
          <w:sz w:val="14"/>
          <w:szCs w:val="14"/>
          <w:color w:val="auto"/>
        </w:rPr>
        <w:t>. If and to the extent that any provision of this Indenture limits, qualifies or conflicts with another provision included in this Indenture which is required to be included in this Indenture by any of Sections 310 to 318, inclusive, of the TIA, such required provision shall control.</w:t>
      </w:r>
    </w:p>
    <w:p>
      <w:pPr>
        <w:spacing w:after="0" w:line="141" w:lineRule="exact"/>
        <w:rPr>
          <w:sz w:val="20"/>
          <w:szCs w:val="20"/>
          <w:color w:val="auto"/>
        </w:rPr>
      </w:pPr>
    </w:p>
    <w:p>
      <w:pPr>
        <w:ind w:left="280" w:right="35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13.08 </w:t>
      </w:r>
      <w:r>
        <w:rPr>
          <w:rFonts w:ascii="Times New Roman" w:cs="Times New Roman" w:eastAsia="Times New Roman" w:hAnsi="Times New Roman"/>
          <w:sz w:val="14"/>
          <w:szCs w:val="14"/>
          <w:u w:val="single" w:color="auto"/>
          <w:color w:val="auto"/>
        </w:rPr>
        <w:t>Computation of Interest on Debt Securities</w:t>
      </w:r>
      <w:r>
        <w:rPr>
          <w:rFonts w:ascii="Times New Roman" w:cs="Times New Roman" w:eastAsia="Times New Roman" w:hAnsi="Times New Roman"/>
          <w:sz w:val="14"/>
          <w:szCs w:val="14"/>
          <w:color w:val="auto"/>
        </w:rPr>
        <w:t>. Interest, if any, on the Debt Securities shall be computed on the basis of a 360-day year of twelve 30-day months, except as may otherwise be provided pursuant to Section 2.03.</w:t>
      </w:r>
    </w:p>
    <w:p>
      <w:pPr>
        <w:spacing w:after="0" w:line="130" w:lineRule="exact"/>
        <w:rPr>
          <w:sz w:val="20"/>
          <w:szCs w:val="20"/>
          <w:color w:val="auto"/>
        </w:rPr>
      </w:pPr>
    </w:p>
    <w:p>
      <w:pPr>
        <w:ind w:left="280" w:right="45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13.09 </w:t>
      </w:r>
      <w:r>
        <w:rPr>
          <w:rFonts w:ascii="Times New Roman" w:cs="Times New Roman" w:eastAsia="Times New Roman" w:hAnsi="Times New Roman"/>
          <w:sz w:val="14"/>
          <w:szCs w:val="14"/>
          <w:u w:val="single" w:color="auto"/>
          <w:color w:val="auto"/>
        </w:rPr>
        <w:t>Rules by Trustee, Paying Agent and Registrar</w:t>
      </w:r>
      <w:r>
        <w:rPr>
          <w:rFonts w:ascii="Times New Roman" w:cs="Times New Roman" w:eastAsia="Times New Roman" w:hAnsi="Times New Roman"/>
          <w:sz w:val="14"/>
          <w:szCs w:val="14"/>
          <w:color w:val="auto"/>
        </w:rPr>
        <w:t>. The Trustee may make reasonable rules for action by or a meeting of Holders. The Registrar and any paying agent may make reasonable rules for their functions.</w:t>
      </w:r>
    </w:p>
    <w:p>
      <w:pPr>
        <w:spacing w:after="0" w:line="130"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 xml:space="preserve">Section 13.10 </w:t>
      </w:r>
      <w:r>
        <w:rPr>
          <w:rFonts w:ascii="Times New Roman" w:cs="Times New Roman" w:eastAsia="Times New Roman" w:hAnsi="Times New Roman"/>
          <w:sz w:val="14"/>
          <w:szCs w:val="14"/>
          <w:u w:val="single" w:color="auto"/>
          <w:color w:val="auto"/>
        </w:rPr>
        <w:t>No Recourse Against Others</w:t>
      </w:r>
      <w:r>
        <w:rPr>
          <w:rFonts w:ascii="Times New Roman" w:cs="Times New Roman" w:eastAsia="Times New Roman" w:hAnsi="Times New Roman"/>
          <w:sz w:val="14"/>
          <w:szCs w:val="14"/>
          <w:color w:val="auto"/>
        </w:rPr>
        <w:t>; Certain Waivers and Limitations. None of the past, present or future partners, incorporators, managers, members, directors, officers, employees, unitholders or stockholders of either Issuer, the general partner of the Partnership, as such, shall have any liability for any obligations of the Issuers under the Debt Securities or this Indenture or for any claim based on, in respect of, or by reason of, such obligations or their creation. By accepting a Debt Security, each Holder shall be deemed to have waived and released all such liability. The waiver and release shall be part of the consideration for the issue of the Debt Securities. The only payment provisions, representations and warranties, covenants, events of default, guarantee provisions and other obligations applicable to the Issuers are those expressly set forth in this Indenture or any supplement hereto and, by acceptance of any Debt Security, each Holder waives and expressly disclaims to the maximum extent permitted by applicable law any implied covenant and other similar provision that may exist in law or in equity and that may be applicable to the Issuers and each Holder agrees that it will not participate in any cause of action with respect to, alleging the existing or breach of, or seeking to enforce any such implied covenant or similar provision. In addition, the “integrated transaction doctrine” any similar legal doctrine or theory is expressly waived by each Holder by acceptance of any Debt Security. Without limiting the foregoing, each Holder agrees by acceptance of any Debt Security that (a) any series of related transactions shall be permitted by this Indenture and any supplement hereto if each individual transaction would be permitted, and (b) any series of related transactions that are consummated substantially concurrently may be deemed to be consummated in any order determined by the Issuers that complies with this Indenture with permissibility of each transaction evaluated in light of such order.</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0" w:right="1440" w:bottom="1440" w:gutter="0" w:footer="0" w:header="0"/>
        </w:sectPr>
      </w:pPr>
    </w:p>
    <w:bookmarkStart w:id="146" w:name="page147"/>
    <w:bookmarkEnd w:id="146"/>
    <w:p>
      <w:pPr>
        <w:ind w:left="280" w:right="559" w:firstLine="337"/>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 xml:space="preserve">Section 13.11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In case any provision in this Indenture or the Debt Securities shall be invalid, illegal or unenforceable, the validity, legality and enforceability of the remaining provisions shall not in any way be affected or impaired thereby.</w:t>
      </w:r>
    </w:p>
    <w:p>
      <w:pPr>
        <w:spacing w:after="0" w:line="130" w:lineRule="exact"/>
        <w:rPr>
          <w:sz w:val="20"/>
          <w:szCs w:val="20"/>
          <w:color w:val="auto"/>
        </w:rPr>
      </w:pPr>
    </w:p>
    <w:p>
      <w:pPr>
        <w:ind w:left="280" w:right="61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13.12 </w:t>
      </w:r>
      <w:r>
        <w:rPr>
          <w:rFonts w:ascii="Times New Roman" w:cs="Times New Roman" w:eastAsia="Times New Roman" w:hAnsi="Times New Roman"/>
          <w:sz w:val="14"/>
          <w:szCs w:val="14"/>
          <w:u w:val="single" w:color="auto"/>
          <w:color w:val="auto"/>
        </w:rPr>
        <w:t>Effect of Headings</w:t>
      </w:r>
      <w:r>
        <w:rPr>
          <w:rFonts w:ascii="Times New Roman" w:cs="Times New Roman" w:eastAsia="Times New Roman" w:hAnsi="Times New Roman"/>
          <w:sz w:val="14"/>
          <w:szCs w:val="14"/>
          <w:color w:val="auto"/>
        </w:rPr>
        <w:t>. The article and section headings herein and in the Table of Contents are for convenience only and shall not affect the construction hereof.</w:t>
      </w:r>
    </w:p>
    <w:p>
      <w:pPr>
        <w:spacing w:after="0" w:line="130" w:lineRule="exact"/>
        <w:rPr>
          <w:sz w:val="20"/>
          <w:szCs w:val="20"/>
          <w:color w:val="auto"/>
        </w:rPr>
      </w:pPr>
    </w:p>
    <w:p>
      <w:pPr>
        <w:ind w:left="280" w:right="339" w:firstLine="337"/>
        <w:spacing w:after="0" w:line="273" w:lineRule="auto"/>
        <w:rPr>
          <w:sz w:val="20"/>
          <w:szCs w:val="20"/>
          <w:color w:val="auto"/>
        </w:rPr>
      </w:pPr>
      <w:r>
        <w:rPr>
          <w:rFonts w:ascii="Times New Roman" w:cs="Times New Roman" w:eastAsia="Times New Roman" w:hAnsi="Times New Roman"/>
          <w:sz w:val="14"/>
          <w:szCs w:val="14"/>
          <w:color w:val="auto"/>
        </w:rPr>
        <w:t xml:space="preserve">Section 13.13 </w:t>
      </w:r>
      <w:r>
        <w:rPr>
          <w:rFonts w:ascii="Times New Roman" w:cs="Times New Roman" w:eastAsia="Times New Roman" w:hAnsi="Times New Roman"/>
          <w:sz w:val="14"/>
          <w:szCs w:val="14"/>
          <w:u w:val="single" w:color="auto"/>
          <w:color w:val="auto"/>
        </w:rPr>
        <w:t>Indenture May Be Executed in Counterparts</w:t>
      </w:r>
      <w:r>
        <w:rPr>
          <w:rFonts w:ascii="Times New Roman" w:cs="Times New Roman" w:eastAsia="Times New Roman" w:hAnsi="Times New Roman"/>
          <w:sz w:val="14"/>
          <w:szCs w:val="14"/>
          <w:color w:val="auto"/>
        </w:rPr>
        <w:t>. This Indenture may be executed in any number of counterparts, each of which shall be an original; but such counterparts shall together constitute but one and the same instrument.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[Remainder of This Page Intentionally Left Blank.]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0" w:right="1440" w:bottom="1440" w:gutter="0" w:footer="0" w:header="0"/>
        </w:sectPr>
      </w:pPr>
    </w:p>
    <w:bookmarkStart w:id="147" w:name="page148"/>
    <w:bookmarkEnd w:id="147"/>
    <w:p>
      <w:pPr>
        <w:ind w:left="6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IN WITNESS WHEREOF, the parties hereto have caused this Indenture to be duly executed, all as of the day and year first above written.</w:t>
      </w:r>
    </w:p>
    <w:p>
      <w:pPr>
        <w:spacing w:after="0" w:line="20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WESTLAKE CHEMICAL PARTNERS LP</w:t>
      </w:r>
    </w:p>
    <w:p>
      <w:pPr>
        <w:sectPr>
          <w:pgSz w:w="11900" w:h="16838" w:orient="portrait"/>
          <w:cols w:equalWidth="0" w:num="1">
            <w:col w:w="9019"/>
          </w:cols>
          <w:pgMar w:left="1440" w:top="240" w:right="1440" w:bottom="1440" w:gutter="0" w:footer="0" w:header="0"/>
        </w:sectPr>
      </w:pP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499"/>
        <w:spacing w:after="0" w:line="273" w:lineRule="auto"/>
        <w:rPr>
          <w:sz w:val="20"/>
          <w:szCs w:val="20"/>
          <w:color w:val="auto"/>
        </w:rPr>
      </w:pPr>
      <w:r>
        <w:rPr>
          <w:rFonts w:ascii="Times New Roman" w:cs="Times New Roman" w:eastAsia="Times New Roman" w:hAnsi="Times New Roman"/>
          <w:sz w:val="14"/>
          <w:szCs w:val="14"/>
          <w:color w:val="auto"/>
        </w:rPr>
        <w:t>Westlake Chemical Partners GP LLC, its General Partner</w:t>
      </w:r>
    </w:p>
    <w:p>
      <w:pPr>
        <w:spacing w:after="0" w:line="130" w:lineRule="exact"/>
        <w:rPr>
          <w:sz w:val="20"/>
          <w:szCs w:val="20"/>
          <w:color w:val="auto"/>
        </w:rPr>
      </w:pPr>
    </w:p>
    <w:p>
      <w:pPr>
        <w:sectPr>
          <w:pgSz w:w="11900" w:h="16838" w:orient="portrait"/>
          <w:cols w:equalWidth="0" w:num="2">
            <w:col w:w="5560" w:space="240"/>
            <w:col w:w="3219"/>
          </w:cols>
          <w:pgMar w:left="1440" w:top="240" w:right="1440"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10795</wp:posOffset>
            </wp:positionV>
            <wp:extent cx="188468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WLKP FINANCE CORP.</w:t>
      </w:r>
    </w:p>
    <w:p>
      <w:pPr>
        <w:spacing w:after="0" w:line="18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10795</wp:posOffset>
            </wp:positionV>
            <wp:extent cx="188468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 • ], as Trustee</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10795</wp:posOffset>
            </wp:positionV>
            <wp:extent cx="188468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Indenture</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40" w:right="1440" w:bottom="1440" w:gutter="0" w:footer="0" w:header="0"/>
          <w:type w:val="continuous"/>
        </w:sectPr>
      </w:pPr>
    </w:p>
    <w:bookmarkStart w:id="148" w:name="page149"/>
    <w:bookmarkEnd w:id="148"/>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811 Main Street, Suite 3700</w:t>
      </w:r>
    </w:p>
    <w:p>
      <w:pPr>
        <w:spacing w:after="0" w:line="1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Houston, TX 77002</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Tel: +1.713.546.5400 Fax: +1.713.546.5401</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www.lw.com</w:t>
      </w:r>
    </w:p>
    <w:p>
      <w:pPr>
        <w:spacing w:after="0" w:line="95" w:lineRule="exact"/>
        <w:rPr>
          <w:sz w:val="20"/>
          <w:szCs w:val="20"/>
          <w:color w:val="auto"/>
        </w:rPr>
      </w:pPr>
    </w:p>
    <w:tbl>
      <w:tblPr>
        <w:tblLayout w:type="fixed"/>
        <w:tblInd w:w="280" w:type="dxa"/>
        <w:tblCellMar>
          <w:top w:w="0" w:type="dxa"/>
          <w:left w:w="0" w:type="dxa"/>
          <w:bottom w:w="0" w:type="dxa"/>
          <w:right w:w="0" w:type="dxa"/>
        </w:tblCellMar>
      </w:tblPr>
      <w:tr>
        <w:trPr>
          <w:trHeight w:val="165"/>
        </w:trPr>
        <w:tc>
          <w:tcPr>
            <w:tcW w:w="3600" w:type="dxa"/>
            <w:vAlign w:val="bottom"/>
          </w:tcPr>
          <w:p>
            <w:pPr>
              <w:spacing w:after="0"/>
              <w:rPr>
                <w:sz w:val="14"/>
                <w:szCs w:val="14"/>
                <w:color w:val="auto"/>
              </w:rPr>
            </w:pPr>
          </w:p>
        </w:tc>
        <w:tc>
          <w:tcPr>
            <w:tcW w:w="414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Austin</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Milan</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Beijing</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Munich</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Boston</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New York</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Brussels</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Chicago</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Paris</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Dubai</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Riyadh</w:t>
            </w: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March 4, 2026</w:t>
            </w: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Düsseldorf</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San Diego</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Frankfurt</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Hamburg</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Seoul</w:t>
            </w: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Westlake Chemical Partners LP</w:t>
            </w: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2801 Post Oak Boulevard, Suite 600</w:t>
            </w: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Houston</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Singapore</w:t>
            </w:r>
          </w:p>
        </w:tc>
      </w:tr>
      <w:tr>
        <w:trPr>
          <w:trHeight w:val="165"/>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Houston, Texas 77056</w:t>
            </w: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London</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Tel Aviv</w:t>
            </w:r>
          </w:p>
        </w:tc>
      </w:tr>
      <w:tr>
        <w:trPr>
          <w:trHeight w:val="165"/>
        </w:trPr>
        <w:tc>
          <w:tcPr>
            <w:tcW w:w="3600" w:type="dxa"/>
            <w:vAlign w:val="bottom"/>
          </w:tcPr>
          <w:p>
            <w:pPr>
              <w:spacing w:after="0"/>
              <w:rPr>
                <w:sz w:val="14"/>
                <w:szCs w:val="14"/>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Los Angeles</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Tokyo</w:t>
            </w:r>
          </w:p>
        </w:tc>
      </w:tr>
      <w:tr>
        <w:trPr>
          <w:trHeight w:val="179"/>
        </w:trPr>
        <w:tc>
          <w:tcPr>
            <w:tcW w:w="3600" w:type="dxa"/>
            <w:vAlign w:val="bottom"/>
          </w:tcPr>
          <w:p>
            <w:pPr>
              <w:spacing w:after="0"/>
              <w:rPr>
                <w:sz w:val="15"/>
                <w:szCs w:val="15"/>
                <w:color w:val="auto"/>
              </w:rPr>
            </w:pPr>
          </w:p>
        </w:tc>
        <w:tc>
          <w:tcPr>
            <w:tcW w:w="27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Madrid</w:t>
            </w:r>
          </w:p>
        </w:tc>
        <w:tc>
          <w:tcPr>
            <w:tcW w:w="144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94"/>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-1576070</wp:posOffset>
            </wp:positionV>
            <wp:extent cx="1556385" cy="104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1556385" cy="104775"/>
                    </a:xfrm>
                    <a:prstGeom prst="rect">
                      <a:avLst/>
                    </a:prstGeom>
                    <a:noFill/>
                  </pic:spPr>
                </pic:pic>
              </a:graphicData>
            </a:graphic>
          </wp:anchor>
        </w:drawing>
      </w:r>
    </w:p>
    <w:p>
      <w:pPr>
        <w:spacing w:after="0" w:line="153"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u w:val="single" w:color="auto"/>
          <w:color w:val="auto"/>
        </w:rPr>
        <w:t>Registration Statement on Form S-3</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83" w:lineRule="exact"/>
        <w:rPr>
          <w:sz w:val="20"/>
          <w:szCs w:val="20"/>
          <w:color w:val="auto"/>
        </w:rPr>
      </w:pPr>
    </w:p>
    <w:p>
      <w:pPr>
        <w:ind w:left="280" w:right="299" w:firstLine="337"/>
        <w:spacing w:after="0" w:line="249" w:lineRule="auto"/>
        <w:rPr>
          <w:sz w:val="20"/>
          <w:szCs w:val="20"/>
          <w:color w:val="auto"/>
        </w:rPr>
      </w:pPr>
      <w:r>
        <w:rPr>
          <w:rFonts w:ascii="Times New Roman" w:cs="Times New Roman" w:eastAsia="Times New Roman" w:hAnsi="Times New Roman"/>
          <w:sz w:val="14"/>
          <w:szCs w:val="14"/>
          <w:color w:val="auto"/>
        </w:rPr>
        <w:t>We have acted as special counsel to Westlake Chemical Partners LP, a Delaware limited partnership (the “</w:t>
      </w:r>
      <w:r>
        <w:rPr>
          <w:rFonts w:ascii="Times New Roman" w:cs="Times New Roman" w:eastAsia="Times New Roman" w:hAnsi="Times New Roman"/>
          <w:sz w:val="14"/>
          <w:szCs w:val="14"/>
          <w:b w:val="1"/>
          <w:bCs w:val="1"/>
          <w:i w:val="1"/>
          <w:iCs w:val="1"/>
          <w:color w:val="auto"/>
        </w:rPr>
        <w:t>Partnership</w:t>
      </w:r>
      <w:r>
        <w:rPr>
          <w:rFonts w:ascii="Times New Roman" w:cs="Times New Roman" w:eastAsia="Times New Roman" w:hAnsi="Times New Roman"/>
          <w:sz w:val="14"/>
          <w:szCs w:val="14"/>
          <w:color w:val="auto"/>
        </w:rPr>
        <w:t>”), and WLKP Finance Corp., a Delaware corporation (“</w:t>
      </w:r>
      <w:r>
        <w:rPr>
          <w:rFonts w:ascii="Times New Roman" w:cs="Times New Roman" w:eastAsia="Times New Roman" w:hAnsi="Times New Roman"/>
          <w:sz w:val="14"/>
          <w:szCs w:val="14"/>
          <w:b w:val="1"/>
          <w:bCs w:val="1"/>
          <w:i w:val="1"/>
          <w:iCs w:val="1"/>
          <w:color w:val="auto"/>
        </w:rPr>
        <w:t>Finance Corp</w:t>
      </w:r>
      <w:r>
        <w:rPr>
          <w:rFonts w:ascii="Times New Roman" w:cs="Times New Roman" w:eastAsia="Times New Roman" w:hAnsi="Times New Roman"/>
          <w:sz w:val="14"/>
          <w:szCs w:val="14"/>
          <w:color w:val="auto"/>
        </w:rPr>
        <w:t>” and, together with the Partnership, the “</w:t>
      </w:r>
      <w:r>
        <w:rPr>
          <w:rFonts w:ascii="Times New Roman" w:cs="Times New Roman" w:eastAsia="Times New Roman" w:hAnsi="Times New Roman"/>
          <w:sz w:val="14"/>
          <w:szCs w:val="14"/>
          <w:b w:val="1"/>
          <w:bCs w:val="1"/>
          <w:i w:val="1"/>
          <w:iCs w:val="1"/>
          <w:color w:val="auto"/>
        </w:rPr>
        <w:t>Issuers</w:t>
      </w:r>
      <w:r>
        <w:rPr>
          <w:rFonts w:ascii="Times New Roman" w:cs="Times New Roman" w:eastAsia="Times New Roman" w:hAnsi="Times New Roman"/>
          <w:sz w:val="14"/>
          <w:szCs w:val="14"/>
          <w:color w:val="auto"/>
        </w:rPr>
        <w:t>”), in connection with the filing on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(as amended,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including a 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relating to the registration (a) for issue and sale of up to $500,000,000 aggregate offering amount of (i) common units representing limited partner interests in the Partnership (“</w:t>
      </w:r>
      <w:r>
        <w:rPr>
          <w:rFonts w:ascii="Times New Roman" w:cs="Times New Roman" w:eastAsia="Times New Roman" w:hAnsi="Times New Roman"/>
          <w:sz w:val="14"/>
          <w:szCs w:val="14"/>
          <w:b w:val="1"/>
          <w:bCs w:val="1"/>
          <w:i w:val="1"/>
          <w:iCs w:val="1"/>
          <w:color w:val="auto"/>
        </w:rPr>
        <w:t>Common Units</w:t>
      </w:r>
      <w:r>
        <w:rPr>
          <w:rFonts w:ascii="Times New Roman" w:cs="Times New Roman" w:eastAsia="Times New Roman" w:hAnsi="Times New Roman"/>
          <w:sz w:val="14"/>
          <w:szCs w:val="14"/>
          <w:color w:val="auto"/>
        </w:rPr>
        <w:t>”), (ii) other classes of units representing limited partner interests in the Partnership (“</w:t>
      </w:r>
      <w:r>
        <w:rPr>
          <w:rFonts w:ascii="Times New Roman" w:cs="Times New Roman" w:eastAsia="Times New Roman" w:hAnsi="Times New Roman"/>
          <w:sz w:val="14"/>
          <w:szCs w:val="14"/>
          <w:b w:val="1"/>
          <w:bCs w:val="1"/>
          <w:i w:val="1"/>
          <w:iCs w:val="1"/>
          <w:color w:val="auto"/>
        </w:rPr>
        <w:t>Other Units</w:t>
      </w:r>
      <w:r>
        <w:rPr>
          <w:rFonts w:ascii="Times New Roman" w:cs="Times New Roman" w:eastAsia="Times New Roman" w:hAnsi="Times New Roman"/>
          <w:sz w:val="14"/>
          <w:szCs w:val="14"/>
          <w:color w:val="auto"/>
        </w:rPr>
        <w:t>”), and (iii) one or more series of debt securities (collectively,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to be issued under an indenture to be entered into between the Issuers and a trustee (a form of which is included as Exhibit 4.1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4"/>
          <w:szCs w:val="14"/>
          <w:b w:val="1"/>
          <w:bCs w:val="1"/>
          <w:i w:val="1"/>
          <w:iCs w:val="1"/>
          <w:color w:val="auto"/>
        </w:rPr>
        <w:t>Applicable Indenture</w:t>
      </w:r>
      <w:r>
        <w:rPr>
          <w:rFonts w:ascii="Times New Roman" w:cs="Times New Roman" w:eastAsia="Times New Roman" w:hAnsi="Times New Roman"/>
          <w:sz w:val="14"/>
          <w:szCs w:val="14"/>
          <w:color w:val="auto"/>
        </w:rPr>
        <w:t>”), and (b) of up to 1,401,869 Common Units to be resold from time to time by certain securityholders of the Partnership (the “</w:t>
      </w:r>
      <w:r>
        <w:rPr>
          <w:rFonts w:ascii="Times New Roman" w:cs="Times New Roman" w:eastAsia="Times New Roman" w:hAnsi="Times New Roman"/>
          <w:sz w:val="14"/>
          <w:szCs w:val="14"/>
          <w:b w:val="1"/>
          <w:bCs w:val="1"/>
          <w:i w:val="1"/>
          <w:iCs w:val="1"/>
          <w:color w:val="auto"/>
        </w:rPr>
        <w:t>Selling Securityholder Units</w:t>
      </w:r>
      <w:r>
        <w:rPr>
          <w:rFonts w:ascii="Times New Roman" w:cs="Times New Roman" w:eastAsia="Times New Roman" w:hAnsi="Times New Roman"/>
          <w:sz w:val="14"/>
          <w:szCs w:val="14"/>
          <w:color w:val="auto"/>
        </w:rPr>
        <w:t>”). The Common Units, Other Units, Debt Securities and Selling Securityholder Units, plus any additional Common Units, Other Units, Debt Securities and Selling Securityholder Units that may be registered pursuant to any subsequent registration statement that the Issuers may hereafter file with the Commission pursuant to Rule 462(b) under the Act in connection with the offering by the Issuers contemplated by the Registration Statement, are referred to herein collectively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280" w:right="339" w:firstLine="337"/>
        <w:spacing w:after="0" w:line="259"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ectPr>
          <w:pgSz w:w="11900" w:h="16838" w:orient="portrait"/>
          <w:cols w:equalWidth="0" w:num="1">
            <w:col w:w="9019"/>
          </w:cols>
          <w:pgMar w:left="1440" w:top="122" w:right="1440" w:bottom="1440" w:gutter="0" w:footer="0" w:header="0"/>
        </w:sectPr>
      </w:pPr>
    </w:p>
    <w:bookmarkStart w:id="149" w:name="page150"/>
    <w:bookmarkEnd w:id="149"/>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March 4, 2026</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61595</wp:posOffset>
            </wp:positionV>
            <wp:extent cx="1063625" cy="78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1063625" cy="78740"/>
                    </a:xfrm>
                    <a:prstGeom prst="rect">
                      <a:avLst/>
                    </a:prstGeom>
                    <a:noFill/>
                  </pic:spPr>
                </pic:pic>
              </a:graphicData>
            </a:graphic>
          </wp:anchor>
        </w:drawing>
      </w:r>
    </w:p>
    <w:p>
      <w:pPr>
        <w:spacing w:after="0" w:line="281" w:lineRule="exact"/>
        <w:rPr>
          <w:sz w:val="20"/>
          <w:szCs w:val="20"/>
          <w:color w:val="auto"/>
        </w:rPr>
      </w:pPr>
    </w:p>
    <w:p>
      <w:pPr>
        <w:ind w:left="280" w:right="439" w:firstLine="337"/>
        <w:spacing w:after="0" w:line="251"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Issuers and others as to factual matters without having independently verified such factual matters. We are opining herein as to (i) with respect to the opinion set forth in paragraph 3 below, the Delaware General Corporation Law (the “</w:t>
      </w:r>
      <w:r>
        <w:rPr>
          <w:rFonts w:ascii="Times New Roman" w:cs="Times New Roman" w:eastAsia="Times New Roman" w:hAnsi="Times New Roman"/>
          <w:sz w:val="14"/>
          <w:szCs w:val="14"/>
          <w:b w:val="1"/>
          <w:bCs w:val="1"/>
          <w:color w:val="auto"/>
        </w:rPr>
        <w:t>DGCL</w:t>
      </w:r>
      <w:r>
        <w:rPr>
          <w:rFonts w:ascii="Times New Roman" w:cs="Times New Roman" w:eastAsia="Times New Roman" w:hAnsi="Times New Roman"/>
          <w:sz w:val="14"/>
          <w:szCs w:val="14"/>
          <w:color w:val="auto"/>
        </w:rPr>
        <w:t>”), (ii) with respect to the opinions set forth in paragraphs 1 through 4 below, the Delaware Revised Uniform Limited Partnership Act (“</w:t>
      </w:r>
      <w:r>
        <w:rPr>
          <w:rFonts w:ascii="Times New Roman" w:cs="Times New Roman" w:eastAsia="Times New Roman" w:hAnsi="Times New Roman"/>
          <w:sz w:val="14"/>
          <w:szCs w:val="14"/>
          <w:b w:val="1"/>
          <w:bCs w:val="1"/>
          <w:i w:val="1"/>
          <w:iCs w:val="1"/>
          <w:color w:val="auto"/>
        </w:rPr>
        <w:t>DRULPA</w:t>
      </w:r>
      <w:r>
        <w:rPr>
          <w:rFonts w:ascii="Times New Roman" w:cs="Times New Roman" w:eastAsia="Times New Roman" w:hAnsi="Times New Roman"/>
          <w:sz w:val="14"/>
          <w:szCs w:val="14"/>
          <w:color w:val="auto"/>
        </w:rPr>
        <w:t>”), and (iii) with respect to the opinion set forth in numbered paragraph 3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98" w:lineRule="exact"/>
        <w:rPr>
          <w:sz w:val="20"/>
          <w:szCs w:val="20"/>
          <w:color w:val="auto"/>
        </w:rPr>
      </w:pPr>
    </w:p>
    <w:p>
      <w:pPr>
        <w:ind w:left="1020" w:right="299" w:hanging="404"/>
        <w:spacing w:after="0" w:line="250" w:lineRule="auto"/>
        <w:tabs>
          <w:tab w:leader="none" w:pos="10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an issuance of Common Units has been duly authorized by all necessary limited partnership action of the Partnership, upon issuance, delivery and payment therefor in the manner contemplated by the applicable Prospectus and by such limited partnership action, and in total amounts and numbers of Common Units that do not exceed the total amounts and numbers of Common Units authorized by the board of directors of the general partner of the Partnership in connection with the offering contemplated by the applicable Prospectus, such Common Units will be validly issued and, under the DRULPA, purchasers of the Common Units will have no obligation to make further payments for their purchase of Common Units or contributions to the Partnership solely by reason of their ownership of Common Units or their status as limited partners of the Partnership, and no personal liability for the obligations of the Partnership, solely by reason of being limited partners of the Partnership.</w:t>
      </w:r>
    </w:p>
    <w:p>
      <w:pPr>
        <w:spacing w:after="0" w:line="75" w:lineRule="exact"/>
        <w:rPr>
          <w:rFonts w:ascii="Times New Roman" w:cs="Times New Roman" w:eastAsia="Times New Roman" w:hAnsi="Times New Roman"/>
          <w:sz w:val="14"/>
          <w:szCs w:val="14"/>
          <w:color w:val="auto"/>
        </w:rPr>
      </w:pPr>
    </w:p>
    <w:p>
      <w:pPr>
        <w:ind w:left="1020" w:right="319" w:hanging="404"/>
        <w:spacing w:after="0" w:line="250" w:lineRule="auto"/>
        <w:tabs>
          <w:tab w:leader="none" w:pos="10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series of Other Units has been duly authorized by all necessary limited partnership action of the Partnership, upon issuance, delivery and payment therefor in the manner contemplated by the applicable Prospectus and by such limited partnership action, and in total amounts and numbers of Other Units that do not exceed the total amounts and numbers of Other Units authorized by the board of directors of the general partner of the Partnership in connection with the offering contemplated by the applicable Prospectus, such Other Units will be validly issued and, under the DRULPA, purchasers of the Other Units will have no obligation to make further payments for their purchase of Other Units or contributions to the Partnership solely by reason of their ownership of Other Units or their status as limited partners of the Partnership, and no personal liability for the obligations of the Partnership, solely by reason of being limited partners of the Partnership.</w:t>
      </w:r>
    </w:p>
    <w:p>
      <w:pPr>
        <w:spacing w:after="0" w:line="75" w:lineRule="exact"/>
        <w:rPr>
          <w:rFonts w:ascii="Times New Roman" w:cs="Times New Roman" w:eastAsia="Times New Roman" w:hAnsi="Times New Roman"/>
          <w:sz w:val="14"/>
          <w:szCs w:val="14"/>
          <w:color w:val="auto"/>
        </w:rPr>
      </w:pPr>
    </w:p>
    <w:p>
      <w:pPr>
        <w:ind w:left="1020" w:right="359" w:hanging="404"/>
        <w:spacing w:after="0" w:line="255" w:lineRule="auto"/>
        <w:tabs>
          <w:tab w:leader="none" w:pos="10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Indenture has been duly authorized, executed and delivered by all necessary corporate or limited partnership action, as applicable, of the Issuers, and when the specific terms of a particular series of Debt Securities have been duly established in accordance with the terms of the Applicable Indenture and authorized by all necessary corporate or limited partnership action, as applicable, of the Issuers, and</w:t>
      </w:r>
    </w:p>
    <w:p>
      <w:pPr>
        <w:sectPr>
          <w:pgSz w:w="11900" w:h="16838" w:orient="portrait"/>
          <w:cols w:equalWidth="0" w:num="1">
            <w:col w:w="9019"/>
          </w:cols>
          <w:pgMar w:left="1440" w:top="236" w:right="1440" w:bottom="1440" w:gutter="0" w:footer="0" w:header="0"/>
        </w:sectPr>
      </w:pPr>
    </w:p>
    <w:bookmarkStart w:id="150" w:name="page151"/>
    <w:bookmarkEnd w:id="150"/>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March 4, 2026</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61595</wp:posOffset>
            </wp:positionV>
            <wp:extent cx="1063625" cy="78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1063625" cy="78740"/>
                    </a:xfrm>
                    <a:prstGeom prst="rect">
                      <a:avLst/>
                    </a:prstGeom>
                    <a:noFill/>
                  </pic:spPr>
                </pic:pic>
              </a:graphicData>
            </a:graphic>
          </wp:anchor>
        </w:drawing>
      </w:r>
    </w:p>
    <w:p>
      <w:pPr>
        <w:spacing w:after="0" w:line="281" w:lineRule="exact"/>
        <w:rPr>
          <w:sz w:val="20"/>
          <w:szCs w:val="20"/>
          <w:color w:val="auto"/>
        </w:rPr>
      </w:pPr>
    </w:p>
    <w:p>
      <w:pPr>
        <w:jc w:val="both"/>
        <w:ind w:left="1040" w:right="379"/>
        <w:spacing w:after="0" w:line="259" w:lineRule="auto"/>
        <w:rPr>
          <w:sz w:val="20"/>
          <w:szCs w:val="20"/>
          <w:color w:val="auto"/>
        </w:rPr>
      </w:pPr>
      <w:r>
        <w:rPr>
          <w:rFonts w:ascii="Times New Roman" w:cs="Times New Roman" w:eastAsia="Times New Roman" w:hAnsi="Times New Roman"/>
          <w:sz w:val="14"/>
          <w:szCs w:val="14"/>
          <w:color w:val="auto"/>
        </w:rPr>
        <w:t>such Debt Securities have been duly executed, authenticated, issued and delivered against payment therefor in accordance with the terms of the Applicable Indenture and in the manner contemplated by the applicable Prospectus and by such action, such Debt Securities will be the legally valid and binding obligations of each Issuer, enforceable such Issuer in accordance with their terms.</w:t>
      </w:r>
    </w:p>
    <w:p>
      <w:pPr>
        <w:spacing w:after="0" w:line="68" w:lineRule="exact"/>
        <w:rPr>
          <w:sz w:val="20"/>
          <w:szCs w:val="20"/>
          <w:color w:val="auto"/>
        </w:rPr>
      </w:pPr>
    </w:p>
    <w:p>
      <w:pPr>
        <w:ind w:left="1020" w:right="459" w:hanging="404"/>
        <w:spacing w:after="0" w:line="289" w:lineRule="auto"/>
        <w:tabs>
          <w:tab w:leader="none" w:pos="102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Selling Securityholder Units have been duly authorized by all necessary limited partnership action of the Partnership and are validly issued, fully paid (to the extent required under the Partnership Agreement) and nonassessable (except as such nonassessability may be affected by Section 17-607 or 17-804 of the DRULPA and as described in the Prospectus Supplement and the Primary Prospectus).</w:t>
      </w:r>
    </w:p>
    <w:p>
      <w:pPr>
        <w:spacing w:after="0" w:line="122" w:lineRule="exact"/>
        <w:rPr>
          <w:sz w:val="20"/>
          <w:szCs w:val="20"/>
          <w:color w:val="auto"/>
        </w:rPr>
      </w:pPr>
    </w:p>
    <w:p>
      <w:pPr>
        <w:ind w:left="280" w:right="379" w:firstLine="337"/>
        <w:spacing w:after="0" w:line="273" w:lineRule="auto"/>
        <w:rPr>
          <w:sz w:val="20"/>
          <w:szCs w:val="20"/>
          <w:color w:val="auto"/>
        </w:rPr>
      </w:pPr>
      <w:r>
        <w:rPr>
          <w:rFonts w:ascii="Times New Roman" w:cs="Times New Roman" w:eastAsia="Times New Roman" w:hAnsi="Times New Roman"/>
          <w:sz w:val="14"/>
          <w:szCs w:val="14"/>
          <w:color w:val="auto"/>
        </w:rPr>
        <w:t>In rendering the foregoing opinions in numbered paragraphs 1 and 2, we have assumed that the Partnership will comply with all applicable notice requirements regarding uncertificated units provided in the DRULPA.</w:t>
      </w:r>
    </w:p>
    <w:p>
      <w:pPr>
        <w:spacing w:after="0" w:line="130" w:lineRule="exact"/>
        <w:rPr>
          <w:sz w:val="20"/>
          <w:szCs w:val="20"/>
          <w:color w:val="auto"/>
        </w:rPr>
      </w:pPr>
    </w:p>
    <w:p>
      <w:pPr>
        <w:ind w:left="280" w:right="299" w:firstLine="337"/>
        <w:spacing w:after="0" w:line="248" w:lineRule="auto"/>
        <w:rPr>
          <w:sz w:val="20"/>
          <w:szCs w:val="20"/>
          <w:color w:val="auto"/>
        </w:rPr>
      </w:pPr>
      <w:r>
        <w:rPr>
          <w:rFonts w:ascii="Times New Roman" w:cs="Times New Roman" w:eastAsia="Times New Roman" w:hAnsi="Times New Roman"/>
          <w:sz w:val="14"/>
          <w:szCs w:val="14"/>
          <w:color w:val="auto"/>
        </w:rPr>
        <w:t>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ectPr>
          <w:pgSz w:w="11900" w:h="16838" w:orient="portrait"/>
          <w:cols w:equalWidth="0" w:num="1">
            <w:col w:w="9019"/>
          </w:cols>
          <w:pgMar w:left="1440" w:top="236" w:right="1440" w:bottom="1440" w:gutter="0" w:footer="0" w:header="0"/>
        </w:sectPr>
      </w:pPr>
    </w:p>
    <w:bookmarkStart w:id="151" w:name="page152"/>
    <w:bookmarkEnd w:id="151"/>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March 4, 2026</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61595</wp:posOffset>
            </wp:positionV>
            <wp:extent cx="1076960" cy="78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1076960" cy="78740"/>
                    </a:xfrm>
                    <a:prstGeom prst="rect">
                      <a:avLst/>
                    </a:prstGeom>
                    <a:noFill/>
                  </pic:spPr>
                </pic:pic>
              </a:graphicData>
            </a:graphic>
          </wp:anchor>
        </w:drawing>
      </w:r>
    </w:p>
    <w:p>
      <w:pPr>
        <w:spacing w:after="0" w:line="281"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With your consent, we have assumed (a) that each of the Debt Securities and the Applicable Indenture governing such Securities (collectively, the “</w:t>
      </w:r>
      <w:r>
        <w:rPr>
          <w:rFonts w:ascii="Times New Roman" w:cs="Times New Roman" w:eastAsia="Times New Roman" w:hAnsi="Times New Roman"/>
          <w:sz w:val="14"/>
          <w:szCs w:val="14"/>
          <w:b w:val="1"/>
          <w:bCs w:val="1"/>
          <w:i w:val="1"/>
          <w:iCs w:val="1"/>
          <w:color w:val="auto"/>
        </w:rPr>
        <w:t>Documents</w:t>
      </w:r>
      <w:r>
        <w:rPr>
          <w:rFonts w:ascii="Times New Roman" w:cs="Times New Roman" w:eastAsia="Times New Roman" w:hAnsi="Times New Roman"/>
          <w:sz w:val="14"/>
          <w:szCs w:val="14"/>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Issuers,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145" w:lineRule="exact"/>
        <w:rPr>
          <w:sz w:val="20"/>
          <w:szCs w:val="20"/>
          <w:color w:val="auto"/>
        </w:rPr>
      </w:pPr>
    </w:p>
    <w:p>
      <w:pPr>
        <w:ind w:left="280" w:right="359" w:firstLine="337"/>
        <w:spacing w:after="0" w:line="251"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6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Sincerely,</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36" w:right="1440" w:bottom="1440" w:gutter="0" w:footer="0" w:header="0"/>
        </w:sectPr>
      </w:pPr>
    </w:p>
    <w:bookmarkStart w:id="152" w:name="page153"/>
    <w:bookmarkEnd w:id="152"/>
    <w:tbl>
      <w:tblPr>
        <w:tblLayout w:type="fixed"/>
        <w:tblInd w:w="28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7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w w:val="94"/>
              </w:rPr>
              <w:t>Exhibit 8.1</w:t>
            </w:r>
          </w:p>
        </w:tc>
      </w:tr>
      <w:tr>
        <w:trPr>
          <w:trHeight w:val="338"/>
        </w:trPr>
        <w:tc>
          <w:tcPr>
            <w:tcW w:w="3720" w:type="dxa"/>
            <w:vAlign w:val="bottom"/>
          </w:tcPr>
          <w:p>
            <w:pPr>
              <w:spacing w:after="0"/>
              <w:rPr>
                <w:sz w:val="24"/>
                <w:szCs w:val="24"/>
                <w:color w:val="auto"/>
              </w:rPr>
            </w:pPr>
          </w:p>
        </w:tc>
        <w:tc>
          <w:tcPr>
            <w:tcW w:w="472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811 Main Street, Suite 3700</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Houston, TX 77002</w:t>
            </w:r>
          </w:p>
        </w:tc>
        <w:tc>
          <w:tcPr>
            <w:tcW w:w="1720" w:type="dxa"/>
            <w:vAlign w:val="bottom"/>
          </w:tcPr>
          <w:p>
            <w:pPr>
              <w:spacing w:after="0"/>
              <w:rPr>
                <w:sz w:val="14"/>
                <w:szCs w:val="14"/>
                <w:color w:val="auto"/>
              </w:rPr>
            </w:pPr>
          </w:p>
        </w:tc>
      </w:tr>
      <w:tr>
        <w:trPr>
          <w:trHeight w:val="165"/>
        </w:trPr>
        <w:tc>
          <w:tcPr>
            <w:tcW w:w="3720" w:type="dxa"/>
            <w:vAlign w:val="bottom"/>
          </w:tcPr>
          <w:p>
            <w:pPr>
              <w:spacing w:after="0"/>
              <w:rPr>
                <w:sz w:val="14"/>
                <w:szCs w:val="14"/>
                <w:color w:val="auto"/>
              </w:rPr>
            </w:pPr>
          </w:p>
        </w:tc>
        <w:tc>
          <w:tcPr>
            <w:tcW w:w="472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 xml:space="preserve">Tel: +1.713.546.5400 Fax: +1.713.546.5401    </w:t>
            </w:r>
          </w:p>
        </w:tc>
      </w:tr>
      <w:tr>
        <w:trPr>
          <w:trHeight w:val="179"/>
        </w:trPr>
        <w:tc>
          <w:tcPr>
            <w:tcW w:w="3720" w:type="dxa"/>
            <w:vAlign w:val="bottom"/>
          </w:tcPr>
          <w:p>
            <w:pPr>
              <w:spacing w:after="0"/>
              <w:rPr>
                <w:sz w:val="15"/>
                <w:szCs w:val="15"/>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www.lw.com</w:t>
            </w:r>
          </w:p>
        </w:tc>
        <w:tc>
          <w:tcPr>
            <w:tcW w:w="1720" w:type="dxa"/>
            <w:vAlign w:val="bottom"/>
          </w:tcPr>
          <w:p>
            <w:pPr>
              <w:spacing w:after="0"/>
              <w:rPr>
                <w:sz w:val="15"/>
                <w:szCs w:val="15"/>
                <w:color w:val="auto"/>
              </w:rPr>
            </w:pPr>
          </w:p>
        </w:tc>
      </w:tr>
      <w:tr>
        <w:trPr>
          <w:trHeight w:val="235"/>
        </w:trPr>
        <w:tc>
          <w:tcPr>
            <w:tcW w:w="3720" w:type="dxa"/>
            <w:vAlign w:val="bottom"/>
          </w:tcPr>
          <w:p>
            <w:pPr>
              <w:spacing w:after="0"/>
              <w:rPr>
                <w:sz w:val="20"/>
                <w:szCs w:val="20"/>
                <w:color w:val="auto"/>
              </w:rPr>
            </w:pPr>
          </w:p>
        </w:tc>
        <w:tc>
          <w:tcPr>
            <w:tcW w:w="472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Austin</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Milan</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Beijing</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Munich</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Boston</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New York</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Brussels</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Chicago</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Paris</w:t>
            </w:r>
          </w:p>
        </w:tc>
      </w:tr>
      <w:tr>
        <w:trPr>
          <w:trHeight w:val="16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March 4, 2026</w:t>
            </w: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Dubai</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Riyadh</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Düsseldorf</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San Diego</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Frankfurt</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Hamburg</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Seoul</w:t>
            </w:r>
          </w:p>
        </w:tc>
      </w:tr>
      <w:tr>
        <w:trPr>
          <w:trHeight w:val="165"/>
        </w:trPr>
        <w:tc>
          <w:tcPr>
            <w:tcW w:w="3720" w:type="dxa"/>
            <w:vAlign w:val="bottom"/>
          </w:tcPr>
          <w:p>
            <w:pPr>
              <w:spacing w:after="0"/>
              <w:rPr>
                <w:sz w:val="14"/>
                <w:szCs w:val="14"/>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Hong Kong</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6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Westlake Chemical Partners LP</w:t>
            </w: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Houston</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Singapore</w:t>
            </w:r>
          </w:p>
        </w:tc>
      </w:tr>
      <w:tr>
        <w:trPr>
          <w:trHeight w:val="16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2801 Post Oak Boulevard, Suite 600</w:t>
            </w: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London</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Tel Aviv</w:t>
            </w:r>
          </w:p>
        </w:tc>
      </w:tr>
      <w:tr>
        <w:trPr>
          <w:trHeight w:val="165"/>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Houston, Texas 77056</w:t>
            </w: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Los Angeles</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Tokyo</w:t>
            </w:r>
          </w:p>
        </w:tc>
      </w:tr>
      <w:tr>
        <w:trPr>
          <w:trHeight w:val="179"/>
        </w:trPr>
        <w:tc>
          <w:tcPr>
            <w:tcW w:w="3720" w:type="dxa"/>
            <w:vAlign w:val="bottom"/>
          </w:tcPr>
          <w:p>
            <w:pPr>
              <w:spacing w:after="0"/>
              <w:rPr>
                <w:sz w:val="15"/>
                <w:szCs w:val="15"/>
                <w:color w:val="auto"/>
              </w:rPr>
            </w:pPr>
          </w:p>
        </w:tc>
        <w:tc>
          <w:tcPr>
            <w:tcW w:w="300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Madrid</w:t>
            </w:r>
          </w:p>
        </w:tc>
        <w:tc>
          <w:tcPr>
            <w:tcW w:w="1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-1576070</wp:posOffset>
            </wp:positionV>
            <wp:extent cx="1576070" cy="1047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1576070" cy="104775"/>
                    </a:xfrm>
                    <a:prstGeom prst="rect">
                      <a:avLst/>
                    </a:prstGeom>
                    <a:noFill/>
                  </pic:spPr>
                </pic:pic>
              </a:graphicData>
            </a:graphic>
          </wp:anchor>
        </w:drawing>
      </w:r>
    </w:p>
    <w:p>
      <w:pPr>
        <w:spacing w:after="0" w:line="153"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u w:val="single" w:color="auto"/>
          <w:color w:val="auto"/>
        </w:rPr>
        <w:t>Registration Statement on Form S-3</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We have acted as special tax counsel to Westlake Chemical Partners LP, a Delaware limited partnership (the “</w:t>
      </w:r>
      <w:r>
        <w:rPr>
          <w:rFonts w:ascii="Times New Roman" w:cs="Times New Roman" w:eastAsia="Times New Roman" w:hAnsi="Times New Roman"/>
          <w:sz w:val="13"/>
          <w:szCs w:val="13"/>
          <w:u w:val="single" w:color="auto"/>
          <w:color w:val="auto"/>
        </w:rPr>
        <w:t>Partnership</w:t>
      </w:r>
      <w:r>
        <w:rPr>
          <w:rFonts w:ascii="Times New Roman" w:cs="Times New Roman" w:eastAsia="Times New Roman" w:hAnsi="Times New Roman"/>
          <w:sz w:val="13"/>
          <w:szCs w:val="13"/>
          <w:color w:val="auto"/>
        </w:rPr>
        <w:t>”), and WLKP Finance</w:t>
      </w:r>
    </w:p>
    <w:p>
      <w:pPr>
        <w:spacing w:after="0" w:line="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Corp., a Delaware corporation, in connection with the preparation and filing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a</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registration statement on Form S-3 filed by the Partnership under the 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on March 4, 2026 (the</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and the prospectus related thereto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for the purpose of registering under the Act, among other securities,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common units representing limited partner interests in the Partnership.</w:t>
      </w:r>
    </w:p>
    <w:p>
      <w:pPr>
        <w:spacing w:after="0" w:line="157" w:lineRule="exact"/>
        <w:rPr>
          <w:sz w:val="20"/>
          <w:szCs w:val="20"/>
          <w:color w:val="auto"/>
        </w:rPr>
      </w:pPr>
    </w:p>
    <w:p>
      <w:pPr>
        <w:ind w:left="280" w:right="339" w:firstLine="337"/>
        <w:spacing w:after="0" w:line="255" w:lineRule="auto"/>
        <w:rPr>
          <w:sz w:val="20"/>
          <w:szCs w:val="20"/>
          <w:color w:val="auto"/>
        </w:rPr>
      </w:pPr>
      <w:r>
        <w:rPr>
          <w:rFonts w:ascii="Times New Roman" w:cs="Times New Roman" w:eastAsia="Times New Roman" w:hAnsi="Times New Roman"/>
          <w:sz w:val="14"/>
          <w:szCs w:val="14"/>
          <w:color w:val="auto"/>
        </w:rPr>
        <w:t>This opinion is based on various facts and assumptions, and is conditioned upon certain representations made by the Partnership as to factual matters through a certificate of an officer of the Partnership (the “</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In addition, this opinion is based upon the factual representations of the Partnership concerning its business, properties and governing documents as set forth in the Registration Statement, the Prospectus and the Partnership’s responses to our examinations and inquiries.</w:t>
      </w:r>
    </w:p>
    <w:p>
      <w:pPr>
        <w:spacing w:after="0" w:line="143" w:lineRule="exact"/>
        <w:rPr>
          <w:sz w:val="20"/>
          <w:szCs w:val="20"/>
          <w:color w:val="auto"/>
        </w:rPr>
      </w:pPr>
    </w:p>
    <w:p>
      <w:pPr>
        <w:ind w:left="280" w:right="299" w:firstLine="337"/>
        <w:spacing w:after="0" w:line="250" w:lineRule="auto"/>
        <w:rPr>
          <w:sz w:val="20"/>
          <w:szCs w:val="20"/>
          <w:color w:val="auto"/>
        </w:rPr>
      </w:pPr>
      <w:r>
        <w:rPr>
          <w:rFonts w:ascii="Times New Roman" w:cs="Times New Roman" w:eastAsia="Times New Roman" w:hAnsi="Times New Roman"/>
          <w:sz w:val="14"/>
          <w:szCs w:val="14"/>
          <w:color w:val="auto"/>
        </w:rPr>
        <w:t>In our capacity as special tax counsel to the Partnership, we have, with your consent,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that are qualified as to knowledge or belief, without regard to such qualification.</w:t>
      </w:r>
    </w:p>
    <w:p>
      <w:pPr>
        <w:sectPr>
          <w:pgSz w:w="11900" w:h="16838" w:orient="portrait"/>
          <w:cols w:equalWidth="0" w:num="1">
            <w:col w:w="9019"/>
          </w:cols>
          <w:pgMar w:left="1440" w:top="123" w:right="1440" w:bottom="1440" w:gutter="0" w:footer="0" w:header="0"/>
        </w:sectPr>
      </w:pPr>
    </w:p>
    <w:bookmarkStart w:id="153" w:name="page154"/>
    <w:bookmarkEnd w:id="153"/>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March 4, 2026</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120650</wp:posOffset>
            </wp:positionV>
            <wp:extent cx="1063625" cy="78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1063625" cy="78740"/>
                    </a:xfrm>
                    <a:prstGeom prst="rect">
                      <a:avLst/>
                    </a:prstGeom>
                    <a:noFill/>
                  </pic:spPr>
                </pic:pic>
              </a:graphicData>
            </a:graphic>
          </wp:anchor>
        </w:drawing>
      </w:r>
    </w:p>
    <w:p>
      <w:pPr>
        <w:spacing w:after="0" w:line="395"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matters of municipal law or the laws of any other local agencies within any state. No opinion is expressed as to any matter not discussed herein.</w:t>
      </w:r>
    </w:p>
    <w:p>
      <w:pPr>
        <w:spacing w:after="0" w:line="143" w:lineRule="exact"/>
        <w:rPr>
          <w:sz w:val="20"/>
          <w:szCs w:val="20"/>
          <w:color w:val="auto"/>
        </w:rPr>
      </w:pPr>
    </w:p>
    <w:p>
      <w:pPr>
        <w:ind w:left="280" w:right="419" w:firstLine="337"/>
        <w:spacing w:after="0" w:line="255" w:lineRule="auto"/>
        <w:rPr>
          <w:sz w:val="20"/>
          <w:szCs w:val="20"/>
          <w:color w:val="auto"/>
        </w:rPr>
      </w:pPr>
      <w:r>
        <w:rPr>
          <w:rFonts w:ascii="Times New Roman" w:cs="Times New Roman" w:eastAsia="Times New Roman" w:hAnsi="Times New Roman"/>
          <w:sz w:val="14"/>
          <w:szCs w:val="14"/>
          <w:color w:val="auto"/>
        </w:rPr>
        <w:t>Based on such facts, assumptions and representations and subject to the limitations set forth herein and in the Registration Statement, the Prospectus and the Officer’s Certificate, the statements in the Prospectus under the caption “Material U.S. Federal Income Tax Consequences,” insofar as such statements purport to constitute summaries of United States federal income tax law and regulations or legal conclusions with respect thereto, constitute the opinion of Latham &amp; Watkins LLP as to the material U.S. federal income tax consequences of the matters described therein.</w:t>
      </w:r>
    </w:p>
    <w:p>
      <w:pPr>
        <w:spacing w:after="0" w:line="143" w:lineRule="exact"/>
        <w:rPr>
          <w:sz w:val="20"/>
          <w:szCs w:val="20"/>
          <w:color w:val="auto"/>
        </w:rPr>
      </w:pPr>
    </w:p>
    <w:p>
      <w:pPr>
        <w:ind w:left="280" w:right="299" w:firstLine="337"/>
        <w:spacing w:after="0" w:line="253" w:lineRule="auto"/>
        <w:rPr>
          <w:sz w:val="20"/>
          <w:szCs w:val="20"/>
          <w:color w:val="auto"/>
        </w:rPr>
      </w:pPr>
      <w:r>
        <w:rPr>
          <w:rFonts w:ascii="Times New Roman" w:cs="Times New Roman" w:eastAsia="Times New Roman" w:hAnsi="Times New Roman"/>
          <w:sz w:val="14"/>
          <w:szCs w:val="14"/>
          <w:color w:val="auto"/>
        </w:rPr>
        <w:t>This opinion is rendered to you as of the date hereof,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the Prospectus and the Officer’s Certificate, may affect the conclusions stated herein.</w:t>
      </w:r>
    </w:p>
    <w:p>
      <w:pPr>
        <w:spacing w:after="0" w:line="144" w:lineRule="exact"/>
        <w:rPr>
          <w:sz w:val="20"/>
          <w:szCs w:val="20"/>
          <w:color w:val="auto"/>
        </w:rPr>
      </w:pPr>
    </w:p>
    <w:p>
      <w:pPr>
        <w:ind w:left="280" w:right="359" w:firstLine="337"/>
        <w:spacing w:after="0" w:line="255" w:lineRule="auto"/>
        <w:rPr>
          <w:sz w:val="20"/>
          <w:szCs w:val="20"/>
          <w:color w:val="auto"/>
        </w:rPr>
      </w:pPr>
      <w:r>
        <w:rPr>
          <w:rFonts w:ascii="Times New Roman" w:cs="Times New Roman" w:eastAsia="Times New Roman" w:hAnsi="Times New Roman"/>
          <w:sz w:val="14"/>
          <w:szCs w:val="14"/>
          <w:color w:val="auto"/>
        </w:rPr>
        <w:t>This opinion is furnished to you, and is for your use in connection with the transactions set forth in the Registration Statement and the Prospectus. This opinion may not be relied upon by you for any other purpose, or furnished to, assigned to, quoted to or relied upon by any other person, firm or other entity for any purpose, without our prior written consent, except that this opinion may be relied upon by persons entitled to rely on it pursuant to applicable provisions of federal securities law.</w:t>
      </w:r>
    </w:p>
    <w:p>
      <w:pPr>
        <w:spacing w:after="0" w:line="143" w:lineRule="exact"/>
        <w:rPr>
          <w:sz w:val="20"/>
          <w:szCs w:val="20"/>
          <w:color w:val="auto"/>
        </w:rPr>
      </w:pPr>
    </w:p>
    <w:p>
      <w:pPr>
        <w:jc w:val="both"/>
        <w:ind w:left="280" w:right="399" w:firstLine="337"/>
        <w:spacing w:after="0" w:line="259"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incorporation by reference of this opinion to the Registration Statement. In giving such consent, we do not thereby admit that we are within the category of persons whose consent is required under Section 7 of the Act or the rules or regulations of the Commission promulgated thereunder.</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Latham &amp; Watkins LLP</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7" w:right="1440" w:bottom="1440" w:gutter="0" w:footer="0" w:header="0"/>
        </w:sectPr>
      </w:pPr>
    </w:p>
    <w:bookmarkStart w:id="154" w:name="page155"/>
    <w:bookmarkEnd w:id="154"/>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0" w:lineRule="exact"/>
        <w:rPr>
          <w:sz w:val="20"/>
          <w:szCs w:val="20"/>
          <w:color w:val="auto"/>
        </w:rPr>
      </w:pPr>
    </w:p>
    <w:p>
      <w:pPr>
        <w:ind w:left="280" w:right="359"/>
        <w:spacing w:after="0" w:line="255"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Westlake Chemical Partners LP of our report dated March 4, 2026 relating to the financial statements and the effectiveness of internal control over financial reporting, which appears in Westlake Chemical Partners LP’s Annual Report on Form 10-K for the year ended December 31, 2025. We also consent to the reference to us under the heading “Experts” in such Registration Statement.</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Houston, Texas</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March 4, 2026</w:t>
      </w:r>
    </w:p>
    <w:p>
      <w:pPr>
        <w:spacing w:after="0" w:line="10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123" w:right="1440" w:bottom="1440" w:gutter="0" w:footer="0" w:header="0"/>
        </w:sectPr>
      </w:pPr>
    </w:p>
    <w:bookmarkStart w:id="155" w:name="page156"/>
    <w:bookmarkEnd w:id="155"/>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Westlake Chemical Partners LP</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4640" w:type="dxa"/>
            <w:vAlign w:val="bottom"/>
            <w:tcBorders>
              <w:bottom w:val="single" w:sz="8" w:color="auto"/>
            </w:tcBorders>
            <w:gridSpan w:val="12"/>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19"/>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w w:val="95"/>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8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Calculation</w:t>
            </w: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3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right"/>
              <w:spacing w:after="0" w:line="166"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ind w:left="140"/>
              <w:spacing w:after="0" w:line="186"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00" w:type="dxa"/>
            <w:vAlign w:val="bottom"/>
            <w:shd w:val="clear" w:color="auto" w:fill="9ADAF6"/>
          </w:tcPr>
          <w:p>
            <w:pPr>
              <w:jc w:val="center"/>
              <w:ind w:left="37"/>
              <w:spacing w:after="0" w:line="186" w:lineRule="exact"/>
              <w:rPr>
                <w:sz w:val="20"/>
                <w:szCs w:val="20"/>
                <w:color w:val="auto"/>
              </w:rPr>
            </w:pPr>
            <w:r>
              <w:rPr>
                <w:rFonts w:ascii="Arial" w:cs="Arial" w:eastAsia="Arial" w:hAnsi="Arial"/>
                <w:sz w:val="17"/>
                <w:szCs w:val="17"/>
                <w:b w:val="1"/>
                <w:bCs w:val="1"/>
                <w:color w:val="auto"/>
                <w:w w:val="96"/>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6"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3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1000" w:type="dxa"/>
            <w:vAlign w:val="bottom"/>
            <w:shd w:val="clear" w:color="auto" w:fill="9ADAF6"/>
          </w:tcPr>
          <w:p>
            <w:pPr>
              <w:jc w:val="right"/>
              <w:spacing w:after="0" w:line="186"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ind w:left="60"/>
              <w:spacing w:after="0" w:line="186"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800" w:type="dxa"/>
            <w:vAlign w:val="bottom"/>
            <w:shd w:val="clear" w:color="auto" w:fill="9ADAF6"/>
          </w:tcPr>
          <w:p>
            <w:pPr>
              <w:jc w:val="center"/>
              <w:ind w:left="37"/>
              <w:spacing w:after="0" w:line="186" w:lineRule="exact"/>
              <w:rPr>
                <w:sz w:val="20"/>
                <w:szCs w:val="20"/>
                <w:color w:val="auto"/>
              </w:rPr>
            </w:pPr>
            <w:r>
              <w:rPr>
                <w:rFonts w:ascii="Arial" w:cs="Arial" w:eastAsia="Arial" w:hAnsi="Arial"/>
                <w:sz w:val="17"/>
                <w:szCs w:val="17"/>
                <w:b w:val="1"/>
                <w:bCs w:val="1"/>
                <w:color w:val="auto"/>
                <w:w w:val="95"/>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6"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3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Rate</w:t>
            </w:r>
          </w:p>
        </w:tc>
        <w:tc>
          <w:tcPr>
            <w:tcW w:w="20" w:type="dxa"/>
            <w:vAlign w:val="bottom"/>
          </w:tcPr>
          <w:p>
            <w:pPr>
              <w:spacing w:after="0"/>
              <w:rPr>
                <w:sz w:val="16"/>
                <w:szCs w:val="16"/>
                <w:color w:val="auto"/>
              </w:rPr>
            </w:pPr>
          </w:p>
        </w:tc>
        <w:tc>
          <w:tcPr>
            <w:tcW w:w="1000" w:type="dxa"/>
            <w:vAlign w:val="bottom"/>
            <w:shd w:val="clear" w:color="auto" w:fill="9ADAF6"/>
          </w:tcPr>
          <w:p>
            <w:pPr>
              <w:jc w:val="right"/>
              <w:ind w:right="277"/>
              <w:spacing w:after="0" w:line="186"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w w:val="97"/>
              </w:rPr>
              <w:t>Rule</w:t>
            </w: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51"/>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gridSpan w:val="7"/>
          </w:tcPr>
          <w:p>
            <w:pPr>
              <w:ind w:left="78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7"/>
                <w:szCs w:val="17"/>
                <w:b w:val="1"/>
                <w:bCs w:val="1"/>
                <w:color w:val="auto"/>
                <w:w w:val="95"/>
              </w:rPr>
              <w:t>Carry Forward Securities</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w w:val="97"/>
              </w:rPr>
              <w:t>representing</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Equity</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7"/>
              </w:rPr>
              <w:t>415(a)(6)</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03/20/2023</w:t>
            </w: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limited</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6" w:lineRule="exact"/>
              <w:rPr>
                <w:sz w:val="20"/>
                <w:szCs w:val="20"/>
                <w:color w:val="auto"/>
              </w:rPr>
            </w:pPr>
            <w:r>
              <w:rPr>
                <w:rFonts w:ascii="Arial" w:cs="Arial" w:eastAsia="Arial" w:hAnsi="Arial"/>
                <w:sz w:val="17"/>
                <w:szCs w:val="17"/>
                <w:color w:val="auto"/>
                <w:w w:val="98"/>
              </w:rPr>
              <w:t>270176</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partner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interests</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classes of</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Equity</w:t>
            </w:r>
          </w:p>
        </w:tc>
        <w:tc>
          <w:tcPr>
            <w:tcW w:w="20" w:type="dxa"/>
            <w:vAlign w:val="bottom"/>
          </w:tcPr>
          <w:p>
            <w:pPr>
              <w:spacing w:after="0"/>
              <w:rPr>
                <w:sz w:val="8"/>
                <w:szCs w:val="8"/>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7"/>
              </w:rPr>
              <w:t>representing</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7"/>
              </w:rPr>
              <w:t>415(a)(6)</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03/20/2023</w:t>
            </w: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jc w:val="center"/>
              <w:spacing w:after="0" w:line="109" w:lineRule="exact"/>
              <w:rPr>
                <w:sz w:val="20"/>
                <w:szCs w:val="20"/>
                <w:color w:val="auto"/>
              </w:rPr>
            </w:pPr>
            <w:r>
              <w:rPr>
                <w:rFonts w:ascii="Arial" w:cs="Arial" w:eastAsia="Arial" w:hAnsi="Arial"/>
                <w:sz w:val="12"/>
                <w:szCs w:val="12"/>
                <w:color w:val="auto"/>
              </w:rPr>
              <w:t>270176</w:t>
            </w: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limited</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partner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interests</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7"/>
              </w:rPr>
              <w:t>415(a)(6)</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03/20/2023</w:t>
            </w: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6" w:lineRule="exact"/>
              <w:rPr>
                <w:sz w:val="20"/>
                <w:szCs w:val="20"/>
                <w:color w:val="auto"/>
              </w:rPr>
            </w:pPr>
            <w:r>
              <w:rPr>
                <w:rFonts w:ascii="Arial" w:cs="Arial" w:eastAsia="Arial" w:hAnsi="Arial"/>
                <w:sz w:val="17"/>
                <w:szCs w:val="17"/>
                <w:color w:val="auto"/>
                <w:w w:val="98"/>
              </w:rPr>
              <w:t>270176</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78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jc w:val="center"/>
              <w:spacing w:after="0" w:line="176"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7"/>
              </w:rPr>
              <w:t>415(a)(6)</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03/20/2023</w:t>
            </w: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7"/>
                <w:szCs w:val="17"/>
                <w:color w:val="auto"/>
              </w:rPr>
              <w:t>$ 64,900.00</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98"/>
              </w:rPr>
              <w:t>500,000,000.00</w:t>
            </w:r>
          </w:p>
        </w:tc>
        <w:tc>
          <w:tcPr>
            <w:tcW w:w="20" w:type="dxa"/>
            <w:vAlign w:val="bottom"/>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6" w:lineRule="exact"/>
              <w:rPr>
                <w:sz w:val="20"/>
                <w:szCs w:val="20"/>
                <w:color w:val="auto"/>
              </w:rPr>
            </w:pPr>
            <w:r>
              <w:rPr>
                <w:rFonts w:ascii="Arial" w:cs="Arial" w:eastAsia="Arial" w:hAnsi="Arial"/>
                <w:sz w:val="17"/>
                <w:szCs w:val="17"/>
                <w:color w:val="auto"/>
                <w:w w:val="98"/>
              </w:rPr>
              <w:t>270176</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78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units</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w w:val="97"/>
              </w:rPr>
              <w:t>representing</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Equity</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ind w:left="37"/>
              <w:spacing w:after="0"/>
              <w:rPr>
                <w:sz w:val="20"/>
                <w:szCs w:val="20"/>
                <w:color w:val="auto"/>
              </w:rPr>
            </w:pPr>
            <w:r>
              <w:rPr>
                <w:rFonts w:ascii="Arial" w:cs="Arial" w:eastAsia="Arial" w:hAnsi="Arial"/>
                <w:sz w:val="17"/>
                <w:szCs w:val="17"/>
                <w:color w:val="auto"/>
                <w:w w:val="97"/>
              </w:rPr>
              <w:t>415(a)(6)</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1,401,869</w:t>
            </w: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03/20/2023</w:t>
            </w: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7"/>
                <w:szCs w:val="17"/>
                <w:color w:val="auto"/>
              </w:rPr>
              <w:t>$ 3,912.23</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limited</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rPr>
              <w:t>30,413,547.96</w:t>
            </w:r>
          </w:p>
        </w:tc>
        <w:tc>
          <w:tcPr>
            <w:tcW w:w="20" w:type="dxa"/>
            <w:vAlign w:val="bottom"/>
          </w:tcPr>
          <w:p>
            <w:pPr>
              <w:spacing w:after="0"/>
              <w:rPr>
                <w:sz w:val="14"/>
                <w:szCs w:val="14"/>
                <w:color w:val="auto"/>
              </w:rPr>
            </w:pPr>
          </w:p>
        </w:tc>
        <w:tc>
          <w:tcPr>
            <w:tcW w:w="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jc w:val="center"/>
              <w:spacing w:after="0" w:line="166" w:lineRule="exact"/>
              <w:rPr>
                <w:sz w:val="20"/>
                <w:szCs w:val="20"/>
                <w:color w:val="auto"/>
              </w:rPr>
            </w:pPr>
            <w:r>
              <w:rPr>
                <w:rFonts w:ascii="Arial" w:cs="Arial" w:eastAsia="Arial" w:hAnsi="Arial"/>
                <w:sz w:val="17"/>
                <w:szCs w:val="17"/>
                <w:color w:val="auto"/>
                <w:w w:val="98"/>
              </w:rPr>
              <w:t>270176</w:t>
            </w: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partner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7"/>
                <w:szCs w:val="17"/>
                <w:color w:val="auto"/>
              </w:rPr>
              <w:t>interests</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w w:val="99"/>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530,413,547.96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6"/>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4" w:lineRule="exact"/>
        <w:rPr>
          <w:sz w:val="20"/>
          <w:szCs w:val="20"/>
          <w:color w:val="auto"/>
        </w:rPr>
      </w:pPr>
    </w:p>
    <w:p>
      <w:pPr>
        <w:ind w:left="200" w:right="120" w:hanging="166"/>
        <w:spacing w:after="0" w:line="241" w:lineRule="auto"/>
        <w:tabs>
          <w:tab w:leader="none" w:pos="200" w:val="left"/>
        </w:tabs>
        <w:numPr>
          <w:ilvl w:val="0"/>
          <w:numId w:val="102"/>
        </w:numPr>
        <w:rPr>
          <w:rFonts w:ascii="Arial" w:cs="Arial" w:eastAsia="Arial" w:hAnsi="Arial"/>
          <w:sz w:val="20"/>
          <w:szCs w:val="20"/>
          <w:color w:val="auto"/>
          <w:vertAlign w:val="superscript"/>
        </w:rPr>
      </w:pPr>
      <w:r>
        <w:rPr>
          <w:rFonts w:ascii="Arial" w:cs="Arial" w:eastAsia="Arial" w:hAnsi="Arial"/>
          <w:sz w:val="16"/>
          <w:szCs w:val="16"/>
          <w:color w:val="auto"/>
        </w:rPr>
        <w:t>(1) There are being registered hereunder an unspecified number or aggregate principal amount (as applicable) of the registrant's common units representing limited partner interests ("Common Units"), common units representing limited partner interests ("Other Units") and debt securities as may from time to time be offered at unspecified prices, with the maximum aggregate offering price of such securities not to exceed the amount described in footnote (4) below (the "Primary Carry-Forward Securities"). In addition, an unspecified number of securities is being registered as may be issued from time to time in exchange for, or upon conversion or exercise of, as the case may be, the securities registered hereunder. (2) Other classes of units representing limited partner interests can include, but is not limited to, preferred units. (3) The proposed maximum aggregate offering price of each class of securities will be determined from time to time by the registrant in connection with the issuance by the registrant of the securities registered hereunder and is not specified as to each class of securities pursuant to Rule 457(o) under the Securities Act of 1933, as amended (the "Securities Act"). (4) Debt securities will be issued by Westlake LP, and WLKP Finance Corp. may act as co-issuer of the debt securities. If any debt securities are issued at an original issue discount, then the offering price of such debt securities shall be in such amount as shall result in an aggregate initial offering price not to exceed $500,000,000, less the dollar amount of any registered securities previously issued. (5) The Primary Carry-Forward Securities and the Secondary Carry-Forward Securities (as defined in footnote (6) below) (collectively, the "Carry-Forward Securities") consist of securities previously registered under the registrant's Registration Statement on Form S-3 (File No. 333-270176), initially filed with the Securities and Exchange Commission on March 1, 2023, and declared effective on March 20, 2023 (as amended, the "Prior Registration Statement"), which securities remain unsold as of the date of this registration statement. Pursuant to Rule 415(a)(6), the registration fees relating to the Carry-Forward Securities under the Prior Registration Statement will continue to be applied to such securities hereunder. To the extent that, after the date hereof and prior to the effectiveness of this registration statement, any Carry-Forward Securities are sold pursuant to the Prior Registration Statement, the registrant will identify in a pre-effective amendment to this registration statement the updated amount of Carry-Forward Securities from the Prior Registration Statement to be included on this registration statement pursuant to Rule 415(a)(6). Pursuant to Rule 415(a)(6), the offering of the Carry-Forward Securities under the Prior Registration Statement will be deemed terminated as of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5010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31" w:lineRule="exact"/>
        <w:rPr>
          <w:sz w:val="20"/>
          <w:szCs w:val="20"/>
          <w:color w:val="auto"/>
        </w:rPr>
      </w:pPr>
    </w:p>
    <w:p>
      <w:pPr>
        <w:ind w:left="200" w:right="240" w:hanging="166"/>
        <w:spacing w:after="0" w:line="239" w:lineRule="auto"/>
        <w:tabs>
          <w:tab w:leader="none" w:pos="200" w:val="left"/>
        </w:tabs>
        <w:numPr>
          <w:ilvl w:val="0"/>
          <w:numId w:val="103"/>
        </w:numPr>
        <w:rPr>
          <w:rFonts w:ascii="Arial" w:cs="Arial" w:eastAsia="Arial" w:hAnsi="Arial"/>
          <w:sz w:val="20"/>
          <w:szCs w:val="20"/>
          <w:color w:val="auto"/>
          <w:vertAlign w:val="superscript"/>
        </w:rPr>
      </w:pPr>
      <w:r>
        <w:rPr>
          <w:rFonts w:ascii="Arial" w:cs="Arial" w:eastAsia="Arial" w:hAnsi="Arial"/>
          <w:sz w:val="16"/>
          <w:szCs w:val="16"/>
          <w:color w:val="auto"/>
        </w:rPr>
        <w:t>(5) The Primary Carry-Forward Securities and the Secondary Carry-Forward Securities (as defined in footnote (6) below) (collectively, the "Carry-Forward Securities") consist of securities previously registered under the registrant's Registration Statement on Form S-3 (File No. 333-270176), initially filed with the Securities and Exchange Commission on March 1, 2023, and declared effective on March 20, 2023 (as amended, the "Prior Registration Statement"), which securities remain unsold as of the date of this registration statement. Pursuant to Rule 415(a)(6), the registration fees relating to the Carry-Forward Securities under the Prior Registration Statement will continue to be applied to such securities hereunder. To the extent</w:t>
      </w:r>
    </w:p>
    <w:p>
      <w:pPr>
        <w:sectPr>
          <w:pgSz w:w="11900" w:h="16838" w:orient="portrait"/>
          <w:cols w:equalWidth="0" w:num="1">
            <w:col w:w="11360"/>
          </w:cols>
          <w:pgMar w:left="300" w:top="141" w:right="239" w:bottom="0" w:gutter="0" w:footer="0" w:header="0"/>
        </w:sectPr>
      </w:pPr>
    </w:p>
    <w:bookmarkStart w:id="156" w:name="page157"/>
    <w:bookmarkEnd w:id="156"/>
    <w:p>
      <w:pPr>
        <w:ind w:left="200" w:right="200"/>
        <w:spacing w:after="0" w:line="246" w:lineRule="auto"/>
        <w:rPr>
          <w:sz w:val="20"/>
          <w:szCs w:val="20"/>
          <w:color w:val="auto"/>
        </w:rPr>
      </w:pPr>
      <w:r>
        <w:rPr>
          <w:rFonts w:ascii="Arial" w:cs="Arial" w:eastAsia="Arial" w:hAnsi="Arial"/>
          <w:sz w:val="16"/>
          <w:szCs w:val="16"/>
          <w:color w:val="auto"/>
        </w:rPr>
        <w:t>that, after the date hereof and prior to the effectiveness of this registration statement, any Carry-Forward Securities are sold pursuant to the Prior Registration Statement, the registrant will identify in a pre-effective amendment to this registration statement the updated amount of Carry-Forward Securities from the Prior Registration Statement to be included on this registration statement pursuant to Rule 415(a)(6). Pursuant to Rule 415(a)(6), the offering of the Carry-Forward Securities under the Prior Registration Statement will be deemed terminated as of the effective date of this registration statement. (6) Consists of Common Units to be offered and sold by the selling securityholder (the "Secondary Carry-Forward Securities").</w:t>
      </w:r>
    </w:p>
    <w:p>
      <w:pPr>
        <w:spacing w:after="0" w:line="3" w:lineRule="exact"/>
        <w:rPr>
          <w:sz w:val="20"/>
          <w:szCs w:val="20"/>
          <w:color w:val="auto"/>
        </w:rPr>
      </w:pPr>
    </w:p>
    <w:p>
      <w:pPr>
        <w:ind w:left="200" w:right="120" w:firstLine="10"/>
        <w:spacing w:after="0" w:line="233" w:lineRule="auto"/>
        <w:tabs>
          <w:tab w:leader="none" w:pos="44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Pursuant to Rule 416 under the Securities Act, the registrant is also registering an indeterminate number of additional Common Units issuable by reason of any stock dividend, stock split, recapitalization or other similar transaction. (8) Estimated solely for the purpose of calculating the registration fee pursuant to Rule 457(c) under the Securities Act. The Proposed Maximum Offering Price Per Unit for the Secondary Carry-Forward Securities is based on the average ($21.695) of the high and low prices reported for the Common Units on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60325</wp:posOffset>
            </wp:positionV>
            <wp:extent cx="715010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39"/>
              <w:spacing w:after="0" w:line="186"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right"/>
              <w:ind w:right="9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39"/>
              <w:spacing w:after="0" w:line="186" w:lineRule="exact"/>
              <w:rPr>
                <w:sz w:val="20"/>
                <w:szCs w:val="20"/>
                <w:color w:val="auto"/>
              </w:rPr>
            </w:pPr>
            <w:r>
              <w:rPr>
                <w:rFonts w:ascii="Arial" w:cs="Arial" w:eastAsia="Arial" w:hAnsi="Arial"/>
                <w:sz w:val="17"/>
                <w:szCs w:val="17"/>
                <w:b w:val="1"/>
                <w:bCs w:val="1"/>
                <w:color w:val="auto"/>
                <w:w w:val="97"/>
              </w:rPr>
              <w:t>Title</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jc w:val="center"/>
              <w:spacing w:after="0" w:line="109"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3"/>
            <w:shd w:val="clear" w:color="auto" w:fill="9ADAF6"/>
          </w:tcPr>
          <w:p>
            <w:pPr>
              <w:jc w:val="right"/>
              <w:ind w:right="17"/>
              <w:spacing w:after="0" w:line="109"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2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320" w:type="dxa"/>
            <w:vAlign w:val="bottom"/>
            <w:shd w:val="clear" w:color="auto" w:fill="9ADAF6"/>
          </w:tcPr>
          <w:p>
            <w:pPr>
              <w:jc w:val="center"/>
              <w:ind w:right="177"/>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60" w:type="dxa"/>
            <w:vAlign w:val="bottom"/>
            <w:tcBorders>
              <w:right w:val="single" w:sz="8" w:color="9ADAF6"/>
            </w:tcBorders>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21"/>
                <w:szCs w:val="21"/>
                <w:color w:val="auto"/>
              </w:rPr>
            </w:pPr>
          </w:p>
        </w:tc>
        <w:tc>
          <w:tcPr>
            <w:tcW w:w="660" w:type="dxa"/>
            <w:vAlign w:val="bottom"/>
            <w:gridSpan w:val="3"/>
            <w:shd w:val="clear" w:color="auto" w:fill="9ADAF6"/>
          </w:tcPr>
          <w:p>
            <w:pPr>
              <w:jc w:val="right"/>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780" w:type="dxa"/>
            <w:vAlign w:val="bottom"/>
            <w:gridSpan w:val="2"/>
            <w:shd w:val="clear" w:color="auto" w:fill="9ADAF6"/>
          </w:tcPr>
          <w:p>
            <w:pPr>
              <w:jc w:val="center"/>
              <w:ind w:left="39"/>
              <w:spacing w:after="0"/>
              <w:rPr>
                <w:sz w:val="20"/>
                <w:szCs w:val="20"/>
                <w:color w:val="auto"/>
              </w:rPr>
            </w:pPr>
            <w:r>
              <w:rPr>
                <w:rFonts w:ascii="Arial" w:cs="Arial" w:eastAsia="Arial" w:hAnsi="Arial"/>
                <w:sz w:val="17"/>
                <w:szCs w:val="17"/>
                <w:b w:val="1"/>
                <w:bCs w:val="1"/>
                <w:color w:val="auto"/>
                <w:w w:val="96"/>
              </w:rPr>
              <w:t>with Fee</w:t>
            </w:r>
          </w:p>
        </w:tc>
        <w:tc>
          <w:tcPr>
            <w:tcW w:w="120" w:type="dxa"/>
            <w:vAlign w:val="bottom"/>
            <w:tcBorders>
              <w:left w:val="single" w:sz="8" w:color="9ADAF6"/>
            </w:tcBorders>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21"/>
                <w:szCs w:val="21"/>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780" w:type="dxa"/>
            <w:vAlign w:val="bottom"/>
            <w:gridSpan w:val="2"/>
            <w:shd w:val="clear" w:color="auto" w:fill="9ADAF6"/>
          </w:tcPr>
          <w:p>
            <w:pPr>
              <w:jc w:val="center"/>
              <w:ind w:left="59"/>
              <w:spacing w:after="0" w:line="114" w:lineRule="exact"/>
              <w:rPr>
                <w:sz w:val="20"/>
                <w:szCs w:val="20"/>
                <w:color w:val="auto"/>
              </w:rPr>
            </w:pPr>
            <w:r>
              <w:rPr>
                <w:rFonts w:ascii="Arial" w:cs="Arial" w:eastAsia="Arial" w:hAnsi="Arial"/>
                <w:sz w:val="13"/>
                <w:szCs w:val="13"/>
                <w:b w:val="1"/>
                <w:bCs w:val="1"/>
                <w:color w:val="auto"/>
              </w:rPr>
              <w:t>Offset</w:t>
            </w:r>
          </w:p>
        </w:tc>
        <w:tc>
          <w:tcPr>
            <w:tcW w:w="120" w:type="dxa"/>
            <w:vAlign w:val="bottom"/>
            <w:tcBorders>
              <w:left w:val="single" w:sz="8" w:color="9ADAF6"/>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780" w:type="dxa"/>
            <w:vAlign w:val="bottom"/>
            <w:gridSpan w:val="2"/>
            <w:shd w:val="clear" w:color="auto" w:fill="9ADAF6"/>
          </w:tcPr>
          <w:p>
            <w:pPr>
              <w:jc w:val="center"/>
              <w:ind w:left="59"/>
              <w:spacing w:after="0" w:line="186" w:lineRule="exact"/>
              <w:rPr>
                <w:sz w:val="20"/>
                <w:szCs w:val="20"/>
                <w:color w:val="auto"/>
              </w:rPr>
            </w:pPr>
            <w:r>
              <w:rPr>
                <w:rFonts w:ascii="Arial" w:cs="Arial" w:eastAsia="Arial" w:hAnsi="Arial"/>
                <w:sz w:val="17"/>
                <w:szCs w:val="17"/>
                <w:b w:val="1"/>
                <w:bCs w:val="1"/>
                <w:color w:val="auto"/>
                <w:w w:val="96"/>
              </w:rPr>
              <w:t>Claimed</w:t>
            </w: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tcBorders>
              <w:lef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0"/>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1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tcBorders>
              <w:lef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1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tcBorders>
              <w:lef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1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tcBorders>
              <w:lef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8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78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120" w:type="dxa"/>
            <w:vAlign w:val="bottom"/>
            <w:tcBorders>
              <w:lef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ind w:left="10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2"/>
            <w:vMerge w:val="continue"/>
            <w:shd w:val="clear" w:color="auto" w:fill="E7E7E2"/>
          </w:tcPr>
          <w:p>
            <w:pPr>
              <w:spacing w:after="0"/>
              <w:rPr>
                <w:sz w:val="10"/>
                <w:szCs w:val="10"/>
                <w:color w:val="auto"/>
              </w:rPr>
            </w:pPr>
          </w:p>
        </w:tc>
        <w:tc>
          <w:tcPr>
            <w:tcW w:w="120" w:type="dxa"/>
            <w:vAlign w:val="bottom"/>
            <w:tcBorders>
              <w:lef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tcBorders>
              <w:lef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12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8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ind w:left="40"/>
              <w:spacing w:after="0" w:line="186"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60" w:type="dxa"/>
            <w:vAlign w:val="bottom"/>
            <w:tcBorders>
              <w:left w:val="single" w:sz="8" w:color="9ADAF6"/>
            </w:tcBorders>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4"/>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lef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ind w:right="20"/>
              <w:spacing w:after="0" w:line="186" w:lineRule="exact"/>
              <w:rPr>
                <w:sz w:val="20"/>
                <w:szCs w:val="20"/>
                <w:color w:val="auto"/>
              </w:rPr>
            </w:pPr>
            <w:r>
              <w:rPr>
                <w:rFonts w:ascii="Arial" w:cs="Arial" w:eastAsia="Arial" w:hAnsi="Arial"/>
                <w:sz w:val="17"/>
                <w:szCs w:val="17"/>
                <w:b w:val="1"/>
                <w:bCs w:val="1"/>
                <w:color w:val="auto"/>
                <w:w w:val="95"/>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tcBorders>
              <w:left w:val="single" w:sz="8" w:color="9ADAF6"/>
            </w:tcBorders>
            <w:shd w:val="clear" w:color="auto" w:fill="9ADAF6"/>
          </w:tcPr>
          <w:p>
            <w:pPr>
              <w:spacing w:after="0"/>
              <w:rPr>
                <w:sz w:val="8"/>
                <w:szCs w:val="8"/>
                <w:color w:val="auto"/>
              </w:rPr>
            </w:pPr>
          </w:p>
        </w:tc>
        <w:tc>
          <w:tcPr>
            <w:tcW w:w="540" w:type="dxa"/>
            <w:vAlign w:val="bottom"/>
            <w:gridSpan w:val="2"/>
            <w:vMerge w:val="restart"/>
            <w:shd w:val="clear" w:color="auto" w:fill="9ADAF6"/>
          </w:tcPr>
          <w:p>
            <w:pPr>
              <w:jc w:val="center"/>
              <w:ind w:right="39"/>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left w:val="single" w:sz="8" w:color="9ADAF6"/>
            </w:tcBorders>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3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tcBorders>
              <w:lef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lef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 w:type="dxa"/>
            <w:vAlign w:val="bottom"/>
            <w:tcBorders>
              <w:left w:val="single" w:sz="8" w:color="auto"/>
            </w:tcBorders>
          </w:tcPr>
          <w:p>
            <w:pPr>
              <w:spacing w:after="0"/>
              <w:rPr>
                <w:sz w:val="17"/>
                <w:szCs w:val="17"/>
                <w:color w:val="auto"/>
              </w:rPr>
            </w:pPr>
          </w:p>
        </w:tc>
        <w:tc>
          <w:tcPr>
            <w:tcW w:w="42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7"/>
                <w:szCs w:val="17"/>
                <w:color w:val="auto"/>
              </w:rPr>
            </w:pPr>
          </w:p>
        </w:tc>
        <w:tc>
          <w:tcPr>
            <w:tcW w:w="5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6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7"/>
                <w:szCs w:val="17"/>
                <w:color w:val="auto"/>
              </w:rPr>
            </w:pPr>
          </w:p>
        </w:tc>
        <w:tc>
          <w:tcPr>
            <w:tcW w:w="3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ind w:left="46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7"/>
                <w:szCs w:val="17"/>
                <w:color w:val="auto"/>
              </w:rPr>
            </w:pPr>
          </w:p>
        </w:tc>
        <w:tc>
          <w:tcPr>
            <w:tcW w:w="120" w:type="dxa"/>
            <w:vAlign w:val="bottom"/>
            <w:tcBorders>
              <w:lef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7"/>
                <w:szCs w:val="17"/>
                <w:color w:val="auto"/>
              </w:rPr>
            </w:pPr>
          </w:p>
        </w:tc>
        <w:tc>
          <w:tcPr>
            <w:tcW w:w="3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1)"/>
      <w:numFmt w:val="lowerLetter"/>
      <w:start w:val="1"/>
    </w:lvl>
    <w:lvl w:ilvl="1">
      <w:lvlJc w:val="left"/>
      <w:lvlText w:val="(%2)"/>
      <w:numFmt w:val="decimal"/>
      <w:start w:val="1"/>
    </w:lvl>
  </w:abstractNum>
  <w:abstractNum w:abstractNumId="15">
    <w:nsid w:val="741226BB"/>
    <w:multiLevelType w:val="hybridMultilevel"/>
    <w:lvl w:ilvl="0">
      <w:lvlJc w:val="left"/>
      <w:lvlText w:val="%1"/>
      <w:numFmt w:val="lowerLetter"/>
      <w:start w:val="1"/>
    </w:lvl>
    <w:lvl w:ilvl="1">
      <w:lvlJc w:val="left"/>
      <w:lvlText w:val="(%2)"/>
      <w:numFmt w:val="decimal"/>
      <w:start w:val="2"/>
    </w:lvl>
  </w:abstractNum>
  <w:abstractNum w:abstractNumId="16">
    <w:nsid w:val="D34B6A8"/>
    <w:multiLevelType w:val="hybridMultilevel"/>
    <w:lvl w:ilvl="0">
      <w:lvlJc w:val="left"/>
      <w:lvlText w:val="(%1)"/>
      <w:numFmt w:val="lowerLetter"/>
      <w:start w:val="2"/>
    </w:lvl>
    <w:lvl w:ilvl="1">
      <w:lvlJc w:val="left"/>
      <w:lvlText w:val="%2"/>
      <w:numFmt w:val="decimal"/>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lvl w:ilvl="1">
      <w:lvlJc w:val="left"/>
      <w:lvlText w:val="•"/>
      <w:numFmt w:val="bullet"/>
      <w:start w:val="1"/>
    </w:lvl>
  </w:abstractNum>
  <w:abstractNum w:abstractNumId="26">
    <w:nsid w:val="25A70BF7"/>
    <w:multiLevelType w:val="hybridMultilevel"/>
    <w:lvl w:ilvl="0">
      <w:lvlJc w:val="left"/>
      <w:lvlText w:val="(%1)"/>
      <w:numFmt w:val="lowerRoman"/>
      <w:start w:val="4"/>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1)"/>
      <w:numFmt w:val="lowerRoman"/>
      <w:start w:val="2"/>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lvl w:ilvl="1">
      <w:lvlJc w:val="left"/>
      <w:lvlText w:val="•"/>
      <w:numFmt w:val="bullet"/>
      <w:start w:val="1"/>
    </w:lvl>
  </w:abstractNum>
  <w:abstractNum w:abstractNumId="44">
    <w:nsid w:val="540A471C"/>
    <w:multiLevelType w:val="hybridMultilevel"/>
    <w:lvl w:ilvl="0">
      <w:lvlJc w:val="left"/>
      <w:lvlText w:val="(%1)"/>
      <w:numFmt w:val="lowerRoman"/>
      <w:start w:val="4"/>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decimal"/>
      <w:start w:val="107"/>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5">
    <w:nsid w:val="68EB2F63"/>
    <w:multiLevelType w:val="hybridMultilevel"/>
    <w:lvl w:ilvl="0">
      <w:lvlJc w:val="left"/>
      <w:lvlText w:val="(%1)"/>
      <w:numFmt w:val="decimal"/>
      <w:start w:val="2"/>
    </w:lvl>
    <w:lvl w:ilvl="1">
      <w:lvlJc w:val="left"/>
      <w:lvlText w:val="(%2)"/>
      <w:numFmt w:val="lowerRoman"/>
      <w:start w:val="1"/>
    </w:lvl>
  </w:abstractNum>
  <w:abstractNum w:abstractNumId="56">
    <w:nsid w:val="4962813B"/>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57">
    <w:nsid w:val="60B6DF7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8">
    <w:nsid w:val="6A5EE64"/>
    <w:multiLevelType w:val="hybridMultilevel"/>
    <w:lvl w:ilvl="0">
      <w:lvlJc w:val="left"/>
      <w:lvlText w:val="(%1)"/>
      <w:numFmt w:val="lowerLetter"/>
      <w:start w:val="5"/>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1)"/>
      <w:numFmt w:val="lowerLetter"/>
      <w:start w:val="1"/>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3"/>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0"/>
    </w:lvl>
  </w:abstractNum>
  <w:abstractNum w:abstractNumId="66">
    <w:nsid w:val="6F6DD9AC"/>
    <w:multiLevelType w:val="hybridMultilevel"/>
    <w:lvl w:ilvl="0">
      <w:lvlJc w:val="left"/>
      <w:lvlText w:val="(%1)"/>
      <w:numFmt w:val="lowerLetter"/>
      <w:start w:val="1"/>
    </w:lvl>
    <w:lvl w:ilvl="1">
      <w:lvlJc w:val="left"/>
      <w:lvlText w:val="(%2)"/>
      <w:numFmt w:val="lowerLetter"/>
      <w:start w:val="9"/>
    </w:lvl>
  </w:abstractNum>
  <w:abstractNum w:abstractNumId="67">
    <w:nsid w:val="94211F2"/>
    <w:multiLevelType w:val="hybridMultilevel"/>
    <w:lvl w:ilvl="0">
      <w:lvlJc w:val="left"/>
      <w:lvlText w:val="(%1)"/>
      <w:numFmt w:val="lowerRoman"/>
      <w:start w:val="2"/>
    </w:lvl>
  </w:abstractNum>
  <w:abstractNum w:abstractNumId="68">
    <w:nsid w:val="885E1B"/>
    <w:multiLevelType w:val="hybridMultilevel"/>
    <w:lvl w:ilvl="0">
      <w:lvlJc w:val="left"/>
      <w:lvlText w:val="(%1)"/>
      <w:numFmt w:val="lowerLetter"/>
      <w:start w:val="1"/>
    </w:lvl>
  </w:abstractNum>
  <w:abstractNum w:abstractNumId="69">
    <w:nsid w:val="76272110"/>
    <w:multiLevelType w:val="hybridMultilevel"/>
    <w:lvl w:ilvl="0">
      <w:lvlJc w:val="left"/>
      <w:lvlText w:val="(%1)"/>
      <w:numFmt w:val="lowerLetter"/>
      <w:start w:val="2"/>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lvl w:ilvl="1">
      <w:lvlJc w:val="left"/>
      <w:lvlText w:val="(%2)"/>
      <w:numFmt w:val="lowerLetter"/>
      <w:start w:val="2"/>
    </w:lvl>
  </w:abstractNum>
  <w:abstractNum w:abstractNumId="73">
    <w:nsid w:val="3222E7CD"/>
    <w:multiLevelType w:val="hybridMultilevel"/>
    <w:lvl w:ilvl="0">
      <w:lvlJc w:val="left"/>
      <w:lvlText w:val="(%1)"/>
      <w:numFmt w:val="lowerLetter"/>
      <w:start w:val="3"/>
    </w:lvl>
    <w:lvl w:ilvl="1">
      <w:lvlJc w:val="left"/>
      <w:lvlText w:val="(%2)"/>
      <w:numFmt w:val="lowerLetter"/>
      <w:start w:val="3"/>
    </w:lvl>
  </w:abstractNum>
  <w:abstractNum w:abstractNumId="74">
    <w:nsid w:val="74DE0EE3"/>
    <w:multiLevelType w:val="hybridMultilevel"/>
    <w:lvl w:ilvl="0">
      <w:lvlJc w:val="left"/>
      <w:lvlText w:val="(%1)"/>
      <w:numFmt w:val="lowerRoman"/>
      <w:start w:val="1"/>
    </w:lvl>
  </w:abstractNum>
  <w:abstractNum w:abstractNumId="75">
    <w:nsid w:val="68EBC550"/>
    <w:multiLevelType w:val="hybridMultilevel"/>
    <w:lvl w:ilvl="0">
      <w:lvlJc w:val="left"/>
      <w:lvlText w:val="(%1)"/>
      <w:numFmt w:val="lowerRoman"/>
      <w:start w:val="2"/>
    </w:lvl>
  </w:abstractNum>
  <w:abstractNum w:abstractNumId="76">
    <w:nsid w:val="2DF6D648"/>
    <w:multiLevelType w:val="hybridMultilevel"/>
    <w:lvl w:ilvl="0">
      <w:lvlJc w:val="left"/>
      <w:lvlText w:val="(%1)"/>
      <w:numFmt w:val="lowerLetter"/>
      <w:start w:val="1"/>
    </w:lvl>
    <w:lvl w:ilvl="1">
      <w:lvlJc w:val="left"/>
      <w:lvlText w:val="(%2)"/>
      <w:numFmt w:val="lowerRoman"/>
      <w:start w:val="1"/>
    </w:lvl>
  </w:abstractNum>
  <w:abstractNum w:abstractNumId="77">
    <w:nsid w:val="46B7D447"/>
    <w:multiLevelType w:val="hybridMultilevel"/>
    <w:lvl w:ilvl="0">
      <w:lvlJc w:val="left"/>
      <w:lvlText w:val="%1"/>
      <w:numFmt w:val="lowerLetter"/>
      <w:start w:val="1"/>
    </w:lvl>
    <w:lvl w:ilvl="1">
      <w:lvlJc w:val="left"/>
      <w:lvlText w:val="(%2)"/>
      <w:numFmt w:val="lowerLetter"/>
      <w:start w:val="61"/>
    </w:lvl>
  </w:abstractNum>
  <w:abstractNum w:abstractNumId="78">
    <w:nsid w:val="4A2AC315"/>
    <w:multiLevelType w:val="hybridMultilevel"/>
    <w:lvl w:ilvl="0">
      <w:lvlJc w:val="left"/>
      <w:lvlText w:val="(%1)"/>
      <w:numFmt w:val="lowerLetter"/>
      <w:start w:val="2"/>
    </w:lvl>
    <w:lvl w:ilvl="1">
      <w:lvlJc w:val="left"/>
      <w:lvlText w:val="%2"/>
      <w:numFmt w:val="lowerLetter"/>
      <w:start w:val="1"/>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2"/>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2"/>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1"/>
    </w:lvl>
    <w:lvl w:ilvl="1">
      <w:lvlJc w:val="left"/>
      <w:lvlText w:val="(%2)"/>
      <w:numFmt w:val="lowerRoman"/>
      <w:start w:val="1"/>
    </w:lvl>
  </w:abstractNum>
  <w:abstractNum w:abstractNumId="87">
    <w:nsid w:val="7055A5F5"/>
    <w:multiLevelType w:val="hybridMultilevel"/>
    <w:lvl w:ilvl="0">
      <w:lvlJc w:val="left"/>
      <w:lvlText w:val="(%1)"/>
      <w:numFmt w:val="lowerLetter"/>
      <w:start w:val="6"/>
    </w:lvl>
    <w:lvl w:ilvl="1">
      <w:lvlJc w:val="left"/>
      <w:lvlText w:val="(%2)"/>
      <w:numFmt w:val="lowerRoman"/>
      <w:start w:val="1"/>
    </w:lvl>
  </w:abstractNum>
  <w:abstractNum w:abstractNumId="88">
    <w:nsid w:val="5FB8370B"/>
    <w:multiLevelType w:val="hybridMultilevel"/>
    <w:lvl w:ilvl="0">
      <w:lvlJc w:val="left"/>
      <w:lvlText w:val="(%1)"/>
      <w:numFmt w:val="lowerLetter"/>
      <w:start w:val="1"/>
    </w:lvl>
    <w:lvl w:ilvl="1">
      <w:lvlJc w:val="left"/>
      <w:lvlText w:val="(%2)"/>
      <w:numFmt w:val="lowerRoman"/>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7"/>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7"/>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3"/>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7"/>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4"/>
    </w:lvl>
  </w:abstractNum>
  <w:abstractNum w:abstractNumId="101">
    <w:nsid w:val="3FA62ACA"/>
    <w:multiLevelType w:val="hybridMultilevel"/>
    <w:lvl w:ilvl="0">
      <w:lvlJc w:val="left"/>
      <w:lvlText w:val="1"/>
      <w:numFmt w:val="bullet"/>
      <w:start w:val="1"/>
    </w:lvl>
  </w:abstractNum>
  <w:abstractNum w:abstractNumId="102">
    <w:nsid w:val="14FCE74E"/>
    <w:multiLevelType w:val="hybridMultilevel"/>
    <w:lvl w:ilvl="0">
      <w:lvlJc w:val="left"/>
      <w:lvlText w:val="2"/>
      <w:numFmt w:val="bullet"/>
      <w:start w:val="1"/>
    </w:lvl>
  </w:abstractNum>
  <w:abstractNum w:abstractNumId="103">
    <w:nsid w:val="6A3DD3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jpe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jpe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jpeg"/><Relationship Id="rId203" Type="http://schemas.openxmlformats.org/officeDocument/2006/relationships/image" Target="media/image183.png"/><Relationship Id="rId204" Type="http://schemas.openxmlformats.org/officeDocument/2006/relationships/image" Target="media/image184.jpeg"/><Relationship Id="rId205" Type="http://schemas.openxmlformats.org/officeDocument/2006/relationships/image" Target="media/image185.png"/><Relationship Id="rId206" Type="http://schemas.openxmlformats.org/officeDocument/2006/relationships/image" Target="media/image186.jpeg"/><Relationship Id="rId207" Type="http://schemas.openxmlformats.org/officeDocument/2006/relationships/image" Target="media/image187.png"/><Relationship Id="rId208" Type="http://schemas.openxmlformats.org/officeDocument/2006/relationships/image" Target="media/image188.jpeg"/><Relationship Id="rId209" Type="http://schemas.openxmlformats.org/officeDocument/2006/relationships/image" Target="media/image189.jpeg"/><Relationship Id="rId210" Type="http://schemas.openxmlformats.org/officeDocument/2006/relationships/image" Target="media/image190.png"/><Relationship Id="rId211" Type="http://schemas.openxmlformats.org/officeDocument/2006/relationships/image" Target="media/image191.jpeg"/><Relationship Id="rId212" Type="http://schemas.openxmlformats.org/officeDocument/2006/relationships/image" Target="media/image192.png"/><Relationship Id="rId213" Type="http://schemas.openxmlformats.org/officeDocument/2006/relationships/image" Target="media/image193.png"/><Relationship Id="rId30" Type="http://schemas.openxmlformats.org/officeDocument/2006/relationships/hyperlink" Target="http://www.sec.gov/ix?doc=/Archives/edgar/data/1604665/000160466526000010/wlkp-20251231.htm" TargetMode="External"/><Relationship Id="rId31" Type="http://schemas.openxmlformats.org/officeDocument/2006/relationships/hyperlink" Target="http://www.sec.gov/ix?doc=/Archives/edgar/data/0001262823/000119312526064221/d33682d8k.htm" TargetMode="External"/><Relationship Id="rId32" Type="http://schemas.openxmlformats.org/officeDocument/2006/relationships/hyperlink" Target="http://www.sec.gov/Archives/edgar/data/1604665/000119312514279108/d763107d8a12b.htm" TargetMode="External"/><Relationship Id="rId33" Type="http://schemas.openxmlformats.org/officeDocument/2006/relationships/hyperlink" Target="http://www.sec.gov/Archives/edgar/data/1262823/000126282320000007/exhibit4112311910-k.htm" TargetMode="External"/><Relationship Id="rId89" Type="http://schemas.openxmlformats.org/officeDocument/2006/relationships/hyperlink" Target="http://www.sec.gov/Archives/edgar/data/1262823/000119312519195736/d770864d8a12b.htm" TargetMode="External"/><Relationship Id="rId126" Type="http://schemas.openxmlformats.org/officeDocument/2006/relationships/hyperlink" Target="http://www.sec.gov/Archives/edgar/data/1604665/000119312514164760/d715499dex31.htm" TargetMode="External"/><Relationship Id="rId127" Type="http://schemas.openxmlformats.org/officeDocument/2006/relationships/hyperlink" Target="http://www.sec.gov/Archives/edgar/data/1604665/000119312514303305/d756630dex31.htm" TargetMode="External"/><Relationship Id="rId128" Type="http://schemas.openxmlformats.org/officeDocument/2006/relationships/hyperlink" Target="http://www.sec.gov/Archives/edgar/data/1604665/000119312517345554/d493400dex31.htm" TargetMode="External"/><Relationship Id="rId129" Type="http://schemas.openxmlformats.org/officeDocument/2006/relationships/hyperlink" Target="http://www.sec.gov/Archives/edgar/data/1604665/000119312518231463/d583758dex31.htm" TargetMode="External"/><Relationship Id="rId130" Type="http://schemas.openxmlformats.org/officeDocument/2006/relationships/hyperlink" Target="http://www.sec.gov/Archives/edgar/data/1604665/000119312517078897/d361296dex33.htm" TargetMode="External"/><Relationship Id="rId131" Type="http://schemas.openxmlformats.org/officeDocument/2006/relationships/hyperlink" Target="http://www.sec.gov/Archives/edgar/data/1604665/000119312517078897/d361296dex34.htm" TargetMode="External"/><Relationship Id="rId132" Type="http://schemas.openxmlformats.org/officeDocument/2006/relationships/hyperlink" Target="http://www.sec.gov/Archives/edgar/data/1604665/000119312519092653/d728262dex41.htm" TargetMode="External"/><Relationship Id="rId133" Type="http://schemas.openxmlformats.org/officeDocument/2006/relationships/hyperlink" Target="http://www.sec.gov/Archives/edgar/data/1604665/000160466520000007/ex41123119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2026-03-04T16:11:34Z</dcterms:created>
  <dcterms:modified xsi:type="dcterms:W3CDTF">2026-03-04T16:11:34Z</dcterms:modified>
</cp:coreProperties>
</file>