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193040</wp:posOffset>
            </wp:positionV>
            <wp:extent cx="3310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5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144145</wp:posOffset>
            </wp:positionV>
            <wp:extent cx="3310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720" w:right="6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ind w:left="720"/>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9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40" w:right="40" w:hanging="691"/>
        <w:spacing w:after="0" w:line="256" w:lineRule="auto"/>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740"/>
        <w:spacing w:after="0"/>
        <w:tabs>
          <w:tab w:leader="none" w:pos="4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214630</wp:posOffset>
            </wp:positionV>
            <wp:extent cx="3310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3"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Westlake Chemical Partners LP</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125095</wp:posOffset>
            </wp:positionV>
            <wp:extent cx="3310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ectPr>
          <w:pgSz w:w="11900" w:h="16838" w:orient="portrait"/>
          <w:cols w:equalWidth="0" w:num="1">
            <w:col w:w="11280"/>
          </w:cols>
          <w:pgMar w:left="240" w:top="274" w:right="3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32-0436529</w:t>
      </w:r>
    </w:p>
    <w:p>
      <w:pPr>
        <w:spacing w:after="0" w:line="82" w:lineRule="exact"/>
        <w:rPr>
          <w:sz w:val="24"/>
          <w:szCs w:val="24"/>
          <w:color w:val="auto"/>
        </w:rPr>
      </w:pPr>
    </w:p>
    <w:p>
      <w:pPr>
        <w:sectPr>
          <w:pgSz w:w="11900" w:h="16838" w:orient="portrait"/>
          <w:cols w:equalWidth="0" w:num="2">
            <w:col w:w="7520" w:space="720"/>
            <w:col w:w="3040"/>
          </w:cols>
          <w:pgMar w:left="240" w:top="274" w:right="379" w:bottom="144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900"/>
        <w:spacing w:after="0"/>
        <w:rPr>
          <w:sz w:val="20"/>
          <w:szCs w:val="20"/>
          <w:color w:val="auto"/>
        </w:rPr>
      </w:pPr>
      <w:r>
        <w:rPr>
          <w:rFonts w:ascii="Arial" w:cs="Arial" w:eastAsia="Arial" w:hAnsi="Arial"/>
          <w:sz w:val="13"/>
          <w:szCs w:val="13"/>
          <w:b w:val="1"/>
          <w:bCs w:val="1"/>
          <w:color w:val="auto"/>
        </w:rPr>
        <w:t>Identification Number)</w:t>
      </w:r>
    </w:p>
    <w:p>
      <w:pPr>
        <w:spacing w:after="0" w:line="177" w:lineRule="exact"/>
        <w:rPr>
          <w:sz w:val="24"/>
          <w:szCs w:val="24"/>
          <w:color w:val="auto"/>
        </w:rPr>
      </w:pPr>
    </w:p>
    <w:p>
      <w:pPr>
        <w:sectPr>
          <w:pgSz w:w="11900" w:h="16838" w:orient="portrait"/>
          <w:cols w:equalWidth="0" w:num="2">
            <w:col w:w="7240" w:space="720"/>
            <w:col w:w="3320"/>
          </w:cols>
          <w:pgMar w:left="240" w:top="274" w:right="379" w:bottom="1440" w:gutter="0" w:footer="0" w:header="0"/>
          <w:type w:val="continuous"/>
        </w:sectPr>
      </w:pPr>
    </w:p>
    <w:p>
      <w:pPr>
        <w:jc w:val="center"/>
        <w:ind w:right="-159"/>
        <w:spacing w:after="0"/>
        <w:rPr>
          <w:sz w:val="20"/>
          <w:szCs w:val="20"/>
          <w:color w:val="auto"/>
        </w:rPr>
      </w:pPr>
      <w:r>
        <w:rPr>
          <w:rFonts w:ascii="Arial" w:cs="Arial" w:eastAsia="Arial" w:hAnsi="Arial"/>
          <w:sz w:val="18"/>
          <w:szCs w:val="18"/>
          <w:b w:val="1"/>
          <w:bCs w:val="1"/>
          <w:color w:val="auto"/>
        </w:rPr>
        <w:t>2801 Post Oak Boulevard, Suite 600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Houston, Texas 77056</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7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(713) 585-2900</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(Registrant's telephone number, including area code)</w:t>
      </w:r>
    </w:p>
    <w:p>
      <w:pPr>
        <w:sectPr>
          <w:pgSz w:w="11900" w:h="16838" w:orient="portrait"/>
          <w:cols w:equalWidth="0" w:num="1">
            <w:col w:w="11280"/>
          </w:cols>
          <w:pgMar w:left="240" w:top="274" w:right="379" w:bottom="1440" w:gutter="0" w:footer="0" w:header="0"/>
          <w:type w:val="continuous"/>
        </w:sectPr>
      </w:pPr>
    </w:p>
    <w:p>
      <w:pPr>
        <w:spacing w:after="0" w:line="74"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ind w:right="40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w:cs="Arial" w:eastAsia="Arial" w:hAnsi="Arial"/>
          <w:sz w:val="16"/>
          <w:szCs w:val="16"/>
          <w:b w:val="1"/>
          <w:bCs w:val="1"/>
          <w:color w:val="auto"/>
        </w:rPr>
        <w:t>Yes</w:t>
      </w:r>
      <w:r>
        <w:rPr>
          <w:rFonts w:ascii="Arial" w:cs="Arial" w:eastAsia="Arial" w:hAnsi="Arial"/>
          <w:sz w:val="16"/>
          <w:szCs w:val="16"/>
          <w:color w:val="auto"/>
        </w:rPr>
        <w:t xml:space="preserve"> x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128"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smaller reporting company, or an emerging growth company. See definitions of "large accelerated filer," "accelerated filer", "smaller reporting company" and "emerging growth company" in Rule 12b-2 of the Exchange Act (Check one):</w:t>
      </w:r>
    </w:p>
    <w:p>
      <w:pPr>
        <w:spacing w:after="0" w:line="257"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360" w:type="dxa"/>
            <w:vAlign w:val="bottom"/>
          </w:tcPr>
          <w:p>
            <w:pPr>
              <w:spacing w:after="0"/>
              <w:rPr>
                <w:sz w:val="20"/>
                <w:szCs w:val="20"/>
                <w:color w:val="auto"/>
              </w:rPr>
            </w:pPr>
            <w:r>
              <w:rPr>
                <w:rFonts w:ascii="Arial" w:cs="Arial" w:eastAsia="Arial" w:hAnsi="Arial"/>
                <w:sz w:val="18"/>
                <w:szCs w:val="18"/>
                <w:b w:val="1"/>
                <w:bCs w:val="1"/>
                <w:color w:val="auto"/>
              </w:rPr>
              <w:t>Large accelerated filer</w:t>
            </w:r>
          </w:p>
        </w:tc>
        <w:tc>
          <w:tcPr>
            <w:tcW w:w="3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320"/>
              <w:spacing w:after="0"/>
              <w:rPr>
                <w:sz w:val="20"/>
                <w:szCs w:val="20"/>
                <w:color w:val="auto"/>
              </w:rPr>
            </w:pPr>
            <w:r>
              <w:rPr>
                <w:rFonts w:ascii="Arial" w:cs="Arial" w:eastAsia="Arial" w:hAnsi="Arial"/>
                <w:sz w:val="18"/>
                <w:szCs w:val="18"/>
                <w:b w:val="1"/>
                <w:bCs w:val="1"/>
                <w:color w:val="auto"/>
              </w:rPr>
              <w:t>Accelerated filer</w:t>
            </w:r>
          </w:p>
        </w:tc>
        <w:tc>
          <w:tcPr>
            <w:tcW w:w="700" w:type="dxa"/>
            <w:vAlign w:val="bottom"/>
          </w:tcPr>
          <w:p>
            <w:pPr>
              <w:ind w:left="540"/>
              <w:spacing w:after="0"/>
              <w:rPr>
                <w:sz w:val="20"/>
                <w:szCs w:val="20"/>
                <w:color w:val="auto"/>
              </w:rPr>
            </w:pPr>
            <w:r>
              <w:rPr>
                <w:rFonts w:ascii="Arial" w:cs="Arial" w:eastAsia="Arial" w:hAnsi="Arial"/>
                <w:sz w:val="18"/>
                <w:szCs w:val="18"/>
                <w:color w:val="auto"/>
              </w:rPr>
              <w:t>x</w:t>
            </w:r>
          </w:p>
        </w:tc>
      </w:tr>
      <w:tr>
        <w:trPr>
          <w:trHeight w:val="419"/>
        </w:trPr>
        <w:tc>
          <w:tcPr>
            <w:tcW w:w="2360" w:type="dxa"/>
            <w:vAlign w:val="bottom"/>
          </w:tcPr>
          <w:p>
            <w:pPr>
              <w:spacing w:after="0"/>
              <w:rPr>
                <w:sz w:val="20"/>
                <w:szCs w:val="20"/>
                <w:color w:val="auto"/>
              </w:rPr>
            </w:pPr>
            <w:r>
              <w:rPr>
                <w:rFonts w:ascii="Arial" w:cs="Arial" w:eastAsia="Arial" w:hAnsi="Arial"/>
                <w:sz w:val="18"/>
                <w:szCs w:val="18"/>
                <w:b w:val="1"/>
                <w:bCs w:val="1"/>
                <w:color w:val="auto"/>
              </w:rPr>
              <w:t>Non-accelerated filer</w:t>
            </w:r>
          </w:p>
        </w:tc>
        <w:tc>
          <w:tcPr>
            <w:tcW w:w="3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320"/>
              <w:spacing w:after="0"/>
              <w:rPr>
                <w:sz w:val="20"/>
                <w:szCs w:val="20"/>
                <w:color w:val="auto"/>
              </w:rPr>
            </w:pPr>
            <w:r>
              <w:rPr>
                <w:rFonts w:ascii="Arial" w:cs="Arial" w:eastAsia="Arial" w:hAnsi="Arial"/>
                <w:sz w:val="18"/>
                <w:szCs w:val="18"/>
                <w:b w:val="1"/>
                <w:bCs w:val="1"/>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960" w:type="dxa"/>
            <w:vAlign w:val="bottom"/>
          </w:tcPr>
          <w:p>
            <w:pPr>
              <w:ind w:left="2320"/>
              <w:spacing w:after="0"/>
              <w:rPr>
                <w:sz w:val="20"/>
                <w:szCs w:val="20"/>
                <w:color w:val="auto"/>
              </w:rPr>
            </w:pPr>
            <w:r>
              <w:rPr>
                <w:rFonts w:ascii="Arial" w:cs="Arial" w:eastAsia="Arial" w:hAnsi="Arial"/>
                <w:sz w:val="18"/>
                <w:szCs w:val="18"/>
                <w:b w:val="1"/>
                <w:bCs w:val="1"/>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168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x The registrant had 32,237,266 common units outstanding as of July 26, 2018.</w:t>
      </w:r>
    </w:p>
    <w:p>
      <w:pPr>
        <w:sectPr>
          <w:pgSz w:w="11900" w:h="16838" w:orient="portrait"/>
          <w:cols w:equalWidth="0" w:num="1">
            <w:col w:w="11280"/>
          </w:cols>
          <w:pgMar w:left="240" w:top="274" w:right="3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10060" w:type="dxa"/>
            <w:vAlign w:val="bottom"/>
          </w:tcPr>
          <w:p>
            <w:pPr>
              <w:spacing w:after="0"/>
              <w:rPr>
                <w:sz w:val="14"/>
                <w:szCs w:val="14"/>
                <w:color w:val="auto"/>
              </w:rPr>
            </w:pPr>
          </w:p>
        </w:tc>
        <w:tc>
          <w:tcPr>
            <w:tcW w:w="8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0580" w:type="dxa"/>
            <w:vAlign w:val="bottom"/>
            <w:gridSpan w:val="3"/>
            <w:vMerge w:val="restart"/>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0580" w:type="dxa"/>
            <w:vAlign w:val="bottom"/>
            <w:gridSpan w:val="3"/>
            <w:vMerge w:val="continue"/>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1)</w:t>
              </w:r>
            </w:hyperlink>
          </w:p>
        </w:tc>
        <w:tc>
          <w:tcPr>
            <w:tcW w:w="1006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8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17">
              <w:r>
                <w:rPr>
                  <w:rFonts w:ascii="Arial" w:cs="Arial" w:eastAsia="Arial" w:hAnsi="Arial"/>
                  <w:sz w:val="18"/>
                  <w:szCs w:val="18"/>
                  <w:color w:val="auto"/>
                  <w:w w:val="99"/>
                </w:rPr>
                <w:t>2)</w:t>
              </w:r>
            </w:hyperlink>
          </w:p>
        </w:tc>
        <w:tc>
          <w:tcPr>
            <w:tcW w:w="10060" w:type="dxa"/>
            <w:vAlign w:val="bottom"/>
          </w:tcPr>
          <w:p>
            <w:pPr>
              <w:ind w:left="20"/>
              <w:spacing w:after="0"/>
              <w:rPr>
                <w:rFonts w:ascii="Arial" w:cs="Arial" w:eastAsia="Arial" w:hAnsi="Arial"/>
                <w:sz w:val="18"/>
                <w:szCs w:val="18"/>
                <w:color w:val="auto"/>
              </w:rPr>
            </w:pPr>
            <w:hyperlink w:anchor="page17">
              <w:r>
                <w:rPr>
                  <w:rFonts w:ascii="Arial" w:cs="Arial" w:eastAsia="Arial" w:hAnsi="Arial"/>
                  <w:sz w:val="18"/>
                  <w:szCs w:val="18"/>
                  <w:color w:val="auto"/>
                </w:rPr>
                <w:t>Management's Discussion and Analysis of Financial Condition and Results of Operations</w:t>
              </w:r>
            </w:hyperlink>
          </w:p>
        </w:tc>
        <w:tc>
          <w:tcPr>
            <w:tcW w:w="80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15</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8">
              <w:r>
                <w:rPr>
                  <w:rFonts w:ascii="Arial" w:cs="Arial" w:eastAsia="Arial" w:hAnsi="Arial"/>
                  <w:sz w:val="18"/>
                  <w:szCs w:val="18"/>
                  <w:color w:val="auto"/>
                  <w:w w:val="99"/>
                </w:rPr>
                <w:t>3)</w:t>
              </w:r>
            </w:hyperlink>
          </w:p>
        </w:tc>
        <w:tc>
          <w:tcPr>
            <w:tcW w:w="10060" w:type="dxa"/>
            <w:vAlign w:val="bottom"/>
          </w:tcPr>
          <w:p>
            <w:pPr>
              <w:ind w:left="20"/>
              <w:spacing w:after="0"/>
              <w:rPr>
                <w:rFonts w:ascii="Arial" w:cs="Arial" w:eastAsia="Arial" w:hAnsi="Arial"/>
                <w:sz w:val="18"/>
                <w:szCs w:val="18"/>
                <w:color w:val="auto"/>
              </w:rPr>
            </w:pPr>
            <w:hyperlink w:anchor="page28">
              <w:r>
                <w:rPr>
                  <w:rFonts w:ascii="Arial" w:cs="Arial" w:eastAsia="Arial" w:hAnsi="Arial"/>
                  <w:sz w:val="18"/>
                  <w:szCs w:val="18"/>
                  <w:color w:val="auto"/>
                </w:rPr>
                <w:t>Quantitative and Qualitative Disclosures about Market Risk</w:t>
              </w:r>
            </w:hyperlink>
          </w:p>
        </w:tc>
        <w:tc>
          <w:tcPr>
            <w:tcW w:w="8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8">
              <w:r>
                <w:rPr>
                  <w:rFonts w:ascii="Arial" w:cs="Arial" w:eastAsia="Arial" w:hAnsi="Arial"/>
                  <w:sz w:val="18"/>
                  <w:szCs w:val="18"/>
                  <w:color w:val="auto"/>
                  <w:w w:val="99"/>
                </w:rPr>
                <w:t>4)</w:t>
              </w:r>
            </w:hyperlink>
          </w:p>
        </w:tc>
        <w:tc>
          <w:tcPr>
            <w:tcW w:w="10060" w:type="dxa"/>
            <w:vAlign w:val="bottom"/>
          </w:tcPr>
          <w:p>
            <w:pPr>
              <w:ind w:left="20"/>
              <w:spacing w:after="0"/>
              <w:rPr>
                <w:rFonts w:ascii="Arial" w:cs="Arial" w:eastAsia="Arial" w:hAnsi="Arial"/>
                <w:sz w:val="18"/>
                <w:szCs w:val="18"/>
                <w:color w:val="auto"/>
              </w:rPr>
            </w:pPr>
            <w:hyperlink w:anchor="page28">
              <w:r>
                <w:rPr>
                  <w:rFonts w:ascii="Arial" w:cs="Arial" w:eastAsia="Arial" w:hAnsi="Arial"/>
                  <w:sz w:val="18"/>
                  <w:szCs w:val="18"/>
                  <w:color w:val="auto"/>
                </w:rPr>
                <w:t>Controls and Procedures</w:t>
              </w:r>
            </w:hyperlink>
          </w:p>
        </w:tc>
        <w:tc>
          <w:tcPr>
            <w:tcW w:w="8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594"/>
        </w:trPr>
        <w:tc>
          <w:tcPr>
            <w:tcW w:w="10580" w:type="dxa"/>
            <w:vAlign w:val="bottom"/>
            <w:gridSpan w:val="3"/>
          </w:tcPr>
          <w:p>
            <w:pPr>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PART II. OTHER INFORMATION</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9">
              <w:r>
                <w:rPr>
                  <w:rFonts w:ascii="Arial" w:cs="Arial" w:eastAsia="Arial" w:hAnsi="Arial"/>
                  <w:sz w:val="18"/>
                  <w:szCs w:val="18"/>
                  <w:color w:val="auto"/>
                  <w:w w:val="99"/>
                </w:rPr>
                <w:t>1)</w:t>
              </w:r>
            </w:hyperlink>
          </w:p>
        </w:tc>
        <w:tc>
          <w:tcPr>
            <w:tcW w:w="10060" w:type="dxa"/>
            <w:vAlign w:val="bottom"/>
          </w:tcPr>
          <w:p>
            <w:pPr>
              <w:ind w:left="20"/>
              <w:spacing w:after="0"/>
              <w:rPr>
                <w:rFonts w:ascii="Arial" w:cs="Arial" w:eastAsia="Arial" w:hAnsi="Arial"/>
                <w:sz w:val="18"/>
                <w:szCs w:val="18"/>
                <w:color w:val="auto"/>
              </w:rPr>
            </w:pPr>
            <w:hyperlink w:anchor="page29">
              <w:r>
                <w:rPr>
                  <w:rFonts w:ascii="Arial" w:cs="Arial" w:eastAsia="Arial" w:hAnsi="Arial"/>
                  <w:sz w:val="18"/>
                  <w:szCs w:val="18"/>
                  <w:color w:val="auto"/>
                </w:rPr>
                <w:t>Legal Proceedings</w:t>
              </w:r>
            </w:hyperlink>
          </w:p>
        </w:tc>
        <w:tc>
          <w:tcPr>
            <w:tcW w:w="80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0300" w:type="dxa"/>
            <w:vAlign w:val="bottom"/>
            <w:gridSpan w:val="2"/>
          </w:tcPr>
          <w:p>
            <w:pPr>
              <w:ind w:left="60"/>
              <w:spacing w:after="0"/>
              <w:rPr>
                <w:rFonts w:ascii="Arial" w:cs="Arial" w:eastAsia="Arial" w:hAnsi="Arial"/>
                <w:sz w:val="18"/>
                <w:szCs w:val="18"/>
                <w:color w:val="auto"/>
              </w:rPr>
            </w:pPr>
            <w:hyperlink w:anchor="page29">
              <w:r>
                <w:rPr>
                  <w:rFonts w:ascii="Arial" w:cs="Arial" w:eastAsia="Arial" w:hAnsi="Arial"/>
                  <w:sz w:val="18"/>
                  <w:szCs w:val="18"/>
                  <w:color w:val="auto"/>
                </w:rPr>
                <w:t>1A) Risk Factors</w:t>
              </w:r>
            </w:hyperlink>
          </w:p>
        </w:tc>
        <w:tc>
          <w:tcPr>
            <w:tcW w:w="80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0">
              <w:r>
                <w:rPr>
                  <w:rFonts w:ascii="Arial" w:cs="Arial" w:eastAsia="Arial" w:hAnsi="Arial"/>
                  <w:sz w:val="18"/>
                  <w:szCs w:val="18"/>
                  <w:color w:val="auto"/>
                  <w:w w:val="99"/>
                </w:rPr>
                <w:t>6)</w:t>
              </w:r>
            </w:hyperlink>
          </w:p>
        </w:tc>
        <w:tc>
          <w:tcPr>
            <w:tcW w:w="10060" w:type="dxa"/>
            <w:vAlign w:val="bottom"/>
          </w:tcPr>
          <w:p>
            <w:pPr>
              <w:ind w:left="20"/>
              <w:spacing w:after="0"/>
              <w:rPr>
                <w:rFonts w:ascii="Arial" w:cs="Arial" w:eastAsia="Arial" w:hAnsi="Arial"/>
                <w:sz w:val="18"/>
                <w:szCs w:val="18"/>
                <w:color w:val="auto"/>
              </w:rPr>
            </w:pPr>
            <w:hyperlink w:anchor="page30">
              <w:r>
                <w:rPr>
                  <w:rFonts w:ascii="Arial" w:cs="Arial" w:eastAsia="Arial" w:hAnsi="Arial"/>
                  <w:sz w:val="18"/>
                  <w:szCs w:val="18"/>
                  <w:color w:val="auto"/>
                </w:rPr>
                <w:t>Exhibits</w:t>
              </w:r>
            </w:hyperlink>
          </w:p>
        </w:tc>
        <w:tc>
          <w:tcPr>
            <w:tcW w:w="80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4"/>
        </w:trPr>
        <w:tc>
          <w:tcPr>
            <w:tcW w:w="8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78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(in thousands of dollars,</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except unit amounts)</w:t>
            </w: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27,008</w:t>
            </w:r>
          </w:p>
        </w:tc>
        <w:tc>
          <w:tcPr>
            <w:tcW w:w="0" w:type="dxa"/>
            <w:vAlign w:val="bottom"/>
          </w:tcPr>
          <w:p>
            <w:pPr>
              <w:spacing w:after="0"/>
              <w:rPr>
                <w:sz w:val="1"/>
                <w:szCs w:val="1"/>
                <w:color w:val="auto"/>
              </w:rPr>
            </w:pPr>
          </w:p>
        </w:tc>
      </w:tr>
      <w:tr>
        <w:trPr>
          <w:trHeight w:val="229"/>
        </w:trPr>
        <w:tc>
          <w:tcPr>
            <w:tcW w:w="8360" w:type="dxa"/>
            <w:vAlign w:val="bottom"/>
          </w:tcPr>
          <w:p>
            <w:pPr>
              <w:ind w:left="380"/>
              <w:spacing w:after="0"/>
              <w:rPr>
                <w:sz w:val="20"/>
                <w:szCs w:val="20"/>
                <w:color w:val="auto"/>
              </w:rPr>
            </w:pPr>
            <w:r>
              <w:rPr>
                <w:rFonts w:ascii="Arial" w:cs="Arial" w:eastAsia="Arial" w:hAnsi="Arial"/>
                <w:sz w:val="18"/>
                <w:szCs w:val="18"/>
                <w:color w:val="auto"/>
              </w:rPr>
              <w:t>Receivable under the Investment Management Agreement—Westlake Chemical</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520"/>
              <w:spacing w:after="0"/>
              <w:rPr>
                <w:sz w:val="20"/>
                <w:szCs w:val="20"/>
                <w:color w:val="auto"/>
              </w:rPr>
            </w:pPr>
            <w:r>
              <w:rPr>
                <w:rFonts w:ascii="Arial" w:cs="Arial" w:eastAsia="Arial" w:hAnsi="Arial"/>
                <w:sz w:val="18"/>
                <w:szCs w:val="18"/>
                <w:color w:val="auto"/>
              </w:rPr>
              <w:t>Corporation ("Westlake")</w:t>
            </w:r>
          </w:p>
        </w:tc>
        <w:tc>
          <w:tcPr>
            <w:tcW w:w="28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143,741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136,510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net—Westlake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43,884</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receivable, net—third parties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16,380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18,083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5,590</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242,756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231,389</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1,173,330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1,196,245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charges and other assets, net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70,275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81,828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1,492,175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1,515,276</w:t>
            </w:r>
          </w:p>
        </w:tc>
        <w:tc>
          <w:tcPr>
            <w:tcW w:w="0" w:type="dxa"/>
            <w:vAlign w:val="bottom"/>
          </w:tcPr>
          <w:p>
            <w:pPr>
              <w:spacing w:after="0"/>
              <w:rPr>
                <w:sz w:val="1"/>
                <w:szCs w:val="1"/>
                <w:color w:val="auto"/>
              </w:rPr>
            </w:pPr>
          </w:p>
        </w:tc>
      </w:tr>
      <w:tr>
        <w:trPr>
          <w:trHeight w:val="20"/>
        </w:trPr>
        <w:tc>
          <w:tcPr>
            <w:tcW w:w="83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payable—Westlake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21,229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14,027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payable—third parties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10,516</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18,996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15,697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40,240</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Long-term debt payable to Westlake</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477,608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473,960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527,708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516,527</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Commitments and contingencies (Note 12)</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rPr>
              <w:t>Common unitholders—public (18,115,036 and 18,112,500 units issued and outstanding at</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June 30, 2018 and December 31, 2017, respectively)</w:t>
            </w:r>
          </w:p>
        </w:tc>
        <w:tc>
          <w:tcPr>
            <w:tcW w:w="28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410,754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411,228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unitholder—Westlake (14,122,230 and 14,122,230 units issued and outstanding at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June 30, 2018 and December 31, 2017,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50,265</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General partner—Westlake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(241,958)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Westlake Chemical Partners LP partners' capital</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218,152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219,814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in Westlake Chemical OpCo LP ("OpCo")</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746,315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778,935</w:t>
            </w:r>
          </w:p>
        </w:tc>
        <w:tc>
          <w:tcPr>
            <w:tcW w:w="0" w:type="dxa"/>
            <w:vAlign w:val="bottom"/>
          </w:tcPr>
          <w:p>
            <w:pPr>
              <w:spacing w:after="0"/>
              <w:rPr>
                <w:sz w:val="1"/>
                <w:szCs w:val="1"/>
                <w:color w:val="auto"/>
              </w:rPr>
            </w:pP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964,467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998,749</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1,492,175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1,515,276</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5160" w:type="dxa"/>
        <w:tblCellMar>
          <w:top w:w="0" w:type="dxa"/>
          <w:left w:w="0" w:type="dxa"/>
          <w:bottom w:w="0" w:type="dxa"/>
          <w:right w:w="0" w:type="dxa"/>
        </w:tblCellMar>
      </w:tblPr>
      <w:tr>
        <w:trPr>
          <w:trHeight w:val="192"/>
        </w:trPr>
        <w:tc>
          <w:tcPr>
            <w:tcW w:w="3200" w:type="dxa"/>
            <w:vAlign w:val="bottom"/>
            <w:gridSpan w:val="4"/>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3060" w:type="dxa"/>
            <w:vAlign w:val="bottom"/>
            <w:gridSpan w:val="3"/>
          </w:tcPr>
          <w:p>
            <w:pPr>
              <w:jc w:val="right"/>
              <w:ind w:right="60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150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r>
    </w:tbl>
    <w:p>
      <w:pPr>
        <w:spacing w:after="0" w:line="193" w:lineRule="exact"/>
        <w:rPr>
          <w:sz w:val="20"/>
          <w:szCs w:val="20"/>
          <w:color w:val="auto"/>
        </w:rPr>
      </w:pPr>
    </w:p>
    <w:p>
      <w:pPr>
        <w:ind w:left="6340"/>
        <w:spacing w:after="0"/>
        <w:rPr>
          <w:sz w:val="20"/>
          <w:szCs w:val="20"/>
          <w:color w:val="auto"/>
        </w:rPr>
      </w:pPr>
      <w:r>
        <w:rPr>
          <w:rFonts w:ascii="Arial" w:cs="Arial" w:eastAsia="Arial" w:hAnsi="Arial"/>
          <w:sz w:val="14"/>
          <w:szCs w:val="14"/>
          <w:b w:val="1"/>
          <w:bCs w:val="1"/>
          <w:color w:val="auto"/>
        </w:rPr>
        <w:t>(in thousands of dollars, except unit amounts and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253,673</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240,989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488,704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453,919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co-product, ethylene and other sales—third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parties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48,302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113,642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301,975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290,113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586,247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567,561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204,857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190,542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396,624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370,029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97,118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99,571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189,623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197,532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7,375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89,743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92,685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175,115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182,818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(11,402)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84,779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86,767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165,776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173,098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84,476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86,470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165,190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172,498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interest in OpCo</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71,719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152,759</w:t>
            </w:r>
          </w:p>
        </w:tc>
        <w:tc>
          <w:tcPr>
            <w:tcW w:w="0" w:type="dxa"/>
            <w:vAlign w:val="bottom"/>
          </w:tcPr>
          <w:p>
            <w:pPr>
              <w:spacing w:after="0"/>
              <w:rPr>
                <w:sz w:val="1"/>
                <w:szCs w:val="1"/>
                <w:color w:val="auto"/>
              </w:rPr>
            </w:pPr>
          </w:p>
        </w:tc>
      </w:tr>
      <w:tr>
        <w:trPr>
          <w:trHeight w:val="205"/>
        </w:trPr>
        <w:tc>
          <w:tcPr>
            <w:tcW w:w="516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Westlake Chemical</w:t>
            </w: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12,757</w:t>
            </w:r>
          </w:p>
        </w:tc>
        <w:tc>
          <w:tcPr>
            <w:tcW w:w="12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9,975</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25,052</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19,739</w:t>
            </w: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Partners LP</w:t>
            </w:r>
          </w:p>
        </w:tc>
        <w:tc>
          <w:tcPr>
            <w:tcW w:w="34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income per limited partner unit attributable to</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Westlake Chemical Partners LP (basic</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Common units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Subordinated units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limited partner units outstanding</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units—public</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18,115,036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12,937,500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18,114,630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12,937,500</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Common units—Westlake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14,122,230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1,436,115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14,122,230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1,436,115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Subordinated units—Westlake</w:t>
            </w:r>
          </w:p>
        </w:tc>
        <w:tc>
          <w:tcPr>
            <w:tcW w:w="3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12,686,115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12,686,115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Distributions per common unit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0.3975</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0.3549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0.7839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0.6999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i w:val="1"/>
                <w:iCs w:val="1"/>
                <w:color w:val="auto"/>
                <w:w w:val="89"/>
              </w:rPr>
              <w:t>Partnership</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Subordinated</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General</w:t>
            </w:r>
          </w:p>
        </w:tc>
        <w:tc>
          <w:tcPr>
            <w:tcW w:w="11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Noncontrolling</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1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Unitholders</w:t>
            </w:r>
            <w:r>
              <w:rPr>
                <w:rFonts w:ascii="Arial" w:cs="Arial" w:eastAsia="Arial" w:hAnsi="Arial"/>
                <w:sz w:val="14"/>
                <w:szCs w:val="14"/>
                <w:color w:val="auto"/>
                <w:w w:val="93"/>
              </w:rPr>
              <w:t>—</w:t>
            </w: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Unitholder</w:t>
            </w:r>
            <w:r>
              <w:rPr>
                <w:rFonts w:ascii="Arial" w:cs="Arial" w:eastAsia="Arial" w:hAnsi="Arial"/>
                <w:sz w:val="14"/>
                <w:szCs w:val="14"/>
                <w:color w:val="auto"/>
                <w:w w:val="97"/>
              </w:rPr>
              <w:t>—</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Unitholder</w:t>
            </w:r>
            <w:r>
              <w:rPr>
                <w:rFonts w:ascii="Arial" w:cs="Arial" w:eastAsia="Arial" w:hAnsi="Arial"/>
                <w:sz w:val="14"/>
                <w:szCs w:val="14"/>
                <w:color w:val="auto"/>
                <w:w w:val="95"/>
              </w:rPr>
              <w:t>—</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Partner</w:t>
            </w:r>
            <w:r>
              <w:rPr>
                <w:rFonts w:ascii="Arial" w:cs="Arial" w:eastAsia="Arial" w:hAnsi="Arial"/>
                <w:sz w:val="14"/>
                <w:szCs w:val="14"/>
                <w:color w:val="auto"/>
                <w:w w:val="98"/>
              </w:rPr>
              <w:t>—</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2"/>
                <w:szCs w:val="12"/>
                <w:color w:val="auto"/>
              </w:rPr>
            </w:pPr>
          </w:p>
        </w:tc>
        <w:tc>
          <w:tcPr>
            <w:tcW w:w="8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0"/>
              </w:rPr>
              <w:t>Public</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2"/>
              </w:rPr>
              <w:t>Westlake</w:t>
            </w:r>
          </w:p>
        </w:tc>
        <w:tc>
          <w:tcPr>
            <w:tcW w:w="12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5"/>
              </w:rPr>
              <w:t>in OpCo</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6"/>
          </w:tcPr>
          <w:p>
            <w:pPr>
              <w:ind w:left="700"/>
              <w:spacing w:after="0"/>
              <w:rPr>
                <w:sz w:val="20"/>
                <w:szCs w:val="20"/>
                <w:color w:val="auto"/>
              </w:rPr>
            </w:pPr>
            <w:r>
              <w:rPr>
                <w:rFonts w:ascii="Arial" w:cs="Arial" w:eastAsia="Arial" w:hAnsi="Arial"/>
                <w:sz w:val="14"/>
                <w:szCs w:val="14"/>
                <w:b w:val="1"/>
                <w:bCs w:val="1"/>
                <w:color w:val="auto"/>
                <w:w w:val="99"/>
              </w:rPr>
              <w:t>(in thousands of dollars)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297,367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42,534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(242,430)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818,479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920,963</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9,174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8,994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152,759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172,498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effect of cash flow hedge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Quarterly distributions to unitholders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(19,313)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Quarterly distribution to noncontrolling</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retained in</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OpCo by Westlake</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(178,388)</w:t>
            </w:r>
          </w:p>
        </w:tc>
        <w:tc>
          <w:tcPr>
            <w:tcW w:w="0" w:type="dxa"/>
            <w:vAlign w:val="bottom"/>
          </w:tcPr>
          <w:p>
            <w:pPr>
              <w:spacing w:after="0"/>
              <w:rPr>
                <w:sz w:val="1"/>
                <w:szCs w:val="1"/>
                <w:color w:val="auto"/>
              </w:rPr>
            </w:pPr>
          </w:p>
        </w:tc>
      </w:tr>
      <w:tr>
        <w:trPr>
          <w:trHeight w:val="257"/>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Balances at June 30, 2017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297,486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4,825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42,649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(242,250)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792,850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895,803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411,228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(241,958)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778,935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998,749</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13,666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10,653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140,138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165,190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effect of cash flow hedge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Units issued for vested phantom units</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Quarterly distributions to unitholders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(26,617)</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Quarterly distribution to noncontrolling</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8"/>
                <w:szCs w:val="18"/>
                <w:color w:val="auto"/>
              </w:rPr>
              <w:t>interest retained in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60"/>
              <w:spacing w:after="0"/>
              <w:rPr>
                <w:sz w:val="20"/>
                <w:szCs w:val="20"/>
                <w:color w:val="auto"/>
              </w:rPr>
            </w:pPr>
            <w:r>
              <w:rPr>
                <w:rFonts w:ascii="Arial" w:cs="Arial" w:eastAsia="Arial" w:hAnsi="Arial"/>
                <w:sz w:val="18"/>
                <w:szCs w:val="18"/>
                <w:color w:val="auto"/>
              </w:rPr>
              <w:t>OpCo by Westlake</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(172,758)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(172,758)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June 30, 2018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410,754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49,848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746,315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964,467</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3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385"/>
        </w:trPr>
        <w:tc>
          <w:tcPr>
            <w:tcW w:w="8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(in thousands of dollars)</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165,190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172,498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55,284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57,449</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(gain) from disposition of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losses (gains), net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(997)</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receivable—third parties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accounts receivable—Westlake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49,538</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and 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(9,563)</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220,571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262,286</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(43,996)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Maturities of investments with Westlake under the Investment Management Agreement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178,000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with Westlake under the Investment Management Agreement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1,799</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(42,197)</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debt payable to Westlake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20,384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Repayment of debt payable to Westlake</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(26,733)</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Quarterly distributions to noncontrolling interest retained in OpCo by Westlake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(178,388)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Quarterly distributions to unitholders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(19,313)</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(195,727)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(204,050)</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16,039</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88,900</w:t>
            </w: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28,483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104,939</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742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Basis of Presentation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 On September 29, 2017, the Partnership completed its secondary offering of 5,175,000 common units at a price of $22.00 per unit.</w:t>
      </w:r>
    </w:p>
    <w:p>
      <w:pPr>
        <w:spacing w:after="0" w:line="13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connection with the IPO, the Partnership acquired a 10.6% interest in Westlake Chemical OpCo LP ("OpCo") and a 100% interest in Westlake Chemical OpCo GP LLC ("OpCo GP"), which is the general partner of OpCo. On April 29, 2015, the Partnership purchased an additional 2.7% newly-issued limited partner interest in OpCo for approximately $135,341, resulting in an aggregate 13.3% limited partner interest in OpCo effective April 1, 2015. On September 29, 2017, the Partnership purchased an additional 5.0% newly-issued limited partner interest in OpCo for approximately $229,207, resulting in an aggregate 18.3% limited partner interest in OpCo, effective as of July 1, 2017. The remaining 81.7% limited partner interest in OpCo is owned by Westlake Chemical Corporation.</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OpCo owns three ethylene production facilities and a common carrier ethylene pipeline.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392"/>
        <w:spacing w:after="0" w:line="291" w:lineRule="auto"/>
        <w:rPr>
          <w:sz w:val="20"/>
          <w:szCs w:val="20"/>
          <w:color w:val="auto"/>
        </w:rPr>
      </w:pPr>
      <w:r>
        <w:rPr>
          <w:rFonts w:ascii="Arial" w:cs="Arial" w:eastAsia="Arial" w:hAnsi="Arial"/>
          <w:sz w:val="16"/>
          <w:szCs w:val="16"/>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December 31, 2017 consolidated financial statements and notes thereto of the Partnership included in the annual report on Form 10-K for the fiscal year ended December 31, 2017 (the "2017 Form 10-K"), filed with the SEC on March 1, 2018. These financial statements have been prepared in conformity with the accounting principles and practices as disclosed in the notes to the consolidated financial statements of the Partnership for the fiscal year ended December 31, 2017 with the exceptions of those accounting standards adopted in the first quarter of 2018 as discussed in Note 1.</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References to "Westlake" refer collectively to Westlake Chemical Corporation and its subsidiaries, other than the Partnership, OpCo and OpCo GP.</w:t>
      </w:r>
    </w:p>
    <w:p>
      <w:pPr>
        <w:spacing w:after="0" w:line="183" w:lineRule="exact"/>
        <w:rPr>
          <w:sz w:val="20"/>
          <w:szCs w:val="20"/>
          <w:color w:val="auto"/>
        </w:rPr>
      </w:pPr>
    </w:p>
    <w:p>
      <w:pPr>
        <w:ind w:right="40" w:firstLine="392"/>
        <w:spacing w:after="0" w:line="271" w:lineRule="auto"/>
        <w:rPr>
          <w:sz w:val="20"/>
          <w:szCs w:val="20"/>
          <w:color w:val="auto"/>
        </w:rPr>
      </w:pPr>
      <w:r>
        <w:rPr>
          <w:rFonts w:ascii="Arial" w:cs="Arial" w:eastAsia="Arial" w:hAnsi="Arial"/>
          <w:sz w:val="17"/>
          <w:szCs w:val="17"/>
          <w:color w:val="auto"/>
        </w:rPr>
        <w:t>The Partnership holds an 18.3% limited partner interest and the entire non-economic general partner interest in OpCo. The remaining 81.7% limited partner interest in OpCo is owned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81.7% is recorded as noncontrolling interest in the Partnership's consolidated financial statements.</w:t>
      </w:r>
    </w:p>
    <w:p>
      <w:pPr>
        <w:spacing w:after="0" w:line="12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June 30, 2018, its results of operations for the three and six months ended June 30, 2018 and 2017 and the changes in its cash position for the six months ended June 30, 2018 and 2017.</w:t>
      </w:r>
    </w:p>
    <w:p>
      <w:pPr>
        <w:spacing w:after="0" w:line="133"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Results of operations and changes in cash position for the interim periods presented are not necessarily indicative of the results that will be realized for the fiscal year ending December 31, 2018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25" w:right="2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(ASU No. 2016-02)</w:t>
      </w:r>
    </w:p>
    <w:p>
      <w:pPr>
        <w:spacing w:after="0" w:line="90"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In February 2016, the FASB issued an accounting standards update on a new lease standard that will supersede the existing lease guidance. The standard requires a lessee to recognize assets and liabilities related to long-term leases that are classified as operating leases under current guidance on its balance sheet. An asset would be recognized related to the right to use the underlying asset and a liability would be recognized related to the obligation to make lease payments over the term of the lease. The standard also requires expanded disclosures related to leases. The accounting standard will be effective for reporting periods beginning after December 15, 2018. The standard requires adoption using a modified retrospective approach and allows for the election of certain transition practical expedients. The Partnership is in the process of reviewing its existing lease agreements and evaluating the impact that the new accounting guidance will have on its consolidated financial position, results of operations and cash flows.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No. 2016-13)</w:t>
      </w:r>
    </w:p>
    <w:p>
      <w:pPr>
        <w:spacing w:after="0" w:line="90"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In June 2016, the FASB issued an accounting standards update providing new guidance for the accounting for credit losses on loans and other financial instruments. The new guidance introduces an approach based on expected losses to estimate credit losses on certain types of financial instruments. The standard also modifies the impairment model for available-for-sale debt securities and provides for a simplified accounting model for purchased financial assets with credit deterioration since their origination. The accounting standard will be effective for reporting periods beginning after December 15, 2019 and is not expected to have a material impact on the Partnership's consolidated financial position, results of operations and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 (ASU No. 2014-09)</w:t>
      </w:r>
    </w:p>
    <w:p>
      <w:pPr>
        <w:spacing w:after="0" w:line="90"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In May 2014, the Financial Accounting Standards Board ("FASB") issued an accounting standards update on a comprehensive new revenue recognition standard that supersedes virtually all previously issued revenue recognition guidance. The new accounting guidance creates a framework by which an entity will allocate the transaction price to separate performance obligations and recognize revenue when each performance obligation is satisfied. Under the new standard, entities are required to use judgment and make estimates, including identifying performance obligations in a contract, estimating the amount of variable consideration to include in the transaction price, allocating the transaction price to each separate performance obligation and determining when an entity satisfies its performance obligations. The standard allows for "modified retrospective" adoption, meaning the standard is applied only to the most current period presented in the financial statements with a cumulative catch-up as of the current period.</w:t>
      </w:r>
    </w:p>
    <w:p>
      <w:pPr>
        <w:spacing w:after="0" w:line="113"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 xml:space="preserve">The Partnership adopted ASC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effective January 1, 2018. The Company applied the modified retrospective transition method to all contracts that were not completed as of the adoption date. Periods prior to January 1, 2018 were not adjusted and are reported under the accounting standards that were in place during those periods. There was no cumulative effect to the Partnership’s consolidated January 1, 2018 balance sheet for the adoption of this accounting standard. There was no impact of ASC 606 adoption on the financial statements for the six months ended June 30, 2018 as compared with the guidance that was in effect prior to January 1, 2018.</w:t>
      </w:r>
    </w:p>
    <w:p>
      <w:pPr>
        <w:spacing w:after="0" w:line="11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Revenue is recognized when OpCo transfers control of inventories to customers. Amounts recognized as revenues reflect the consideration to which OpCo expects to be entitled in exchange for those inventories. The Partnership and OpCo incorporate production volume and production cost forecasts in the estimated transaction prices from sales to Westlake under the Ethylene Sales Agreement.</w:t>
      </w:r>
    </w:p>
    <w:p>
      <w:pPr>
        <w:spacing w:after="0" w:line="12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Partnership recognizes revenue and accounts receivable upon transferring control of inventories to its customers. Ethylene sold to Westlake under the Ethylene Sales Agreement is transferred to Westlake immediately after production and recognized in sales. Control of inventories sold to third parties generally transfers upon shipment to the customer. The Partnership excludes taxes collected on behalf of customers from the estimated contract price. Provisions for discounts, rebates and returns are incorporated in the estimate of variable consideration and reflected as reduction to revenue in the same period as the related sales.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Partnership does not disclose the value of unsatisfied performance obligations because its contracts with customers (i) have an original expected duration of one year or less or (ii) have only variable consideration which is allocated to wholly unsatisfied performance obligations that is calculated based on market prices at a specified date and is allocated to wholly unsatisfied performance obligations.</w:t>
      </w:r>
    </w:p>
    <w:p>
      <w:pPr>
        <w:spacing w:after="0" w:line="12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Partnership generates a substantial majority of its revenue from sales to Westlake under the Ethylene Sales Agreement (discussed in Note 2 to the 2017 Form 10-K). The Ethylene Sales Agreement is intended to generate a long-term, fixed cash margin per pound. Partnership’s direct commodity price risk is limited to the sales to third parties. Refer to the Partnership’s Consolidated Statement of Operations for the disaggregation of net sales to Westlake and net sales to third parties.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(ASU No. 2016-15)</w:t>
      </w:r>
    </w:p>
    <w:p>
      <w:pPr>
        <w:spacing w:after="0" w:line="90"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In August 2016, the FASB issued an accounting standards update providing new guidance on the classification of certain cash receipts and payments including debt extinguishment costs, debt prepayment costs, settlement of zero-coupon debt instruments, contingent consideration payments, proceeds from the settlement of insurance claims and life insurance policies and distributions received from equity method investees in the statement of cash flows. This update is required to be applied using the retrospective transition method to each period presented unless it is impracticable to be applied retrospectively. In such situation, this guidance is to be applied prospectively. The accounting standard became effective for reporting periods beginning after December 15, 2017. The Partnership adopted this accounting standard effective January 1, 2018, and the adoption did not have any impact on the Partnership's consolidated financial position, results of operations and cash flow.</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 (ASU No. 2017-01)</w:t>
      </w:r>
    </w:p>
    <w:p>
      <w:pPr>
        <w:spacing w:after="0" w:line="90"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In January 2017, the FASB issued an accounting standards update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so, the set of transferred assets and activities is not a business. The guidance also requires a business to include at least one substantive process and narrows the definition of outputs by more closely aligning it with how outputs are described in the FASB ASC Topic 606, Revenue from contracts with customers. The accounting standard became effective for reporting periods beginning after December 15, 2017. The Partnership adopted this accounting standard effective January 1, 2018, and the adoption did not have any impact on the Partnership's consolidated financial position, results of operations and cash flow.</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 Gains and Losses from the Derecognition of Nonfinancial Assets (ASU No. 2017-05)</w:t>
      </w:r>
    </w:p>
    <w:p>
      <w:pPr>
        <w:spacing w:after="0" w:line="90"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In February 2017, the FASB issued an accounting standards update to clarify the scope of guidance related to other income—gains and losses from the derecognition of nonfinancial assets, and to add guidance for partial sales of nonfinancial assets. The new guidance clarifies that an in substance nonfinancial asset is an asset or group of assets for which substantially all of the fair value consists of nonfinancial assets and the group or subsidiary is not a business. The guidance also outlines that when an entity transfers its controlling interest in a nonfinancial asset, but retains a noncontrolling interest, it will measure the retained interest at fair value resulting in full gain or loss recognition upon sale of the controlling interest. The accounting standard became effective for reporting periods beginning after December 15, 2017. The Partnership adopted this accounting standard effective January 1, 2018, and the adoption did not have any impact on the Partnership's consolidated financial position, results of operations and cash flow.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Receivable—Third Parties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receivable—third parties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260" w:type="dxa"/>
            <w:vAlign w:val="bottom"/>
            <w:tcBorders>
              <w:bottom w:val="single" w:sz="8" w:color="CCEEFF"/>
            </w:tcBorders>
          </w:tcPr>
          <w:p>
            <w:pPr>
              <w:spacing w:after="0"/>
              <w:rPr>
                <w:sz w:val="16"/>
                <w:szCs w:val="16"/>
                <w:color w:val="auto"/>
              </w:rPr>
            </w:pPr>
          </w:p>
        </w:tc>
        <w:tc>
          <w:tcPr>
            <w:tcW w:w="4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customers</w:t>
            </w:r>
          </w:p>
        </w:tc>
        <w:tc>
          <w:tcPr>
            <w:tcW w:w="4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17,510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18,794</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4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 net—third parties</w:t>
            </w:r>
          </w:p>
        </w:tc>
        <w:tc>
          <w:tcPr>
            <w:tcW w:w="4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16,380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18,083</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bottom w:val="single" w:sz="8" w:color="CCEEFF"/>
            </w:tcBorders>
            <w:vMerge w:val="restart"/>
          </w:tcPr>
          <w:p>
            <w:pPr>
              <w:jc w:val="right"/>
              <w:ind w:right="2510"/>
              <w:spacing w:after="0"/>
              <w:rPr>
                <w:sz w:val="20"/>
                <w:szCs w:val="20"/>
                <w:color w:val="auto"/>
              </w:rPr>
            </w:pPr>
            <w:r>
              <w:rPr>
                <w:rFonts w:ascii="Arial" w:cs="Arial" w:eastAsia="Arial" w:hAnsi="Arial"/>
                <w:sz w:val="18"/>
                <w:szCs w:val="18"/>
                <w:color w:val="auto"/>
              </w:rPr>
              <w:t>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6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5,244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Feedstock, additives and chemicals</w:t>
            </w: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346</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6,128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5,590</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94" w:lineRule="exact"/>
        <w:rPr>
          <w:sz w:val="20"/>
          <w:szCs w:val="20"/>
          <w:color w:val="auto"/>
        </w:rPr>
      </w:pPr>
    </w:p>
    <w:p>
      <w:pPr>
        <w:jc w:val="both"/>
        <w:ind w:right="100" w:firstLine="432"/>
        <w:spacing w:after="0" w:line="286" w:lineRule="auto"/>
        <w:rPr>
          <w:sz w:val="20"/>
          <w:szCs w:val="20"/>
          <w:color w:val="auto"/>
        </w:rPr>
      </w:pPr>
      <w:r>
        <w:rPr>
          <w:rFonts w:ascii="Arial" w:cs="Arial" w:eastAsia="Arial" w:hAnsi="Arial"/>
          <w:sz w:val="17"/>
          <w:szCs w:val="17"/>
          <w:color w:val="auto"/>
        </w:rPr>
        <w:t>Depreciation expense on property, plant and equipment of $22,044 and $22,251 is included in cost of sales in the consolidated statements of operations for the three months ended June 30, 2018 and 2017, respectively. Depreciation expense on property, plant and equipment of $44,201 and $45,664 is included in cost of sales in the consolidated statements of operations for the six months ended June 30, 2018 and 2017,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Assets</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Amortization expense on other assets of $5,542 and $5,047 is included in costs of sales in the consolidated statements of operations for the three months ended June 30, 2018 and 2017, respectively. Amortization expense on other assets of $11,083 and $11,785 is included in costs of sales in the consolidated statements of operations for the six months ended June 30, 2018 and 2017, respectively.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Distributions and Net Income Per Limited Partner Unit</w:t>
      </w:r>
    </w:p>
    <w:p>
      <w:pPr>
        <w:spacing w:after="0" w:line="94" w:lineRule="exact"/>
        <w:rPr>
          <w:sz w:val="20"/>
          <w:szCs w:val="20"/>
          <w:color w:val="auto"/>
        </w:rPr>
      </w:pPr>
    </w:p>
    <w:p>
      <w:pPr>
        <w:ind w:right="60" w:firstLine="392"/>
        <w:spacing w:after="0" w:line="264" w:lineRule="auto"/>
        <w:rPr>
          <w:sz w:val="20"/>
          <w:szCs w:val="20"/>
          <w:color w:val="auto"/>
        </w:rPr>
      </w:pPr>
      <w:r>
        <w:rPr>
          <w:rFonts w:ascii="Arial" w:cs="Arial" w:eastAsia="Arial" w:hAnsi="Arial"/>
          <w:sz w:val="18"/>
          <w:szCs w:val="18"/>
          <w:color w:val="auto"/>
        </w:rPr>
        <w:t>On July 31, 2018, the board of directors of Westlake Chemical Partners GP LLC ("Westlake GP"), the Partnership's general partner, declared a quarterly cash distribution for the period from April 1, 2018 through June 30, 2018 of $0.4088 per unit. This distribution is payable on August 24, 2018 to the unitholders of record as of August 10, 2018.</w:t>
      </w:r>
    </w:p>
    <w:p>
      <w:pPr>
        <w:spacing w:after="0" w:line="127" w:lineRule="exact"/>
        <w:rPr>
          <w:sz w:val="20"/>
          <w:szCs w:val="20"/>
          <w:color w:val="auto"/>
        </w:rPr>
      </w:pPr>
    </w:p>
    <w:p>
      <w:pPr>
        <w:ind w:right="120" w:firstLine="392"/>
        <w:spacing w:after="0" w:line="257" w:lineRule="auto"/>
        <w:rPr>
          <w:sz w:val="20"/>
          <w:szCs w:val="20"/>
          <w:color w:val="auto"/>
        </w:rPr>
      </w:pPr>
      <w:r>
        <w:rPr>
          <w:rFonts w:ascii="Arial" w:cs="Arial" w:eastAsia="Arial" w:hAnsi="Arial"/>
          <w:sz w:val="18"/>
          <w:szCs w:val="18"/>
          <w:color w:val="auto"/>
        </w:rPr>
        <w:t>On July 27, 2018, the Partnership Agreement was amended to revise the minimum quarterly distribution thresholds for the Partnership's incentive distribution rights. The amended Partnership Agreement provides that the Partnership will distribute cash each quarter to all the unitholders, pro-rata, until each unit has received a distribution of $1.2938. If cash distributions to the Partnership's unitholders exceed $1.2938 per unit in any quarter, the Partnership's unitholders and Westlake, as the holder of the Partnership's incentive distribution rights, will receive distributions according to the following percentage allocations: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Marginal Percentage Interest in Distributions</w:t>
            </w:r>
          </w:p>
        </w:tc>
      </w:tr>
      <w:tr>
        <w:trPr>
          <w:trHeight w:val="264"/>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Quarterly Distribution Per Unit</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Unitholders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IDR Holders</w:t>
            </w: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Above $1.2938 up to $1.4063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Above $1.4063 up to $1.6875</w:t>
            </w:r>
          </w:p>
        </w:tc>
        <w:tc>
          <w:tcPr>
            <w:tcW w:w="15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Above $1.6875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8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Partnership's distribution for the three months ended June 30, 2018 did not exceed the $1.2938 per unit threshold, and, as a result of the amendment, no distribution was made with respect to the Partnership's incentive distribution rights to Westlake, as the holder of the Partnership's incentive distribution rights.</w:t>
      </w:r>
    </w:p>
    <w:p>
      <w:pPr>
        <w:spacing w:after="0" w:line="127" w:lineRule="exact"/>
        <w:rPr>
          <w:sz w:val="20"/>
          <w:szCs w:val="20"/>
          <w:color w:val="auto"/>
        </w:rPr>
      </w:pPr>
    </w:p>
    <w:p>
      <w:pPr>
        <w:ind w:right="80" w:firstLine="392"/>
        <w:spacing w:after="0" w:line="277" w:lineRule="auto"/>
        <w:rPr>
          <w:sz w:val="20"/>
          <w:szCs w:val="20"/>
          <w:color w:val="auto"/>
        </w:rPr>
      </w:pPr>
      <w:r>
        <w:rPr>
          <w:rFonts w:ascii="Arial" w:cs="Arial" w:eastAsia="Arial" w:hAnsi="Arial"/>
          <w:sz w:val="18"/>
          <w:szCs w:val="18"/>
          <w:color w:val="auto"/>
        </w:rPr>
        <w:t>Prior to the amendment, the Partnership Agreement provided that the Partnership's unitholders and Westlake, as the holder of the Partnership's incentive distribution rights, would receive distributions according to the following percentage allocations: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Marginal Percentage Interest in Distributions</w:t>
            </w: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Quarterly Distribution Per Unit</w:t>
            </w:r>
          </w:p>
        </w:tc>
        <w:tc>
          <w:tcPr>
            <w:tcW w:w="4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Unitholders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IDR Holders</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Above $0.3163 up to $0.3438</w:t>
            </w:r>
          </w:p>
        </w:tc>
        <w:tc>
          <w:tcPr>
            <w:tcW w:w="5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Above $0.3438 up to $0.4125</w:t>
            </w:r>
          </w:p>
        </w:tc>
        <w:tc>
          <w:tcPr>
            <w:tcW w:w="5760" w:type="dxa"/>
            <w:vAlign w:val="bottom"/>
            <w:gridSpan w:val="3"/>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40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Above $0.4125</w:t>
            </w:r>
          </w:p>
        </w:tc>
        <w:tc>
          <w:tcPr>
            <w:tcW w:w="5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459"/>
        </w:trPr>
        <w:tc>
          <w:tcPr>
            <w:tcW w:w="4000" w:type="dxa"/>
            <w:vAlign w:val="bottom"/>
          </w:tcPr>
          <w:p>
            <w:pPr>
              <w:spacing w:after="0"/>
              <w:rPr>
                <w:sz w:val="24"/>
                <w:szCs w:val="24"/>
                <w:color w:val="auto"/>
              </w:rPr>
            </w:pPr>
          </w:p>
        </w:tc>
        <w:tc>
          <w:tcPr>
            <w:tcW w:w="4100" w:type="dxa"/>
            <w:vAlign w:val="bottom"/>
          </w:tcPr>
          <w:p>
            <w:pPr>
              <w:jc w:val="right"/>
              <w:ind w:right="225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right="260" w:firstLine="392"/>
        <w:spacing w:after="0" w:line="277" w:lineRule="auto"/>
        <w:rPr>
          <w:sz w:val="20"/>
          <w:szCs w:val="20"/>
          <w:color w:val="auto"/>
        </w:rPr>
      </w:pPr>
      <w:r>
        <w:rPr>
          <w:rFonts w:ascii="Arial" w:cs="Arial" w:eastAsia="Arial" w:hAnsi="Arial"/>
          <w:sz w:val="18"/>
          <w:szCs w:val="18"/>
          <w:color w:val="auto"/>
        </w:rPr>
        <w:t>The distributions are declared subsequent to quarter end; therefore, the table below represents total distributions declared from earnings of the related periods pertaining to such distributions.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12,757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25,052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19,739</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Less: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Limited partners' distributions declared on common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5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units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13,179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5,246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25,993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10,347</w:t>
            </w:r>
          </w:p>
        </w:tc>
      </w:tr>
      <w:tr>
        <w:trPr>
          <w:trHeight w:val="229"/>
        </w:trPr>
        <w:tc>
          <w:tcPr>
            <w:tcW w:w="5140" w:type="dxa"/>
            <w:vAlign w:val="bottom"/>
          </w:tcPr>
          <w:p>
            <w:pPr>
              <w:ind w:left="380"/>
              <w:spacing w:after="0"/>
              <w:rPr>
                <w:sz w:val="20"/>
                <w:szCs w:val="20"/>
                <w:color w:val="auto"/>
              </w:rPr>
            </w:pPr>
            <w:r>
              <w:rPr>
                <w:rFonts w:ascii="Arial" w:cs="Arial" w:eastAsia="Arial" w:hAnsi="Arial"/>
                <w:sz w:val="18"/>
                <w:szCs w:val="18"/>
                <w:color w:val="auto"/>
              </w:rPr>
              <w:t>Limited partners' distributions declared on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40" w:type="dxa"/>
            <w:vAlign w:val="bottom"/>
          </w:tcPr>
          <w:p>
            <w:pPr>
              <w:ind w:left="520"/>
              <w:spacing w:after="0"/>
              <w:rPr>
                <w:sz w:val="20"/>
                <w:szCs w:val="20"/>
                <w:color w:val="auto"/>
              </w:rPr>
            </w:pPr>
            <w:r>
              <w:rPr>
                <w:rFonts w:ascii="Arial" w:cs="Arial" w:eastAsia="Arial" w:hAnsi="Arial"/>
                <w:sz w:val="18"/>
                <w:szCs w:val="18"/>
                <w:color w:val="auto"/>
              </w:rPr>
              <w:t>subordinated units</w:t>
            </w:r>
          </w:p>
        </w:tc>
        <w:tc>
          <w:tcPr>
            <w:tcW w:w="3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4,631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9,133</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Distributions declared with respect to the incentive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5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distribution rights</w:t>
            </w: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554</w:t>
            </w: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Distribution in excess of net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 of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12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12,686,115 subordinated units, all of which were owned by Westlake, were converted into common units during the third quarter of 2017 and were considered converted as of July 1, 2017 for purposes of calculating net income per unit. Therefore, the subordinated units did not share in the distribution of cash generated nor did the Partnership allocate any earnings to the subordinated unitholders for the determination of net income per unit subsequent to June 30, 2017.</w:t>
      </w:r>
    </w:p>
    <w:p>
      <w:pPr>
        <w:spacing w:after="0" w:line="192"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Three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23495</wp:posOffset>
            </wp:positionV>
            <wp:extent cx="29584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115"/>
              <w:spacing w:after="0"/>
              <w:rPr>
                <w:sz w:val="20"/>
                <w:szCs w:val="20"/>
                <w:color w:val="auto"/>
              </w:rPr>
            </w:pPr>
            <w:r>
              <w:rPr>
                <w:rFonts w:ascii="Arial" w:cs="Arial" w:eastAsia="Arial" w:hAnsi="Arial"/>
                <w:sz w:val="14"/>
                <w:szCs w:val="14"/>
                <w:b w:val="1"/>
                <w:bCs w:val="1"/>
                <w:color w:val="auto"/>
                <w:w w:val="98"/>
              </w:rPr>
              <w:t>Limited Partners'</w:t>
            </w:r>
          </w:p>
        </w:tc>
        <w:tc>
          <w:tcPr>
            <w:tcW w:w="10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Incentive Distribution</w:t>
            </w:r>
          </w:p>
        </w:tc>
        <w:tc>
          <w:tcPr>
            <w:tcW w:w="340" w:type="dxa"/>
            <w:vAlign w:val="bottom"/>
          </w:tcPr>
          <w:p>
            <w:pPr>
              <w:spacing w:after="0"/>
              <w:rPr>
                <w:sz w:val="14"/>
                <w:szCs w:val="14"/>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195"/>
              <w:spacing w:after="0"/>
              <w:rPr>
                <w:sz w:val="20"/>
                <w:szCs w:val="20"/>
                <w:color w:val="auto"/>
              </w:rPr>
            </w:pPr>
            <w:r>
              <w:rPr>
                <w:rFonts w:ascii="Arial" w:cs="Arial" w:eastAsia="Arial" w:hAnsi="Arial"/>
                <w:sz w:val="14"/>
                <w:szCs w:val="14"/>
                <w:b w:val="1"/>
                <w:bCs w:val="1"/>
                <w:color w:val="auto"/>
              </w:rPr>
              <w:t>Common Units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Rights</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23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rPr>
              <w:t>Distribution declared</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13,179</w:t>
            </w:r>
          </w:p>
        </w:tc>
        <w:tc>
          <w:tcPr>
            <w:tcW w:w="44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13,179</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in excess of net income</w:t>
            </w:r>
          </w:p>
        </w:tc>
        <w:tc>
          <w:tcPr>
            <w:tcW w:w="23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97"/>
        </w:trPr>
        <w:tc>
          <w:tcPr>
            <w:tcW w:w="43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238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12,757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12,757</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23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3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23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32,237,266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32,237,266</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23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38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380" w:type="dxa"/>
            <w:vAlign w:val="bottom"/>
            <w:vMerge w:val="restart"/>
          </w:tcPr>
          <w:p>
            <w:pPr>
              <w:jc w:val="right"/>
              <w:ind w:right="910"/>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r>
        <w:rPr>
          <w:rFonts w:ascii="Arial" w:cs="Arial" w:eastAsia="Arial" w:hAnsi="Arial"/>
          <w:sz w:val="17"/>
          <w:szCs w:val="17"/>
          <w:color w:val="auto"/>
        </w:rPr>
        <w:t>—</w:t>
      </w:r>
      <w:r>
        <w:rPr>
          <w:rFonts w:ascii="Arial" w:cs="Arial" w:eastAsia="Arial" w:hAnsi="Arial"/>
          <w:sz w:val="17"/>
          <w:szCs w:val="17"/>
          <w:b w:val="1"/>
          <w:bCs w:val="1"/>
          <w:color w:val="auto"/>
        </w:rPr>
        <w:t>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the Partnership:</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Distribution declared</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Distribution in excess of net income</w:t>
      </w:r>
    </w:p>
    <w:p>
      <w:pPr>
        <w:spacing w:after="0" w:line="1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Net income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units outstanding:</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Basic and diluted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per limited partner unit:</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Basic and 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the Partnership:</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Distribution declared</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Distribution in excess of net income</w:t>
      </w:r>
    </w:p>
    <w:p>
      <w:pPr>
        <w:spacing w:after="0" w:line="1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Net income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units outstanding:</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Basic and diluted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per limited partner unit:</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Basic and 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the Partnership:</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Distribution declared</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Distribution in excess of net income</w:t>
      </w:r>
    </w:p>
    <w:p>
      <w:pPr>
        <w:spacing w:after="0" w:line="1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Net income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units outstanding:</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Basic and diluted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per limited partner unit:</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Basic and diluted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Partners'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Three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3978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340" w:type="dxa"/>
            <w:vAlign w:val="bottom"/>
          </w:tcPr>
          <w:p>
            <w:pPr>
              <w:jc w:val="right"/>
              <w:ind w:right="115"/>
              <w:spacing w:after="0"/>
              <w:rPr>
                <w:sz w:val="20"/>
                <w:szCs w:val="20"/>
                <w:color w:val="auto"/>
              </w:rPr>
            </w:pPr>
            <w:r>
              <w:rPr>
                <w:rFonts w:ascii="Arial" w:cs="Arial" w:eastAsia="Arial" w:hAnsi="Arial"/>
                <w:sz w:val="14"/>
                <w:szCs w:val="14"/>
                <w:b w:val="1"/>
                <w:bCs w:val="1"/>
                <w:color w:val="auto"/>
                <w:w w:val="98"/>
              </w:rPr>
              <w:t>Limited Partners'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36"/>
              <w:spacing w:after="0"/>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Incentive Distribution</w:t>
            </w:r>
          </w:p>
        </w:tc>
        <w:tc>
          <w:tcPr>
            <w:tcW w:w="360" w:type="dxa"/>
            <w:vAlign w:val="bottom"/>
          </w:tcPr>
          <w:p>
            <w:pPr>
              <w:spacing w:after="0"/>
              <w:rPr>
                <w:sz w:val="14"/>
                <w:szCs w:val="14"/>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Common Units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2"/>
              </w:rPr>
              <w:t>Subordinated Units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1"/>
              </w:rPr>
              <w:t>Rights</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5,246</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4,631</w:t>
            </w: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10,200</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5,127</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4,525</w:t>
            </w: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9,975</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60" w:type="dxa"/>
            <w:vAlign w:val="bottom"/>
          </w:tcPr>
          <w:p>
            <w:pPr>
              <w:spacing w:after="0"/>
              <w:rPr>
                <w:sz w:val="24"/>
                <w:szCs w:val="24"/>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14,373,615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12,686,115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27,059,730</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0.36</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4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jc w:val="center"/>
              <w:ind w:left="896"/>
              <w:spacing w:after="0"/>
              <w:rPr>
                <w:sz w:val="20"/>
                <w:szCs w:val="20"/>
                <w:color w:val="auto"/>
              </w:rPr>
            </w:pPr>
            <w:r>
              <w:rPr>
                <w:rFonts w:ascii="Arial" w:cs="Arial" w:eastAsia="Arial" w:hAnsi="Arial"/>
                <w:sz w:val="14"/>
                <w:szCs w:val="14"/>
                <w:b w:val="1"/>
                <w:bCs w:val="1"/>
                <w:color w:val="auto"/>
                <w:w w:val="92"/>
              </w:rPr>
              <w:t>Six Months Ended June 30, 2018</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center"/>
              <w:ind w:right="76"/>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3"/>
                <w:szCs w:val="13"/>
                <w:color w:val="auto"/>
              </w:rPr>
            </w:pPr>
          </w:p>
        </w:tc>
        <w:tc>
          <w:tcPr>
            <w:tcW w:w="15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Incentive Distribution</w:t>
            </w:r>
          </w:p>
        </w:tc>
        <w:tc>
          <w:tcPr>
            <w:tcW w:w="360" w:type="dxa"/>
            <w:vAlign w:val="bottom"/>
          </w:tcPr>
          <w:p>
            <w:pPr>
              <w:spacing w:after="0"/>
              <w:rPr>
                <w:sz w:val="13"/>
                <w:szCs w:val="13"/>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Common Units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1"/>
              </w:rPr>
              <w:t>Rights</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25,993</w:t>
            </w: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26,726</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24,319</w:t>
            </w: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25,052</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32,236,860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32,236,860</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-3421380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-3069590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-2709545</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-2340610</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-1465580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-1114425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-753745</wp:posOffset>
            </wp:positionV>
            <wp:extent cx="72466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-385445</wp:posOffset>
            </wp:positionV>
            <wp:extent cx="72466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87"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auto"/>
        </w:rPr>
        <w:t>Six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39789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Limited Partners'</w:t>
            </w:r>
          </w:p>
        </w:tc>
        <w:tc>
          <w:tcPr>
            <w:tcW w:w="140" w:type="dxa"/>
            <w:vAlign w:val="bottom"/>
          </w:tcPr>
          <w:p>
            <w:pPr>
              <w:spacing w:after="0"/>
              <w:rPr>
                <w:sz w:val="14"/>
                <w:szCs w:val="14"/>
                <w:color w:val="auto"/>
              </w:rPr>
            </w:pPr>
          </w:p>
        </w:tc>
        <w:tc>
          <w:tcPr>
            <w:tcW w:w="1340" w:type="dxa"/>
            <w:vAlign w:val="bottom"/>
          </w:tcPr>
          <w:p>
            <w:pPr>
              <w:jc w:val="right"/>
              <w:ind w:right="95"/>
              <w:spacing w:after="0"/>
              <w:rPr>
                <w:sz w:val="20"/>
                <w:szCs w:val="20"/>
                <w:color w:val="auto"/>
              </w:rPr>
            </w:pPr>
            <w:r>
              <w:rPr>
                <w:rFonts w:ascii="Arial" w:cs="Arial" w:eastAsia="Arial" w:hAnsi="Arial"/>
                <w:sz w:val="14"/>
                <w:szCs w:val="14"/>
                <w:b w:val="1"/>
                <w:bCs w:val="1"/>
                <w:color w:val="auto"/>
              </w:rPr>
              <w:t>Limited Partners'</w:t>
            </w:r>
          </w:p>
        </w:tc>
        <w:tc>
          <w:tcPr>
            <w:tcW w:w="100" w:type="dxa"/>
            <w:vAlign w:val="bottom"/>
          </w:tcPr>
          <w:p>
            <w:pPr>
              <w:spacing w:after="0"/>
              <w:rPr>
                <w:sz w:val="14"/>
                <w:szCs w:val="14"/>
                <w:color w:val="auto"/>
              </w:rPr>
            </w:pP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Incentive Distribution</w:t>
            </w:r>
          </w:p>
        </w:tc>
        <w:tc>
          <w:tcPr>
            <w:tcW w:w="340" w:type="dxa"/>
            <w:vAlign w:val="bottom"/>
          </w:tcPr>
          <w:p>
            <w:pPr>
              <w:spacing w:after="0"/>
              <w:rPr>
                <w:sz w:val="14"/>
                <w:szCs w:val="14"/>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Common Units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1"/>
              </w:rPr>
              <w:t>Subordinated Units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Rights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10,347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9,133</w:t>
            </w: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20,034</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10,191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8,994</w:t>
            </w: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19,739</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60" w:type="dxa"/>
            <w:vAlign w:val="bottom"/>
          </w:tcPr>
          <w:p>
            <w:pPr>
              <w:spacing w:after="0"/>
              <w:rPr>
                <w:sz w:val="24"/>
                <w:szCs w:val="24"/>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14,373,615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12,686,115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27,059,730</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-1465580</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-1114425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-753745</wp:posOffset>
            </wp:positionV>
            <wp:extent cx="72466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-385445</wp:posOffset>
            </wp:positionV>
            <wp:extent cx="72466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25" w:lineRule="exact"/>
        <w:rPr>
          <w:sz w:val="20"/>
          <w:szCs w:val="20"/>
          <w:color w:val="auto"/>
        </w:rPr>
      </w:pPr>
    </w:p>
    <w:p>
      <w:pPr>
        <w:sectPr>
          <w:pgSz w:w="11900" w:h="16838" w:orient="portrait"/>
          <w:cols w:equalWidth="0" w:num="2">
            <w:col w:w="4440" w:space="720"/>
            <w:col w:w="6260"/>
          </w:cols>
          <w:pgMar w:left="240" w:top="125" w:right="239" w:bottom="1440" w:gutter="0" w:footer="0" w:header="0"/>
          <w:type w:val="continuous"/>
        </w:sectPr>
      </w:pPr>
    </w:p>
    <w:p>
      <w:pPr>
        <w:ind w:right="20" w:firstLine="405"/>
        <w:spacing w:after="0" w:line="255" w:lineRule="auto"/>
        <w:rPr>
          <w:sz w:val="20"/>
          <w:szCs w:val="20"/>
          <w:color w:val="auto"/>
        </w:rPr>
      </w:pPr>
      <w:r>
        <w:rPr>
          <w:rFonts w:ascii="Arial" w:cs="Arial" w:eastAsia="Arial" w:hAnsi="Arial"/>
          <w:sz w:val="18"/>
          <w:szCs w:val="18"/>
          <w:color w:val="auto"/>
        </w:rPr>
        <w:t>Following the Partnership’s cash distribution for the second quarter of 2017, the requirement under the Partnership’s partnership agreement for the conversion of all subordinated units was satisfied. As a result, effective August 30, 2017, the 12,686,115 subordinated units owned by Westlake were converted into common units on a one-for-one basis and thereafter participate on terms equal with all other common units in distributions of available cash. As discussed in Note 6, the subordinated units were considered converted as of July 1, 2017 for purposes of calculating net income per unit and, therefore, the subordinated units did not share in the distribution of cash generated nor did the Partnership allocate any earnings to the subordinated unitholders for the determination of net income per unit subsequent to June 30, 2017.</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On September 29, 2017, the Partnership completed its secondary offering of 5,175,000 common units at a price of $22.00 per unit. Net proceeds to the Partnership from the sale of the units were $110,739, net of underwriting discounts, structuring fees and estimated offering expenses of approximately $3,111.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Partnership and OpCo regularly enter into related party transactions with Westlake. See below for a description of transactions with related parties.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Related Parties</w:t>
      </w:r>
    </w:p>
    <w:p>
      <w:pPr>
        <w:spacing w:after="0" w:line="9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OpCo sells ethylene to Westlake under the Ethylene Sales Agreement. Additionally, the Partnership and OpCo from time to time provide other services or products for which each charges Westlake a fee.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to related parties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263"/>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sales—Westlake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253,673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240,989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488,704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453,919</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from Related Parties</w:t>
      </w:r>
    </w:p>
    <w:p>
      <w:pPr>
        <w:spacing w:after="0" w:line="90" w:lineRule="exact"/>
        <w:rPr>
          <w:sz w:val="20"/>
          <w:szCs w:val="20"/>
          <w:color w:val="auto"/>
        </w:rPr>
      </w:pPr>
    </w:p>
    <w:p>
      <w:pPr>
        <w:ind w:right="580" w:firstLine="405"/>
        <w:spacing w:after="0" w:line="308" w:lineRule="auto"/>
        <w:rPr>
          <w:sz w:val="20"/>
          <w:szCs w:val="20"/>
          <w:color w:val="auto"/>
        </w:rPr>
      </w:pPr>
      <w:r>
        <w:rPr>
          <w:rFonts w:ascii="Arial" w:cs="Arial" w:eastAsia="Arial" w:hAnsi="Arial"/>
          <w:sz w:val="17"/>
          <w:szCs w:val="17"/>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 cost of sales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15"/>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Feedstock purchased from Westlake and included in cost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119,925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105,877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225,340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202,990</w:t>
            </w:r>
          </w:p>
        </w:tc>
      </w:tr>
      <w:tr>
        <w:trPr>
          <w:trHeight w:val="229"/>
        </w:trPr>
        <w:tc>
          <w:tcPr>
            <w:tcW w:w="5140" w:type="dxa"/>
            <w:vAlign w:val="bottom"/>
          </w:tcPr>
          <w:p>
            <w:pPr>
              <w:ind w:left="40"/>
              <w:spacing w:after="0"/>
              <w:rPr>
                <w:sz w:val="20"/>
                <w:szCs w:val="20"/>
                <w:color w:val="auto"/>
              </w:rPr>
            </w:pPr>
            <w:r>
              <w:rPr>
                <w:rFonts w:ascii="Arial" w:cs="Arial" w:eastAsia="Arial" w:hAnsi="Arial"/>
                <w:sz w:val="18"/>
                <w:szCs w:val="18"/>
                <w:color w:val="auto"/>
              </w:rPr>
              <w:t>Other charges from Westlake and included in cost of</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sales</w:t>
            </w:r>
          </w:p>
        </w:tc>
        <w:tc>
          <w:tcPr>
            <w:tcW w:w="360" w:type="dxa"/>
            <w:vAlign w:val="bottom"/>
          </w:tcPr>
          <w:p>
            <w:pPr>
              <w:spacing w:after="0"/>
              <w:rPr>
                <w:sz w:val="20"/>
                <w:szCs w:val="20"/>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26,537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25,525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54,943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50,942</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146,462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131,402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280,283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253,932</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from Related Parties Included in Selling, General and Administrative Expenses</w:t>
      </w:r>
    </w:p>
    <w:p>
      <w:pPr>
        <w:spacing w:after="0" w:line="90"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included within selling, general and administrative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5"/>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 received from Westlake and included in selling,</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7,041</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6,946</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13,292</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13,678</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Goods and Services from Related Parties Capitalized as Assets</w:t>
      </w:r>
    </w:p>
    <w:p>
      <w:pPr>
        <w:spacing w:after="0" w:line="9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for goods and services capitalized as assets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5"/>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Goods and services purchased from Westlake and</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capitalized as assets</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 under the Investment Management Agreement</w:t>
      </w:r>
    </w:p>
    <w:p>
      <w:pPr>
        <w:spacing w:after="0" w:line="90"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On August 1, 2017, the Partnership, OpCo and Westlake executed an investment management agreement (the "Investment Management Agreement") that authorized Westlake to invest the Partnership's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$568 and $340 was included in the receivable under the Investment Management Agreement balance at June 30, 2018 and December 31, 2017, respectively. Total interest earned related to the Investment Management Agreement was $568 for the three months ended June 30, 2018 and $1,108 for the six months ended June 30, 2018.</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Partnership's receivable under the Investment Management Agreement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26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r>
      <w:tr>
        <w:trPr>
          <w:trHeight w:val="263"/>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 under the Investment Management Agreement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143,741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136,510</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Partnership's accounts receivable from Westlake result primarily from ethylene sales to Westlake under the Ethylene Sales Agreement.</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Partnership's accounts receivable from Westlake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26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r>
      <w:tr>
        <w:trPr>
          <w:trHeight w:val="263"/>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receivable—Westlake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47,970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43,884</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 to Related Parties</w:t>
      </w:r>
    </w:p>
    <w:p>
      <w:pPr>
        <w:spacing w:after="0" w:line="90"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related party accounts payable balances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26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r>
      <w:tr>
        <w:trPr>
          <w:trHeight w:val="263"/>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payable—Westlake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21,229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14,027</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Payable to Related Parties</w:t>
      </w:r>
    </w:p>
    <w:p>
      <w:pPr>
        <w:spacing w:after="0" w:line="90"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See Note 9 for a description of related party debt payable balances. Interest on related party debt payable balances for the three months ended June 30, 2018 and 2017 was $5,547 and $5,942, respectively, and for the six months ended June 30, 2018 and 2017 was $10,413 and $11,402, respectively. Interest on related party debt payable is presented as interest expense—Westlake in the consolidated statements of operations. Interest capitalized as a component of property, plant and equipment on related party debt was $31 and $20 for the three months ended June 30, 2018 and 2017, respectively, and for the six months ended June 30, 2018 and 2017 was $46 and $418, respectively. At June 30, 2018 and December 31, 2017, accrued interest on related party debt was $5,560 and $4,590, respectively, and is reflected as a component of accrued liabilities in the consolidated balance sheets.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payable to related parties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26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r>
      <w:tr>
        <w:trPr>
          <w:trHeight w:val="263"/>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payable to Westlake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477,608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473,960</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Customer and Concentration of Credit Risk</w:t>
      </w:r>
    </w:p>
    <w:p>
      <w:pPr>
        <w:spacing w:after="0" w:line="90"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During the three months ended June 30, 2018 and 2017, Westlake accounted for approximately 84.0% and 83.1%, respectively, of the Partnership's net sales. During the six months ended June 30, 2018 and 2017, Westlake accounted for approximately 83.4% and 80.0%, respectively, of the Partnership's net sales.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20" w:firstLine="392"/>
        <w:spacing w:after="0" w:line="277" w:lineRule="auto"/>
        <w:rPr>
          <w:sz w:val="20"/>
          <w:szCs w:val="20"/>
          <w:color w:val="auto"/>
        </w:rPr>
      </w:pPr>
      <w:r>
        <w:rPr>
          <w:rFonts w:ascii="Arial" w:cs="Arial" w:eastAsia="Arial" w:hAnsi="Arial"/>
          <w:sz w:val="18"/>
          <w:szCs w:val="18"/>
          <w:color w:val="auto"/>
        </w:rPr>
        <w:t>In 2015, the Partnership entered into an interest rate contract with Westlake to fix the London Interbank Offered Rate ("LIBOR") component of the interest rate for a portion of the MLP Revolver balance.</w:t>
      </w:r>
    </w:p>
    <w:p>
      <w:pPr>
        <w:spacing w:after="0" w:line="116" w:lineRule="exact"/>
        <w:rPr>
          <w:sz w:val="20"/>
          <w:szCs w:val="20"/>
          <w:color w:val="auto"/>
        </w:rPr>
      </w:pPr>
    </w:p>
    <w:p>
      <w:pPr>
        <w:ind w:right="380" w:firstLine="392"/>
        <w:spacing w:after="0" w:line="277" w:lineRule="auto"/>
        <w:rPr>
          <w:sz w:val="20"/>
          <w:szCs w:val="20"/>
          <w:color w:val="auto"/>
        </w:rPr>
      </w:pPr>
      <w:r>
        <w:rPr>
          <w:rFonts w:ascii="Arial" w:cs="Arial" w:eastAsia="Arial" w:hAnsi="Arial"/>
          <w:sz w:val="18"/>
          <w:szCs w:val="18"/>
          <w:color w:val="auto"/>
        </w:rPr>
        <w:t>OpCo has two site lease agreements with Westlake, and each has a term of 50 years. Pursuant to the site lease agreements, OpCo pays Westlake one dollar per site per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Payable to Westlake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payable to Westlake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r>
      <w:tr>
        <w:trPr>
          <w:trHeight w:val="215"/>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OpCo Revolver (variable interest rate of LIBOR plus 3.0%, original scheduled maturity of</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8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August 4, 2019)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224,064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220,416</w:t>
            </w: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rPr>
              <w:t>MLP Revolver (variable interest rate of LIBOR plus 2.0%, original scheduled maturity of</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60" w:type="dxa"/>
            <w:vAlign w:val="bottom"/>
          </w:tcPr>
          <w:p>
            <w:pPr>
              <w:ind w:left="160"/>
              <w:spacing w:after="0"/>
              <w:rPr>
                <w:sz w:val="20"/>
                <w:szCs w:val="20"/>
                <w:color w:val="auto"/>
              </w:rPr>
            </w:pPr>
            <w:r>
              <w:rPr>
                <w:rFonts w:ascii="Arial" w:cs="Arial" w:eastAsia="Arial" w:hAnsi="Arial"/>
                <w:sz w:val="18"/>
                <w:szCs w:val="18"/>
                <w:color w:val="auto"/>
              </w:rPr>
              <w:t>April 29, 2021)</w:t>
            </w:r>
          </w:p>
        </w:tc>
        <w:tc>
          <w:tcPr>
            <w:tcW w:w="280" w:type="dxa"/>
            <w:vAlign w:val="bottom"/>
          </w:tcPr>
          <w:p>
            <w:pPr>
              <w:spacing w:after="0"/>
              <w:rPr>
                <w:sz w:val="20"/>
                <w:szCs w:val="20"/>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253,544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253,544</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477,608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473,960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 average interest rate on all long-term debt was 4.61% and 3.76% at June 30, 2018 and December 31, 2017, respectively.</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2018, the Partnership was in compliance with all of the covenants under the OpCo Revolver and the MLP Revolver.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color w:val="auto"/>
        </w:rPr>
        <w:t>The Partnership has financial assets and liabilities subject to fair value measures. These financial assets and liabilities include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June 30, 2018 and December 31, 2017 are summarized in the table below. The Partnership's long-term debt includes the OpCo Revolver and the MLP Revolver at June 30, 2018. The fair value of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 2018</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2017</w:t>
            </w:r>
          </w:p>
        </w:tc>
        <w:tc>
          <w:tcPr>
            <w:tcW w:w="92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Carrying</w:t>
            </w:r>
          </w:p>
        </w:tc>
        <w:tc>
          <w:tcPr>
            <w:tcW w:w="460" w:type="dxa"/>
            <w:vAlign w:val="bottom"/>
          </w:tcPr>
          <w:p>
            <w:pPr>
              <w:spacing w:after="0"/>
              <w:rPr>
                <w:sz w:val="13"/>
                <w:szCs w:val="13"/>
                <w:color w:val="auto"/>
              </w:rPr>
            </w:pPr>
          </w:p>
        </w:tc>
        <w:tc>
          <w:tcPr>
            <w:tcW w:w="112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3"/>
                <w:szCs w:val="13"/>
                <w:color w:val="auto"/>
              </w:rPr>
            </w:pPr>
          </w:p>
        </w:tc>
        <w:tc>
          <w:tcPr>
            <w:tcW w:w="920" w:type="dxa"/>
            <w:vAlign w:val="bottom"/>
          </w:tcPr>
          <w:p>
            <w:pPr>
              <w:jc w:val="right"/>
              <w:ind w:right="519"/>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460" w:type="dxa"/>
            <w:vAlign w:val="bottom"/>
          </w:tcPr>
          <w:p>
            <w:pPr>
              <w:spacing w:after="0"/>
              <w:rPr>
                <w:sz w:val="16"/>
                <w:szCs w:val="16"/>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560" w:type="dxa"/>
            <w:vAlign w:val="bottom"/>
          </w:tcPr>
          <w:p>
            <w:pPr>
              <w:spacing w:after="0"/>
              <w:rPr>
                <w:sz w:val="16"/>
                <w:szCs w:val="16"/>
                <w:color w:val="auto"/>
              </w:rPr>
            </w:pPr>
          </w:p>
        </w:tc>
        <w:tc>
          <w:tcPr>
            <w:tcW w:w="920" w:type="dxa"/>
            <w:vAlign w:val="bottom"/>
          </w:tcPr>
          <w:p>
            <w:pPr>
              <w:jc w:val="right"/>
              <w:ind w:right="479"/>
              <w:spacing w:after="0"/>
              <w:rPr>
                <w:sz w:val="20"/>
                <w:szCs w:val="20"/>
                <w:color w:val="auto"/>
              </w:rPr>
            </w:pPr>
            <w:r>
              <w:rPr>
                <w:rFonts w:ascii="Arial" w:cs="Arial" w:eastAsia="Arial" w:hAnsi="Arial"/>
                <w:sz w:val="14"/>
                <w:szCs w:val="14"/>
                <w:b w:val="1"/>
                <w:bCs w:val="1"/>
                <w:color w:val="auto"/>
                <w:w w:val="90"/>
              </w:rPr>
              <w:t>Value</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OpCo Revolver</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224,064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229,511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220,416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228,180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MLP Revolver</w:t>
            </w:r>
          </w:p>
        </w:tc>
        <w:tc>
          <w:tcPr>
            <w:tcW w:w="280" w:type="dxa"/>
            <w:vAlign w:val="bottom"/>
          </w:tcPr>
          <w:p>
            <w:pPr>
              <w:spacing w:after="0"/>
              <w:rPr>
                <w:sz w:val="21"/>
                <w:szCs w:val="21"/>
                <w:color w:val="auto"/>
              </w:rPr>
            </w:pPr>
          </w:p>
        </w:tc>
        <w:tc>
          <w:tcPr>
            <w:tcW w:w="1220" w:type="dxa"/>
            <w:vAlign w:val="bottom"/>
          </w:tcPr>
          <w:p>
            <w:pPr>
              <w:jc w:val="right"/>
              <w:ind w:right="41"/>
              <w:spacing w:after="0"/>
              <w:rPr>
                <w:sz w:val="20"/>
                <w:szCs w:val="20"/>
                <w:color w:val="auto"/>
              </w:rPr>
            </w:pPr>
            <w:r>
              <w:rPr>
                <w:rFonts w:ascii="Arial" w:cs="Arial" w:eastAsia="Arial" w:hAnsi="Arial"/>
                <w:sz w:val="18"/>
                <w:szCs w:val="18"/>
                <w:color w:val="auto"/>
              </w:rPr>
              <w:t>253,544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255,544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253,544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258,234</w:t>
            </w:r>
          </w:p>
        </w:tc>
      </w:tr>
    </w:tbl>
    <w:p>
      <w:pPr>
        <w:spacing w:after="0" w:line="252" w:lineRule="exact"/>
        <w:rPr>
          <w:sz w:val="20"/>
          <w:szCs w:val="20"/>
          <w:color w:val="auto"/>
        </w:rPr>
      </w:pPr>
    </w:p>
    <w:p>
      <w:pPr>
        <w:ind w:right="9100" w:firstLine="8"/>
        <w:spacing w:after="0" w:line="390" w:lineRule="auto"/>
        <w:tabs>
          <w:tab w:leader="none" w:pos="2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Accrued Liabilities</w:t>
      </w:r>
    </w:p>
    <w:p>
      <w:pPr>
        <w:ind w:right="60" w:firstLine="405"/>
        <w:spacing w:after="0" w:line="259" w:lineRule="auto"/>
        <w:rPr>
          <w:sz w:val="20"/>
          <w:szCs w:val="20"/>
          <w:color w:val="auto"/>
        </w:rPr>
      </w:pPr>
      <w:r>
        <w:rPr>
          <w:rFonts w:ascii="Arial" w:cs="Arial" w:eastAsia="Arial" w:hAnsi="Arial"/>
          <w:sz w:val="18"/>
          <w:szCs w:val="18"/>
          <w:color w:val="auto"/>
        </w:rPr>
        <w:t>Accrued liabilities were $18,996 and $15,697 at June 30, 2018 and December 31, 2017, respectively. The accrued interest, accrued maintenance, capital expenditures accrual and accrued taxes, which are components of accrued liabilities, were $5,560, $3,696, $3,332 and $3,432, respectively, at June 30, 2018, and $4,590, $3,698, $3,197 and $1,422, respectively, at December 31, 2017. No other component of accrued liabilities was more than five percent of total current liabilities.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90"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change in capital expenditure accrual resulted in a decrease in additions to property, plant and equipment by $5,042 for the six months ended June 30, 2018. The change in capital expenditure accrual resulted in an increase in additions to property, plant and equipment by $293 for the six months ended June 30, 2017.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spacing w:after="0" w:line="125"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This Management's Discussion and Analysis of Financial Condition and Results of Operations section should be read in conjunction with the accompanying consolidated financial statements and the notes thereto and the consolidated financial statements and notes thereto included in Westlake Chemical Partners LP's annual report on Form 10-K for the fiscal year ended December 31, 2017 (the "2017 Form 10-K"), as filed with the SEC on March 1, 2018. Unless otherwise indicated, references in this report to "we," "our," "us" or like terms, refer to Westlake Chemical Partners LP (the "Partnership"), Westlake Chemical OpCo LP ("OpCo") and Westlake Chemical OpCo GP LLC ("OpCo GP"). References to "Westlake" refer to Westlake Chemical Corporation and its consolidated subsidiaries other than the Partnership, OpCo GP and OpCo. The following discussion contains forward-looking statements. Please read "Forward-Looking Statements" for a discussion of limitations inherent in such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Overview</w:t>
      </w:r>
    </w:p>
    <w:p>
      <w:pPr>
        <w:spacing w:after="0" w:line="94" w:lineRule="exact"/>
        <w:rPr>
          <w:sz w:val="20"/>
          <w:szCs w:val="20"/>
          <w:color w:val="auto"/>
        </w:rPr>
      </w:pPr>
    </w:p>
    <w:p>
      <w:pPr>
        <w:jc w:val="both"/>
        <w:ind w:right="40" w:firstLine="405"/>
        <w:spacing w:after="0" w:line="272" w:lineRule="auto"/>
        <w:rPr>
          <w:sz w:val="20"/>
          <w:szCs w:val="20"/>
          <w:color w:val="auto"/>
        </w:rPr>
      </w:pPr>
      <w:r>
        <w:rPr>
          <w:rFonts w:ascii="Arial" w:cs="Arial" w:eastAsia="Arial" w:hAnsi="Arial"/>
          <w:sz w:val="17"/>
          <w:szCs w:val="17"/>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On September 29, 2017, we completed a secondary public offering of 5,175,000 common units and purchased an additional 5.0% newly-issued limited partner interest in OpCo, resulting in an aggregate 18.3% limited partner interest in OpCo, effective as of July 1, 2017. The 12,686,115 subordinated units of the Partnership, all of which were previously owned by Westlake, were converted into common units of the Partnership on August 30, 2017.</w:t>
      </w:r>
    </w:p>
    <w:p>
      <w:pPr>
        <w:spacing w:after="0" w:line="124"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Currently, our sole revenue generating asset is our 18.3% limited partner interest in OpCo, a limited partnership formed by Westlake and us in anticipation of the IPO to own and operate an ethylene production business. We control OpCo through our ownership of its general partner. Westlake retains the remaining 81.7% limited partner interest in OpCo as well as a significant interest in us through its ownership of our general partner, 43.8% of our limited partner units (consisting of 14,122,230 common units )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94"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w:t>
      </w:r>
    </w:p>
    <w:p>
      <w:pPr>
        <w:spacing w:after="0" w:line="13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recognized during the period in which the related operating, maintenance or turnaround activities occur.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Maintenance Capital Expenditures and Turnaround Costs</w:t>
      </w:r>
    </w:p>
    <w:p>
      <w:pPr>
        <w:spacing w:after="0" w:line="94"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2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 may directly affect our profitability and cash flows. The impact on profitability is partially mitigated by the fact that we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MLP Distributable Cash Flow and EBITDA</w:t>
      </w:r>
    </w:p>
    <w:p>
      <w:pPr>
        <w:spacing w:after="0" w:line="94"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We use each of MLP distributable cash flow and EBITDA to analyze our performance. We define distributable cash flow as net income plus depreciation, amortization and disposition of property, plant and equipment, less contributions for turnaround reserves and maintenance capital expenditures.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MLP distributable cash flow and EBITDA are non-GAAP supplemental financial measures that management and external users of our consolidated financial statements, such as industry analysts, investors, lenders and rating agencies, may use to assess:</w:t>
      </w:r>
    </w:p>
    <w:p>
      <w:pPr>
        <w:spacing w:after="0" w:line="5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operating performance as compared to other publicly traded partnerships;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incur and service debt and fund capital expenditures;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viability of acquisitions and other capital expenditure projects and the returns on investment of various investment opportunities.</w:t>
      </w:r>
    </w:p>
    <w:p>
      <w:pPr>
        <w:spacing w:after="0" w:line="171"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We believe that the presentation of MLP distributable cash flow and EBITDA provides useful information to investors in assessing our financial condition and results of operations. The GAAP measures most directly comparable to MLP distributable cash flow are net income and net cash provided by operating activities. MLP distributable cash flow should not be considered as an alternative to GAAP net income or net cash provided by operating activities. MLP distributable cash flow has important limitations as an analytical tool because it excludes some but not all items that affect net income and net cash provided by operating activities. The GAAP measures most directly comparable to EBITDA are net income and net cash provided by operating activities, but EBITDA should not be considered an alternative to such GAAP measures. EBITDA has important limitations as an analytical tool because it excludes (1) interest expense, which is a necessary element of our costs and ability to generate revenues because we have borrowed money to finance our operations, (2) depreciation, which is a necessary element of our costs and ability to generate revenues because we use capital assets and (3) income taxes, which was a necessary element of the operations of our predecessor. MLP distributable cash flow and EBITDA should not be considered in isolation or as a substitute for analysis of our results as reported under GAAP. See reconciliations for each of MLP distributable cash flow and EBITDA under "Results of Operations" below.</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w:t>
      </w:r>
    </w:p>
    <w:p>
      <w:pPr>
        <w:spacing w:after="0" w:line="94" w:lineRule="exact"/>
        <w:rPr>
          <w:sz w:val="20"/>
          <w:szCs w:val="20"/>
          <w:color w:val="auto"/>
        </w:rPr>
      </w:pPr>
    </w:p>
    <w:p>
      <w:pPr>
        <w:ind w:right="100" w:firstLine="392"/>
        <w:spacing w:after="0" w:line="257" w:lineRule="auto"/>
        <w:rPr>
          <w:sz w:val="20"/>
          <w:szCs w:val="20"/>
          <w:color w:val="auto"/>
        </w:rPr>
      </w:pPr>
      <w:r>
        <w:rPr>
          <w:rFonts w:ascii="Arial" w:cs="Arial" w:eastAsia="Arial" w:hAnsi="Arial"/>
          <w:sz w:val="18"/>
          <w:szCs w:val="18"/>
          <w:color w:val="auto"/>
        </w:rPr>
        <w:t>On July 27, 2018, the Partnership Agreement was amended to revise the minimum quarterly distribution thresholds for the Partnership's incentive distribution rights to Westlake. The amended Partnership Agreement provides that the Partnership will distribute cash each quarter to all the unitholders, pro-rata, until each unit has received a distribution of $1.2938. If cash distributions to the Partnership's unitholders exceed $1.2938 per unit in any quarter, the Partnership's unitholders and Westlake, as the holder of the Partnership's incentive distribution rights, will receive distributions according to the following percentage allocations per the amendment: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Marginal Percentage Interest in Distributions</w:t>
            </w:r>
          </w:p>
        </w:tc>
      </w:tr>
      <w:tr>
        <w:trPr>
          <w:trHeight w:val="264"/>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Quarterly Distribution Per Unit</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Unitholders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IDR Holders</w:t>
            </w: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Above $1.2938 up to $1.4063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Above $1.4063 up to $1.6875</w:t>
            </w:r>
          </w:p>
        </w:tc>
        <w:tc>
          <w:tcPr>
            <w:tcW w:w="15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Above $1.6875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8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80" w:firstLine="392"/>
        <w:spacing w:after="0" w:line="277" w:lineRule="auto"/>
        <w:rPr>
          <w:sz w:val="20"/>
          <w:szCs w:val="20"/>
          <w:color w:val="auto"/>
        </w:rPr>
      </w:pPr>
      <w:r>
        <w:rPr>
          <w:rFonts w:ascii="Arial" w:cs="Arial" w:eastAsia="Arial" w:hAnsi="Arial"/>
          <w:sz w:val="18"/>
          <w:szCs w:val="18"/>
          <w:color w:val="auto"/>
        </w:rPr>
        <w:t>Prior to the amendment, the Partnership Agreement provided that the Partnership's unitholders and Westlake, as the holder of the Partnership's incentive distribution rights, would receive distributions according to the following percentage allocations: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Marginal Percentage Interest in Distributions</w:t>
            </w:r>
          </w:p>
        </w:tc>
      </w:tr>
      <w:tr>
        <w:trPr>
          <w:trHeight w:val="264"/>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Quarterly Distribution Per Unit</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Unitholders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IDR Holders</w:t>
            </w: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Above $0.3163 up to $0.3438</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Above $0.3438 up to $0.4125</w:t>
            </w:r>
          </w:p>
        </w:tc>
        <w:tc>
          <w:tcPr>
            <w:tcW w:w="15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Above $0.4125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8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more information on the Partnership's incentive distribution rights, see note 6 to the consolidated financial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385"/>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5"/>
          </w:tcPr>
          <w:p>
            <w:pPr>
              <w:ind w:left="50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253,673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240,989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488,704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453,919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co-product, ethylene and other sales—third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parties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48,302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97,543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113,642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301,975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290,113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586,247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567,561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204,857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190,542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396,624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370,029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97,118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99,571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189,623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197,532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7,375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14,714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89,743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92,685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175,115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182,818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(11,402)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84,779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86,767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165,776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173,098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84,476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86,470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165,190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172,498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interest in OpCo</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71,719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76,495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140,138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152,759</w:t>
            </w:r>
          </w:p>
        </w:tc>
        <w:tc>
          <w:tcPr>
            <w:tcW w:w="0" w:type="dxa"/>
            <w:vAlign w:val="bottom"/>
          </w:tcPr>
          <w:p>
            <w:pPr>
              <w:spacing w:after="0"/>
              <w:rPr>
                <w:sz w:val="1"/>
                <w:szCs w:val="1"/>
                <w:color w:val="auto"/>
              </w:rPr>
            </w:pPr>
          </w:p>
        </w:tc>
      </w:tr>
      <w:tr>
        <w:trPr>
          <w:trHeight w:val="205"/>
        </w:trPr>
        <w:tc>
          <w:tcPr>
            <w:tcW w:w="516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Westlake Chemical</w:t>
            </w: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12,757</w:t>
            </w:r>
          </w:p>
        </w:tc>
        <w:tc>
          <w:tcPr>
            <w:tcW w:w="120" w:type="dxa"/>
            <w:vAlign w:val="bottom"/>
          </w:tcPr>
          <w:p>
            <w:pPr>
              <w:spacing w:after="0"/>
              <w:rPr>
                <w:sz w:val="17"/>
                <w:szCs w:val="17"/>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9,975</w:t>
            </w:r>
          </w:p>
        </w:tc>
        <w:tc>
          <w:tcPr>
            <w:tcW w:w="100" w:type="dxa"/>
            <w:vAlign w:val="bottom"/>
          </w:tcPr>
          <w:p>
            <w:pPr>
              <w:spacing w:after="0"/>
              <w:rPr>
                <w:sz w:val="17"/>
                <w:szCs w:val="17"/>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25,052</w:t>
            </w:r>
          </w:p>
        </w:tc>
        <w:tc>
          <w:tcPr>
            <w:tcW w:w="100" w:type="dxa"/>
            <w:vAlign w:val="bottom"/>
          </w:tcPr>
          <w:p>
            <w:pPr>
              <w:spacing w:after="0"/>
              <w:rPr>
                <w:sz w:val="17"/>
                <w:szCs w:val="17"/>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19,739</w:t>
            </w: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Partners LP</w:t>
            </w:r>
          </w:p>
        </w:tc>
        <w:tc>
          <w:tcPr>
            <w:tcW w:w="36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15,966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10,967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30,476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22,414</w:t>
            </w:r>
          </w:p>
        </w:tc>
        <w:tc>
          <w:tcPr>
            <w:tcW w:w="0" w:type="dxa"/>
            <w:vAlign w:val="bottom"/>
          </w:tcPr>
          <w:p>
            <w:pPr>
              <w:spacing w:after="0"/>
              <w:rPr>
                <w:sz w:val="1"/>
                <w:szCs w:val="1"/>
                <w:color w:val="auto"/>
              </w:rPr>
            </w:pPr>
          </w:p>
        </w:tc>
      </w:tr>
      <w:tr>
        <w:trPr>
          <w:trHeight w:val="283"/>
        </w:trPr>
        <w:tc>
          <w:tcPr>
            <w:tcW w:w="5160" w:type="dxa"/>
            <w:vAlign w:val="bottom"/>
          </w:tcPr>
          <w:p>
            <w:pPr>
              <w:ind w:left="40"/>
              <w:spacing w:after="0" w:line="283"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117,912</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120,008</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231,473</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241,949</w:t>
            </w: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____________</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280" w:hanging="245"/>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"Reconciliation of MLP Distributable Cash Flow to Net Income and Net Cash Provided by Operating Activities" below.</w:t>
      </w:r>
    </w:p>
    <w:p>
      <w:pPr>
        <w:spacing w:after="0" w:line="117" w:lineRule="exact"/>
        <w:rPr>
          <w:rFonts w:ascii="Arial" w:cs="Arial" w:eastAsia="Arial" w:hAnsi="Arial"/>
          <w:sz w:val="18"/>
          <w:szCs w:val="18"/>
          <w:color w:val="auto"/>
        </w:rPr>
      </w:pPr>
    </w:p>
    <w:p>
      <w:pPr>
        <w:ind w:left="280" w:hanging="245"/>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"Reconciliation of EBITDA to Net Income and Net Cash Provided by Operating Activities"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318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Three Months Ended June 30, 2018</w:t>
            </w:r>
          </w:p>
        </w:tc>
        <w:tc>
          <w:tcPr>
            <w:tcW w:w="120" w:type="dxa"/>
            <w:vAlign w:val="bottom"/>
          </w:tcPr>
          <w:p>
            <w:pPr>
              <w:spacing w:after="0"/>
              <w:rPr>
                <w:sz w:val="16"/>
                <w:szCs w:val="16"/>
                <w:color w:val="auto"/>
              </w:rPr>
            </w:pPr>
          </w:p>
        </w:tc>
        <w:tc>
          <w:tcPr>
            <w:tcW w:w="318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Six Months Ended June 30, 2018</w:t>
            </w:r>
          </w:p>
        </w:tc>
        <w:tc>
          <w:tcPr>
            <w:tcW w:w="0" w:type="dxa"/>
            <w:vAlign w:val="bottom"/>
          </w:tcPr>
          <w:p>
            <w:pPr>
              <w:spacing w:after="0"/>
              <w:rPr>
                <w:sz w:val="1"/>
                <w:szCs w:val="1"/>
                <w:color w:val="auto"/>
              </w:rPr>
            </w:pPr>
          </w:p>
        </w:tc>
      </w:tr>
      <w:tr>
        <w:trPr>
          <w:trHeight w:val="152"/>
        </w:trPr>
        <w:tc>
          <w:tcPr>
            <w:tcW w:w="4940" w:type="dxa"/>
            <w:vAlign w:val="bottom"/>
          </w:tcPr>
          <w:p>
            <w:pPr>
              <w:spacing w:after="0"/>
              <w:rPr>
                <w:sz w:val="13"/>
                <w:szCs w:val="13"/>
                <w:color w:val="auto"/>
              </w:rPr>
            </w:pPr>
          </w:p>
        </w:tc>
        <w:tc>
          <w:tcPr>
            <w:tcW w:w="16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50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Volume</w:t>
            </w:r>
          </w:p>
        </w:tc>
        <w:tc>
          <w:tcPr>
            <w:tcW w:w="120" w:type="dxa"/>
            <w:vAlign w:val="bottom"/>
          </w:tcPr>
          <w:p>
            <w:pPr>
              <w:spacing w:after="0"/>
              <w:rPr>
                <w:sz w:val="13"/>
                <w:szCs w:val="13"/>
                <w:color w:val="auto"/>
              </w:rPr>
            </w:pPr>
          </w:p>
        </w:tc>
        <w:tc>
          <w:tcPr>
            <w:tcW w:w="16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52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92"/>
        </w:trPr>
        <w:tc>
          <w:tcPr>
            <w:tcW w:w="494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Sales Price</w:t>
            </w: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Sales Price</w:t>
            </w: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 prices and volume percentage change from</w:t>
            </w: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prior-year period</w:t>
            </w:r>
          </w:p>
        </w:tc>
        <w:tc>
          <w:tcPr>
            <w:tcW w:w="168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 %</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561"/>
        </w:trPr>
        <w:tc>
          <w:tcPr>
            <w:tcW w:w="4940" w:type="dxa"/>
            <w:vAlign w:val="bottom"/>
          </w:tcPr>
          <w:p>
            <w:pPr>
              <w:spacing w:after="0"/>
              <w:rPr>
                <w:sz w:val="24"/>
                <w:szCs w:val="24"/>
                <w:color w:val="auto"/>
              </w:rPr>
            </w:pPr>
          </w:p>
        </w:tc>
        <w:tc>
          <w:tcPr>
            <w:tcW w:w="318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24"/>
                <w:szCs w:val="24"/>
                <w:color w:val="auto"/>
              </w:rPr>
            </w:pPr>
          </w:p>
        </w:tc>
        <w:tc>
          <w:tcPr>
            <w:tcW w:w="318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94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2"/>
                <w:szCs w:val="22"/>
                <w:color w:val="auto"/>
              </w:rPr>
            </w:pPr>
          </w:p>
        </w:tc>
        <w:tc>
          <w:tcPr>
            <w:tcW w:w="1500" w:type="dxa"/>
            <w:vAlign w:val="bottom"/>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680" w:type="dxa"/>
            <w:vAlign w:val="bottom"/>
            <w:gridSpan w:val="2"/>
          </w:tcPr>
          <w:p>
            <w:pPr>
              <w:jc w:val="center"/>
              <w:ind w:left="3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1520" w:type="dxa"/>
            <w:vAlign w:val="bottom"/>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494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Average industry prices </w:t>
            </w:r>
            <w:r>
              <w:rPr>
                <w:rFonts w:ascii="Arial" w:cs="Arial" w:eastAsia="Arial" w:hAnsi="Arial"/>
                <w:sz w:val="25"/>
                <w:szCs w:val="25"/>
                <w:b w:val="1"/>
                <w:bCs w:val="1"/>
                <w:color w:val="auto"/>
                <w:vertAlign w:val="superscript"/>
              </w:rPr>
              <w:t>(1)</w:t>
            </w:r>
          </w:p>
        </w:tc>
        <w:tc>
          <w:tcPr>
            <w:tcW w:w="1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5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Ethane (cents/lb)</w:t>
            </w:r>
          </w:p>
        </w:tc>
        <w:tc>
          <w:tcPr>
            <w:tcW w:w="1560" w:type="dxa"/>
            <w:vAlign w:val="bottom"/>
          </w:tcPr>
          <w:p>
            <w:pPr>
              <w:jc w:val="right"/>
              <w:ind w:right="14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500" w:type="dxa"/>
            <w:vAlign w:val="bottom"/>
          </w:tcPr>
          <w:p>
            <w:pPr>
              <w:jc w:val="right"/>
              <w:ind w:right="96"/>
              <w:spacing w:after="0"/>
              <w:rPr>
                <w:sz w:val="20"/>
                <w:szCs w:val="20"/>
                <w:color w:val="auto"/>
              </w:rPr>
            </w:pPr>
            <w:r>
              <w:rPr>
                <w:rFonts w:ascii="Arial" w:cs="Arial" w:eastAsia="Arial" w:hAnsi="Arial"/>
                <w:sz w:val="18"/>
                <w:szCs w:val="18"/>
                <w:color w:val="auto"/>
              </w:rPr>
              <w:t>8.3</w:t>
            </w:r>
          </w:p>
        </w:tc>
        <w:tc>
          <w:tcPr>
            <w:tcW w:w="1680" w:type="dxa"/>
            <w:vAlign w:val="bottom"/>
            <w:gridSpan w:val="2"/>
          </w:tcPr>
          <w:p>
            <w:pPr>
              <w:jc w:val="right"/>
              <w:ind w:right="164"/>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520" w:type="dxa"/>
            <w:vAlign w:val="bottom"/>
          </w:tcPr>
          <w:p>
            <w:pPr>
              <w:jc w:val="right"/>
              <w:ind w:right="96"/>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Propane (cents/lb)</w:t>
            </w:r>
          </w:p>
        </w:tc>
        <w:tc>
          <w:tcPr>
            <w:tcW w:w="15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56"/>
        </w:trPr>
        <w:tc>
          <w:tcPr>
            <w:tcW w:w="4940" w:type="dxa"/>
            <w:vAlign w:val="bottom"/>
          </w:tcPr>
          <w:p>
            <w:pPr>
              <w:ind w:left="40"/>
              <w:spacing w:after="0" w:line="256" w:lineRule="exact"/>
              <w:rPr>
                <w:sz w:val="20"/>
                <w:szCs w:val="20"/>
                <w:color w:val="auto"/>
              </w:rPr>
            </w:pPr>
            <w:r>
              <w:rPr>
                <w:rFonts w:ascii="Arial" w:cs="Arial" w:eastAsia="Arial" w:hAnsi="Arial"/>
                <w:sz w:val="18"/>
                <w:szCs w:val="18"/>
                <w:color w:val="auto"/>
              </w:rPr>
              <w:t xml:space="preserve">Ethylene (cents/lb) </w:t>
            </w:r>
            <w:r>
              <w:rPr>
                <w:rFonts w:ascii="Arial" w:cs="Arial" w:eastAsia="Arial" w:hAnsi="Arial"/>
                <w:sz w:val="25"/>
                <w:szCs w:val="25"/>
                <w:color w:val="auto"/>
                <w:vertAlign w:val="superscript"/>
              </w:rPr>
              <w:t>(2)</w:t>
            </w:r>
          </w:p>
        </w:tc>
        <w:tc>
          <w:tcPr>
            <w:tcW w:w="1560" w:type="dxa"/>
            <w:vAlign w:val="bottom"/>
          </w:tcPr>
          <w:p>
            <w:pPr>
              <w:jc w:val="right"/>
              <w:ind w:right="14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2"/>
                <w:szCs w:val="22"/>
                <w:color w:val="auto"/>
              </w:rPr>
            </w:pPr>
          </w:p>
        </w:tc>
        <w:tc>
          <w:tcPr>
            <w:tcW w:w="1500" w:type="dxa"/>
            <w:vAlign w:val="bottom"/>
          </w:tcPr>
          <w:p>
            <w:pPr>
              <w:jc w:val="right"/>
              <w:ind w:right="96"/>
              <w:spacing w:after="0"/>
              <w:rPr>
                <w:sz w:val="20"/>
                <w:szCs w:val="20"/>
                <w:color w:val="auto"/>
              </w:rPr>
            </w:pPr>
            <w:r>
              <w:rPr>
                <w:rFonts w:ascii="Arial" w:cs="Arial" w:eastAsia="Arial" w:hAnsi="Arial"/>
                <w:sz w:val="18"/>
                <w:szCs w:val="18"/>
                <w:color w:val="auto"/>
              </w:rPr>
              <w:t>27.6</w:t>
            </w:r>
          </w:p>
        </w:tc>
        <w:tc>
          <w:tcPr>
            <w:tcW w:w="1680" w:type="dxa"/>
            <w:vAlign w:val="bottom"/>
            <w:gridSpan w:val="2"/>
          </w:tcPr>
          <w:p>
            <w:pPr>
              <w:jc w:val="right"/>
              <w:ind w:right="144"/>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2"/>
                <w:szCs w:val="22"/>
                <w:color w:val="auto"/>
              </w:rPr>
            </w:pPr>
          </w:p>
        </w:tc>
        <w:tc>
          <w:tcPr>
            <w:tcW w:w="1520" w:type="dxa"/>
            <w:vAlign w:val="bottom"/>
          </w:tcPr>
          <w:p>
            <w:pPr>
              <w:jc w:val="right"/>
              <w:ind w:right="96"/>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_____________</w:t>
            </w: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Industry pricing data was obtained through IHS Markit ("IHS"). We have not independently verified the data.</w:t>
      </w:r>
    </w:p>
    <w:p>
      <w:pPr>
        <w:spacing w:after="0" w:line="63"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average North American spot prices of ethylene over the period as reported by IHS.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0" w:type="dxa"/>
            <w:vAlign w:val="bottom"/>
            <w:gridSpan w:val="5"/>
          </w:tcPr>
          <w:p>
            <w:pPr>
              <w:ind w:left="50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114,349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113,208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220,571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262,286</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Gain (loss) from disposition of fixed assets</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107</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(29,873)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(89,895)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84,476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86,470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165,190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172,498</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9"/>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amortization and disposition of</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60" w:type="dxa"/>
            <w:vAlign w:val="bottom"/>
          </w:tcPr>
          <w:p>
            <w:pPr>
              <w:ind w:left="520"/>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27,586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27,299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55,851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57,449</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Contribution to turnaround reserves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(14,863)</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Maintenance capital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(18,254)</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Incentive distribution rights</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(554)</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Distributable cash flow attributable to</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noncontrolling interest in OpCo</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(86,067)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(173,862)</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MLP distributable cash flow</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15,966</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10,967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30,476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22,414</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to Net Income and Net Cash Provided by Operating Activities</w:t>
      </w:r>
    </w:p>
    <w:p>
      <w:pPr>
        <w:spacing w:after="0" w:line="94"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following table presents reconciliations of EBITDA to net income and net cash provided by operating activities, the most directly comparable GAAP financial measures, for each of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0" w:type="dxa"/>
            <w:vAlign w:val="bottom"/>
            <w:gridSpan w:val="5"/>
          </w:tcPr>
          <w:p>
            <w:pPr>
              <w:ind w:left="50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114,349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113,208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220,571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262,286</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Gain (loss) from disposition of fixed assets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(29,873)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(89,895)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84,476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86,470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165,190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172,498</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27,586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27,299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55,284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57,449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11,402</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600</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117,912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120,008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231,473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241,949</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For the quarter ended June 30, 2018, net income was $84.5 million on net sales of $302.0 million. This represents a decrease in net income of $2.0 million as compared to the quarter ended June 30, 2017 net income of $86.5 million on net sales of $290.1 million. Net income for the second quarter of 2018 as compared to the second quarter of 2017 was lower primarily as a result of lower third party sales prices and higher feedstock costs, partially offset by higher sales volumes to Westlake and third parties due to higher production primarily at our Calvert City Olefins facility and higher pipeline services fee income. Our Calvert City Olefins facility production was lower in the second quarter of 2017 because of an upgrade and expansion project in March and April 2017. Net income attributable to Westlake Chemical Partners LP for the quarter ended June 30, 2018 was $12.8 million as compared to $10.0 million for the quarter ended June 30, 2017, an increase of $2.8 million, which was primarily due to a 5% increase in the Partnership's interest in OpCo, effective as of July 1, 2017, and increased production, partially offset by lower margins on third party sales volumes. Net sales for the second quarter of 2018 increased by $11.9 million as compared to net sales for the second quarter of 2017 mainly due to increased sales volumes to Westlake and third parties, partially offset by lower third party sales prices. Income from operations was $89.7 million for the second quarter of 2018 as compared to $92.7 million for the second quarter of 2017. Income from operations for the second quarter of 2018 decreased mainly as a result of the lower third party sales prices and an increase in feedstock costs, partially offset by higher sales volumes to Westlake and third parties resulting primarily from higher production at our Calvert City Olefins facility and higher pipeline services fee income as compared to the second quarter of 2017.</w:t>
      </w:r>
    </w:p>
    <w:p>
      <w:pPr>
        <w:spacing w:after="0" w:line="121"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For the six months ended June 30, 2018, net income was $165.2 million on net sales of $586.2 million. This represents a decrease in net income of $7.3 million as compared to the six months ended June 30, 2017 net income of $172.5 million on net sales of $567.6 million. Net income was lower primarily as a result of lower third party sales prices and higher feedstock costs, partially offset by higher sales volumes driven by the higher production at our Calvert City Olefins facility and higher pipeline services fee income. Our Calvert City Olefins facility production was lower in the six months ended June 30, 2017 because of the planned upgrade and expansion project in March and April 2017. Net income attributable to Westlake Chemical Partners LP for the six months ended June 30, 2018 was $25.1 million as compared to $19.7 million for the six months ended June 30, 2017, an increase of $5.3 million, which was primarily due to a 5% increase in the Partnership's interest in OpCo, effective as of July 1, 2017, and increased production, partially offset by lower margins on third party sales volumes. Net sales for the six months ended June 30, 2018 increased by $18.6 million as compared to net sales for the six months ended June 30, 2017 mainly due to increased sales volumes to Westlake and third parties, partially offset by lower third party sales prices. Income from operations was $175.1 million for the six months ended June 30, 2018 as compared to $182.8 million for the six months ended June 30, 2017. Income from operations for the six months ended June 30, 2018 decreased mainly as a result of lower third party sales prices and an increase in feedstock costs, partially offset by higher sales volumes to Westlake and third parties resulting primarily from higher production at our Calvert City Olefins facility and higher pipeline services fee income as compared to the six months ended June 30,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2018 Compared with Second Quarter 2017</w:t>
      </w:r>
    </w:p>
    <w:p>
      <w:pPr>
        <w:spacing w:after="0" w:line="9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Total net sales increased by $11.9 million, or 4.1%, to $302.0 million in the second quarter of 2018 from $290.1 million in the second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2017. The overall increase in sales volumes, resulting from higher sales volumes to Westlake and third parties, and increased pipeline services fees for the second quarter of 2018, contributed to a 4.1% increase in net sales, as compared to the second quarter of 2017. The overall average sales price in the second quarter of 2018 remained consistent with the second quarter of 2017, primarily because the lower third party sales price was mostly offset by a higher ethylene sales price to Westlake.</w:t>
      </w:r>
    </w:p>
    <w:p>
      <w:pPr>
        <w:spacing w:after="0" w:line="134"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decreased to $97.1 million for the second quarter of 2018 from $99.6 million for the second quarter of 2017. The gross profit</w:t>
      </w:r>
      <w:r>
        <w:rPr>
          <w:rFonts w:ascii="Arial" w:cs="Arial" w:eastAsia="Arial" w:hAnsi="Arial"/>
          <w:sz w:val="17"/>
          <w:szCs w:val="17"/>
          <w:i w:val="1"/>
          <w:iCs w:val="1"/>
          <w:color w:val="auto"/>
        </w:rPr>
        <w:t xml:space="preserve"> </w:t>
      </w:r>
      <w:r>
        <w:rPr>
          <w:rFonts w:ascii="Arial" w:cs="Arial" w:eastAsia="Arial" w:hAnsi="Arial"/>
          <w:sz w:val="17"/>
          <w:szCs w:val="17"/>
          <w:color w:val="auto"/>
        </w:rPr>
        <w:t>margin in the second quarter of 2018 was 32.2%, as compared to 34.3% for the second quarter of 2017. The second quarter of 2018 gross profit margin was lower mainly due to the lower third party sales prices and higher feedstock costs, partially offset by overall higher sales volumes as a result of higher production at our Calvert City Olefins facility and higher pipeline services fee income, as compared to the second quarter of 2017. Our Calvert City Olefins facility production was lower in the first quarter of 2017 because of the upgrade and expansion project in March and April 2017.</w:t>
      </w:r>
    </w:p>
    <w:p>
      <w:pPr>
        <w:spacing w:after="0" w:line="119"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by $0.5 million, or 7.2%, to $7.4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2018 as compared to $6.9 million in the second quarter of 2017. The change was mainly attributable to a decline in the doubtful accounts provision in the second quarter of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00" w:firstLine="432"/>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by $0.4 million to $5.5 million in the second quarter of 2018 from $5.9 million in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2017, largely due to a lower average debt balance in the second quarter of 2018, mostly offset by a higher interest rate on debt due to an increase in the London Interbank Offered Rate ("LIBOR") in the 2018 period. The lower debt balance was due to the partial repayment of borrowings under the OpCo Revolver and full repayment of the August 2013 Promissory Notes during the second half of 2017, in both cases using the funds generated from the secondary equity offering.</w:t>
      </w:r>
    </w:p>
    <w:p>
      <w:pPr>
        <w:spacing w:after="0" w:line="134" w:lineRule="exact"/>
        <w:rPr>
          <w:sz w:val="20"/>
          <w:szCs w:val="20"/>
          <w:color w:val="auto"/>
        </w:rPr>
      </w:pPr>
    </w:p>
    <w:p>
      <w:pPr>
        <w:jc w:val="both"/>
        <w:ind w:right="100" w:firstLine="432"/>
        <w:spacing w:after="0" w:line="286" w:lineRule="auto"/>
        <w:rPr>
          <w:sz w:val="20"/>
          <w:szCs w:val="20"/>
          <w:color w:val="auto"/>
        </w:rPr>
      </w:pPr>
      <w:r>
        <w:rPr>
          <w:rFonts w:ascii="Arial" w:cs="Arial" w:eastAsia="Arial" w:hAnsi="Arial"/>
          <w:sz w:val="17"/>
          <w:szCs w:val="17"/>
          <w:i w:val="1"/>
          <w:iCs w:val="1"/>
          <w:color w:val="auto"/>
        </w:rPr>
        <w:t xml:space="preserve">Other Income. </w:t>
      </w:r>
      <w:r>
        <w:rPr>
          <w:rFonts w:ascii="Arial" w:cs="Arial" w:eastAsia="Arial" w:hAnsi="Arial"/>
          <w:sz w:val="17"/>
          <w:szCs w:val="17"/>
          <w:color w:val="auto"/>
        </w:rPr>
        <w:t>The increase in other income in the second quarter of 2018 as compared to the second quarter of 2017 was primarily due to the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related to the investment management agreement executed on August 1, 2017 between the Partnership, OpCo and Westlake that authorized Westlake to invest the Partnership's and OpCo’s excess cash with Westlake ("Investment Management Agreement").</w:t>
      </w:r>
    </w:p>
    <w:p>
      <w:pPr>
        <w:spacing w:after="0" w:line="11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 xml:space="preserve">MLP Distributable Cash Flow. </w:t>
      </w:r>
      <w:r>
        <w:rPr>
          <w:rFonts w:ascii="Arial" w:cs="Arial" w:eastAsia="Arial" w:hAnsi="Arial"/>
          <w:sz w:val="18"/>
          <w:szCs w:val="18"/>
          <w:color w:val="auto"/>
        </w:rPr>
        <w:t>MLP distributable cash flow increased by $5.0 million to $16.0 million in the second quarter of 2018 from $11.0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second quarter of 2017. The increase in MLP distributable cash flow in the first quarter of 2018 as compared to the prior-year period was primarily due to the 5% increase in the Partnership's interest in OpCo, effective as of July 1, 2017, increased production and the elimination of the Partnership's distributions to Westlake as the holder of the Partnership's incentive distribution rights as a result of the July amendment of the Partnership's target distribution tiers.</w:t>
      </w:r>
    </w:p>
    <w:p>
      <w:pPr>
        <w:spacing w:after="0" w:line="13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EBITDA decreased by $2.1 million to $117.9 million in the second quarter of 2018 from $120.0 million in the second quarter of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EBITDA as compared to the prior-year period was primarily due to lower third party sales prices and increased feedstock costs, partially offset by higher sales volumes as a result of higher production at our Calvert City Olefins facility.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2018 Compared with Six Months Ended June 30, 2017</w:t>
      </w:r>
    </w:p>
    <w:p>
      <w:pPr>
        <w:spacing w:after="0" w:line="9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Total net sales increased by $18.6 million, or 3.3%, to $586.2 million in the six months ended June 30, 2018 from $567.6 million in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2017. The overall increase in sales volumes for the six months ended June 30, 2018 contributed to a 4.7% increase in net sales, as compared to the six months ended June 30, 2017, which was mainly due to higher sales volumes to Westlake and third parties and higher pipeline services fees income. The average sales price contributed to a decrease in net sales by 1.4% in the six months ended June 30, 2018 compared to the six months ended June 30, 2017, primarily as a result of lower sales prices to third parties.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decreased to $189.6 million for the six months ended June 30, 2018 from $197.5 million for the six months ended June 30,</w:t>
      </w:r>
    </w:p>
    <w:p>
      <w:pPr>
        <w:spacing w:after="0" w:line="46" w:lineRule="exact"/>
        <w:rPr>
          <w:sz w:val="20"/>
          <w:szCs w:val="20"/>
          <w:color w:val="auto"/>
        </w:rPr>
      </w:pPr>
    </w:p>
    <w:p>
      <w:pPr>
        <w:jc w:val="both"/>
        <w:ind w:right="420"/>
        <w:spacing w:after="0" w:line="253" w:lineRule="auto"/>
        <w:rPr>
          <w:sz w:val="20"/>
          <w:szCs w:val="20"/>
          <w:color w:val="auto"/>
        </w:rPr>
      </w:pPr>
      <w:r>
        <w:rPr>
          <w:rFonts w:ascii="Arial" w:cs="Arial" w:eastAsia="Arial" w:hAnsi="Arial"/>
          <w:sz w:val="18"/>
          <w:szCs w:val="18"/>
          <w:color w:val="auto"/>
        </w:rPr>
        <w:t>2017. The gross profit margin in the six months ended June 30, 2018 was 32.3%, as compared to 34.8% for the six months ended June 30, 2017. The six months ended June 30, 2018 gross profit margin was lower mainly due to lower third party sales prices and increased feedstock costs, partially offset by higher sales volumes as a result of higher production at our Calvert City Olefins facility and higher pipeline services fee income, as compared to the six months ended June 30, 2017. Our Calvert City Olefins facility production was lower in the six months ended June 30, 2017 because of the upgrade and expansion project in March and April 2017.</w:t>
      </w:r>
    </w:p>
    <w:p>
      <w:pPr>
        <w:spacing w:after="0" w:line="13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decreased by $0.2 million, or 1.4%, to $14.5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2018 as compared to $14.7 million in the six months ended June 30, 2017. The decrease was mainly attributable to lower services costs in the six months ended June 30, 2018, as compared to the prior-year period.</w:t>
      </w:r>
    </w:p>
    <w:p>
      <w:pPr>
        <w:spacing w:after="0" w:line="12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by $1.0 million to $10.4 million in the six months ended June 30, 2018 from $11.4 million in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2017, due to a lower average debt balance in the six months ended June 30, 2018, which was mostly offset by a higher interest rate on debt due to an increase in LIBOR in the 2018 period. The lower debt balance was due to the partial repayment of borrowings under the OpCo Revolver and full repayment of the August 2013 Promissory Notes during the second half of 2017, in both cases using the funds generated from the secondary equity offering.</w:t>
      </w:r>
    </w:p>
    <w:p>
      <w:pPr>
        <w:spacing w:after="0" w:line="134"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i w:val="1"/>
          <w:iCs w:val="1"/>
          <w:color w:val="auto"/>
        </w:rPr>
        <w:t xml:space="preserve">Other Income. </w:t>
      </w:r>
      <w:r>
        <w:rPr>
          <w:rFonts w:ascii="Arial" w:cs="Arial" w:eastAsia="Arial" w:hAnsi="Arial"/>
          <w:sz w:val="16"/>
          <w:szCs w:val="16"/>
          <w:color w:val="auto"/>
        </w:rPr>
        <w:t>The decrease in other income in the six months ended June 30, 2018 as compared to the six months ended June 30, 2017 was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due to the recognition in the six months ended June 30, 2017 of an insurance recovery received for the 2016 Calvert City Olefins facility unplanned shut-down, which was offset by interest income earned under the Investment Management Agreement in the six months ended June 30, 2018.</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MLP Distributable Cash Flow. </w:t>
      </w:r>
      <w:r>
        <w:rPr>
          <w:rFonts w:ascii="Arial" w:cs="Arial" w:eastAsia="Arial" w:hAnsi="Arial"/>
          <w:sz w:val="17"/>
          <w:szCs w:val="17"/>
          <w:color w:val="auto"/>
        </w:rPr>
        <w:t>MLP distributable cash flow increased by $8.1 million to $30.5 million in the six months ended June 30, 2018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$22.4 million in the six months ended June 30, 2017. The increase in MLP distributable cash flow in the six months ended June 30, 2018 as compared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prior-year period was primarily due to the 5% increase in the Partnership's interest in OpCo, effective as of July 1, 2017.</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60" w:firstLine="432"/>
        <w:spacing w:after="0" w:line="286" w:lineRule="auto"/>
        <w:rPr>
          <w:sz w:val="20"/>
          <w:szCs w:val="20"/>
          <w:color w:val="auto"/>
        </w:rPr>
      </w:pPr>
      <w:r>
        <w:rPr>
          <w:rFonts w:ascii="Arial" w:cs="Arial" w:eastAsia="Arial" w:hAnsi="Arial"/>
          <w:sz w:val="17"/>
          <w:szCs w:val="17"/>
          <w:i w:val="1"/>
          <w:iCs w:val="1"/>
          <w:color w:val="auto"/>
        </w:rPr>
        <w:t xml:space="preserve">EBITDA. </w:t>
      </w:r>
      <w:r>
        <w:rPr>
          <w:rFonts w:ascii="Arial" w:cs="Arial" w:eastAsia="Arial" w:hAnsi="Arial"/>
          <w:sz w:val="17"/>
          <w:szCs w:val="17"/>
          <w:color w:val="auto"/>
        </w:rPr>
        <w:t>EBITDA decreased by $10.5 million to $231.5 million in the six months ended June 30, 2018 from $241.9 million in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2017. The decrease in EBITDA as compared to the prior-year period was primarily due to lower third party sales prices and increased feedstock costs, partially offset by higher sales volumes as a result of higher production at our Calvert City Olefins facility.</w:t>
      </w:r>
    </w:p>
    <w:p>
      <w:pPr>
        <w:spacing w:after="0" w:line="189" w:lineRule="exact"/>
        <w:rPr>
          <w:sz w:val="20"/>
          <w:szCs w:val="20"/>
          <w:color w:val="auto"/>
        </w:rPr>
      </w:pPr>
    </w:p>
    <w:p>
      <w:pPr>
        <w:ind w:right="4420"/>
        <w:spacing w:after="0" w:line="346" w:lineRule="auto"/>
        <w:rPr>
          <w:sz w:val="20"/>
          <w:szCs w:val="20"/>
          <w:color w:val="auto"/>
        </w:rPr>
      </w:pPr>
      <w:r>
        <w:rPr>
          <w:rFonts w:ascii="Arial" w:cs="Arial" w:eastAsia="Arial" w:hAnsi="Arial"/>
          <w:sz w:val="18"/>
          <w:szCs w:val="18"/>
          <w:b w:val="1"/>
          <w:bCs w:val="1"/>
          <w:color w:val="auto"/>
        </w:rPr>
        <w:t xml:space="preserve">CASH FLOW DISCUSSION FOR THE SIX MONTHS ENDED JUNE 30, 2018 AND 2017 </w:t>
      </w:r>
      <w:r>
        <w:rPr>
          <w:rFonts w:ascii="Arial" w:cs="Arial" w:eastAsia="Arial" w:hAnsi="Arial"/>
          <w:sz w:val="18"/>
          <w:szCs w:val="18"/>
          <w:b w:val="1"/>
          <w:bCs w:val="1"/>
          <w:i w:val="1"/>
          <w:iCs w:val="1"/>
          <w:color w:val="auto"/>
        </w:rPr>
        <w:t>Operating Activities</w:t>
      </w:r>
    </w:p>
    <w:p>
      <w:pPr>
        <w:spacing w:after="0" w:line="1"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Operating activities provided cash of $220.6 million in the first six months of 2018 compared to cash provided by operating activities of $262.3 million in the first six months of 2017. The $41.7 million decrease in cash flows from operating activities was mainly due to lower operating income, partially offset by an increase in use of cash in working capital during the six months ended June 30, 2018 as compared to the prior-year period. Changes in components of working capital, which we define for the purposes of this cash flow discussion as accounts receivable—Westlake, accounts receivable, net—third parties, inventories, prepaid expenses and other current assets less accounts payable—Westlake, accounts payable—third parties and accrued liabilities, used cash of $0.8 million in the first six months of 2018 as compared to $42.9 million of cash provided in the first six months of 2017, resulting in an overall unfavorable change of $43.7 million. The unfavorable change in working capital was mainly attributable to the unfavorable changes in the accounts receivable—Westlake balance. The cash provided in the first six months of 2017 primarily related to the partial recovery of the Shortfall that was recognized in 2016 as an accounts receivable from Westlake.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Net cash used for investing activities during the first six months of 2018 was $23.4 million as compared to net cash used for investing activities of $42.2 million in the first six months of 2017, mainly due to lower capital expenditures at our facilities in the first six months of 2018 as compared to the prior-year period. Capital expenditures during the first six months of 2018 were primarily related to planned and unplanned outages at our facilities while those during the same period in 2017 primarily reflected capital expenditures incurred for the Calvert City expansion project. Other investing activities in the first six months of 2018 related to investments with Westlake under the Investment Management Agreement.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Net cash used for financing activities during the first six months of 2018 was $195.7 million as compared to net cash used for financing activities of $204.1 million in the first six months of 2017. The cash outflows during the first six months of 2018 were related to the distribution of $172.8 million to Westlake and of $26.6 million to other unitholders by the Partnership. The distributions in the first six months of 2018 were partially offset by borrowings under the OpCo Revolver of $3.6 million. The cash outflows during the first six months of 2017 were related to the distribution of $178.4 million to Westlake and of $19.3 million to other unitholders by the Partnership and the repayment of $26.7 million of borrowings under the OpCo Revolver. The distributions and repayment in the first six months of 2017 were partially offset by borrowings under the OpCo Revolver of $20.4 million to fund capital expenditures.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9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and debt interests.</w:t>
      </w:r>
    </w:p>
    <w:p>
      <w:pPr>
        <w:spacing w:after="0" w:line="12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common units representing limited partner interests of the Partnership, other classes of units representing limited partners interests of the Partnership or debt securities.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required to do so.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In order to fund non-annual turnaround expenditures, we cause OpCo to reserve approximately $30.0 million during each twelve-month period for turnaround activities.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117"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Our cash is generated from cash distributions from OpCo. OpCo was a restricted subsidiary and guarantor under Westlake's credit facility and the indentures governing its senior notes until August 2016, but OpCo remains a restricted subsidiary under Westlake's credit facility and indentures governing its senior notes. The guarantees were released in August 2016. The indentures governing Westlake's senior notes prevent OpCo from making distributions to us if any default or event of default (as defined in the indentures) exists. Westlake's credit facility does not prevent OpCo from making distributions to us.</w:t>
      </w:r>
    </w:p>
    <w:p>
      <w:pPr>
        <w:spacing w:after="0" w:line="100"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On July 31, 2018, the board of directors of Westlake Chemical Partners GP LLC, our general partner, approved a quarterly distribution of $0.4088 per unit payable on August 24, 2018 to unitholders of record as of August 10, 2018, which equates to a total amount of approximately $13.2 million per quarter, or approximately $52.7 million per year in aggregate, based on the number of common units outstanding on June 30, 2018. We do not have a legal or contractual obligation to pay distributions on a quarterly basis or any other basis at our minimum quarterly distribution rate or any other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Westlake has historically funded expansion capital expenditures related to Lake Charles Olefins and Calvert City Olefins. During the six months ended June 30, 2018 and 2017, Westlake loaned OpCo $3.6 million and $20.4 million, respectively. The $3.6 million was used to fund working capital needs in the first six months of 2018, while the $20.4 million was used to fund the expansion capital expenditures in 2017. The total capital expenditures, which include expansion and capital maintenance costs, for 2018 are expected to be approximately $60.4 million, of which $16.6 million was spent during the six months ended June 30, 2018. We expect that Westlake will loan additional cash to OpCo to fund its expansion capital expenditures in the future, but Westlake is under no obligation to do so.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440" w:firstLine="446"/>
        <w:spacing w:after="0" w:line="264" w:lineRule="auto"/>
        <w:rPr>
          <w:sz w:val="20"/>
          <w:szCs w:val="20"/>
          <w:color w:val="auto"/>
        </w:rPr>
      </w:pPr>
      <w:r>
        <w:rPr>
          <w:rFonts w:ascii="Arial" w:cs="Arial" w:eastAsia="Arial" w:hAnsi="Arial"/>
          <w:sz w:val="18"/>
          <w:szCs w:val="18"/>
          <w:color w:val="auto"/>
        </w:rPr>
        <w:t>As of June 30, 2018, our cash and cash equivalents totaled $28.5 million. In addition, we have cash invested under the Investment Management Agreement (as described below) and a revolving credit facility with Westlake available to supplement cash if needed, as described under "Indebtedness" below.</w:t>
      </w:r>
    </w:p>
    <w:p>
      <w:pPr>
        <w:spacing w:after="0" w:line="127"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In August 2017, the Partnership, OpCo and Westlake executed the Investment Management Agreement that authorized Westlake to invest the Partnership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$143.2 million of cash invested under the Investment Management Agreement at June 30,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OpCo Revolver</w:t>
      </w:r>
    </w:p>
    <w:p>
      <w:pPr>
        <w:spacing w:after="0" w:line="90" w:lineRule="exact"/>
        <w:rPr>
          <w:sz w:val="20"/>
          <w:szCs w:val="20"/>
          <w:color w:val="auto"/>
        </w:rPr>
      </w:pPr>
    </w:p>
    <w:p>
      <w:pPr>
        <w:jc w:val="both"/>
        <w:ind w:right="60" w:firstLine="392"/>
        <w:spacing w:after="0" w:line="286" w:lineRule="auto"/>
        <w:rPr>
          <w:sz w:val="20"/>
          <w:szCs w:val="20"/>
          <w:color w:val="auto"/>
        </w:rPr>
      </w:pPr>
      <w:r>
        <w:rPr>
          <w:rFonts w:ascii="Arial" w:cs="Arial" w:eastAsia="Arial" w:hAnsi="Arial"/>
          <w:sz w:val="17"/>
          <w:szCs w:val="17"/>
          <w:color w:val="auto"/>
        </w:rPr>
        <w:t>In connection with the IPO, OpCo entered into a $600.0 million revolving credit facility with Westlake (the "OpCo Revolver") that may be used to fund growth projects and working capital needs. As of June 30, 2018, outstanding borrowings under the OpCo Revolver totaled $224.1 million and bore interest at the LIBOR rate plus 3.0%, which is accrued in arrears quarterly. The OpCo Revolver is scheduled to mature in August 2019.</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MLP Revolver</w:t>
      </w:r>
    </w:p>
    <w:p>
      <w:pPr>
        <w:spacing w:after="0" w:line="90"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In 2015, we entered into a senior, unsecured revolving credit agreement with Westlake Chemical Finance Corporation, an affiliate of Westlake (the "MLP Revolver"). The MLP Revolver has a borrowing capacity of $600 million and is scheduled to mature in 2021. Borrowings under the MLP Revolver bear interest at LIBOR plus a spread ranging from 2.0% to 3.0% (depending on our consolidated leverage ratio), payable quarterly.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 or less, or (2) during any other period, 4.50:1.0 or less. The MLP Revolver also contains certain other customary covenants. The repayment of borrowings under the MLP Revolver is subject to acceleration upon the occurrence of an event of default. As of June 30, 2018, outstanding borrowings under the MLP Revolver totaled $253.5 million. We intend to use the MLP Revolver to purchase additional limited partnership interests in OpCo in the future, in the event OpCo desires to sell such additional interests to us, for other acquisitions and for general corporate purposes.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23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of ethane that we are able to process, which could be adversely affected by, among other things, operating difficulties;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volume of ethylene that we are able to sell;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at which we are able to sell ethylene;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industry market outlook, including prices and margins in third-party ethylene and co-products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parties to whom we will sell ethylene and on what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volumes of ethylene that Westlake may purchase, in addition to the minimum commitment under the Ethylene Sales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funding and results of capital projects;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intended minimum quarterly distributions and the manner of making such distributions;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meet our liquidity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and amount of capital expenditures;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loans from Westlake to OpCo to fund OpCo's expansion capital expenditures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expected mitigation of exposure to commodity price fluctuations;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turnaround activities and the variability of OpCo's cash flow;</w:t>
      </w:r>
    </w:p>
    <w:p>
      <w:pPr>
        <w:spacing w:after="0" w:line="171" w:lineRule="exact"/>
        <w:rPr>
          <w:rFonts w:ascii="Arial" w:cs="Arial" w:eastAsia="Arial" w:hAnsi="Arial"/>
          <w:sz w:val="18"/>
          <w:szCs w:val="18"/>
          <w:color w:val="auto"/>
        </w:rPr>
      </w:pPr>
    </w:p>
    <w:p>
      <w:pPr>
        <w:ind w:left="660" w:right="30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 and</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effects of pending legal proceedings.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under "Risk Factors" in the 2017 Form 10-K and the following:</w:t>
      </w:r>
    </w:p>
    <w:p>
      <w:pPr>
        <w:spacing w:after="0" w:line="22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cyclical nature of the chemical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cost and volatility of raw materials and energy;</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uncertainties associated with the United States and worldwide economies, including those due to political tensions and unrest in the Middle East, the Commonwealth of Independent States (including Ukraine) and elsewhere;</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and potential governmental regulatory actions in the United States and regulatory actions and political unrest in other countries, including environmental regulations;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industry production capacity and operating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supply/demand balance for our product;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 products and pricing pressures;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instability in the credit and financial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access to capital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laws or regulations, including trade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currency exchange risks;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implement our business strategies;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creditworthiness of our customers.</w:t>
      </w:r>
    </w:p>
    <w:p>
      <w:pPr>
        <w:spacing w:after="0" w:line="25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 of our total ethylene production, which is the portion sold to third parties. We believe we have substantially mitigated our indirect exposure to commodity price fluctuations during the term of the Ethylene Sales Agreement through the minimum commitment and the cost-plus based pricing.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are exposed to interest rate risk with respect to our outstanding debt, all of which is variable rate debt. At June 30, 2018, we had variable rate debt of $477.6 million outstanding, all of which was owed to wholly-owned subsidiaries of Westlake, $224.1 million of which currently accrues interest at a variable rate of LIBOR plus 300 basis points and the remaining $253.5 million of which currently accrues interest at a variable rate of LIBOR plus 200 basis points.</w:t>
      </w:r>
    </w:p>
    <w:p>
      <w:pPr>
        <w:ind w:right="40"/>
        <w:spacing w:after="0" w:line="292" w:lineRule="auto"/>
        <w:rPr>
          <w:sz w:val="20"/>
          <w:szCs w:val="20"/>
          <w:color w:val="auto"/>
        </w:rPr>
      </w:pPr>
      <w:r>
        <w:rPr>
          <w:rFonts w:ascii="Arial" w:cs="Arial" w:eastAsia="Arial" w:hAnsi="Arial"/>
          <w:sz w:val="16"/>
          <w:szCs w:val="16"/>
          <w:color w:val="auto"/>
        </w:rPr>
        <w:t>During August 2015, the Partnership entered into an interest rate contract with Westlake to fix the LIBOR component of the interest rate for a portion of the debt. The weighted average variable interest rate of our debt, excluding the effectively fixed rate portion through the interest rate contract, as of June 30, 2018 was 4.9%. We will continue to be subject to interest rate risk with respect to our variable rate debt as well as the risk of higher interest cost if and when this debt is refinanced. A hypothetical increase in our average interest rate on variable rate debt (excluding the effectively fixed rate debt portion through the interest rate contract) by 100 basis points would increase our annual interest expense by approximately $4.1 million, based on the June 30, 2018 debt balance.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2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June 30, 2018 that have materially affected, or are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2017 Form 10-K, filed on March 1, 2018, contained a description of various legal proceedings in which we are involved, including environmental proceedings. See below and Note 12 to the unaudited consolidated financial statements within this Quarterly Report on Form 10-Q for a description of certain of those proceedings, which information is incorporated by reference herein. In addition, under the Omnibus Agreement, Westlake Chemical Corporation ("Westlake") has agreed to indemnify the Partnership for certain environmental and other liabilities relating to OpCo's processing facilities and related assets.</w:t>
      </w:r>
    </w:p>
    <w:p>
      <w:pPr>
        <w:spacing w:after="0" w:line="10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i w:val="1"/>
          <w:iCs w:val="1"/>
          <w:color w:val="auto"/>
        </w:rPr>
        <w:t>Potential Flare Modifications</w:t>
      </w:r>
      <w:r>
        <w:rPr>
          <w:rFonts w:ascii="Arial" w:cs="Arial" w:eastAsia="Arial" w:hAnsi="Arial"/>
          <w:sz w:val="17"/>
          <w:szCs w:val="17"/>
          <w:color w:val="auto"/>
        </w:rPr>
        <w:t>. For several years, the Environmental Protection Agency ("EPA") has been conducting an enforcement initiative against</w:t>
      </w:r>
      <w:r>
        <w:rPr>
          <w:rFonts w:ascii="Arial" w:cs="Arial" w:eastAsia="Arial" w:hAnsi="Arial"/>
          <w:sz w:val="17"/>
          <w:szCs w:val="17"/>
          <w:i w:val="1"/>
          <w:iCs w:val="1"/>
          <w:color w:val="auto"/>
        </w:rPr>
        <w:t xml:space="preserve"> </w:t>
      </w:r>
      <w:r>
        <w:rPr>
          <w:rFonts w:ascii="Arial" w:cs="Arial" w:eastAsia="Arial" w:hAnsi="Arial"/>
          <w:sz w:val="17"/>
          <w:szCs w:val="17"/>
          <w:color w:val="auto"/>
        </w:rPr>
        <w:t>petroleum refineries and petrochemical plants with respect to emissions from flares. On April 21, 2014, Westlake received a Clean Air Act Section 114 Information Request from the EPA which sought information regarding flares at the Calvert City and Lake Charles facilities. The EPA has informed Westlake that the information provided leads the EPA to believe that some of the flares are out of compliance with applicable standards. The EPA has indicated that it is seeking a consent decree that would obligate Westlake to take corrective actions relating to the alleged noncompliance. The Partnership believes the resolution of these matters may require the payment of a monetary sanction in excess of $100,000.</w:t>
      </w:r>
    </w:p>
    <w:p>
      <w:pPr>
        <w:spacing w:after="0" w:line="124"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i w:val="1"/>
          <w:iCs w:val="1"/>
          <w:color w:val="auto"/>
        </w:rPr>
        <w:t>Risk Management Program Investigation</w:t>
      </w:r>
      <w:r>
        <w:rPr>
          <w:rFonts w:ascii="Arial" w:cs="Arial" w:eastAsia="Arial" w:hAnsi="Arial"/>
          <w:sz w:val="18"/>
          <w:szCs w:val="18"/>
          <w:color w:val="auto"/>
        </w:rPr>
        <w:t>. The EPA has conducted inspections and information requests to assess compliance with Risk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requirements under the Clean Air Act at the Calvert City facility. The EPA has identified concerns with the facility’s compliance under the Risk Management Program and Release Prevention regulations in connection with certain emissions release events between 2011 and 2015. Westlake has engaged in communications with EPA Region 4 to resolve these concerns. Westlake has reached agreement in principle with the EPA to resolve all concerns for a penalty of $196,000, a portion of which may be offset by Westlake undertaking a Supplemental Environmental Project, which the EPA and Westlake are currently evaluating.</w:t>
      </w:r>
    </w:p>
    <w:p>
      <w:pPr>
        <w:spacing w:after="0" w:line="13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i w:val="1"/>
          <w:iCs w:val="1"/>
          <w:color w:val="auto"/>
        </w:rPr>
        <w:t>Kentucky Notices of Violation</w:t>
      </w:r>
      <w:r>
        <w:rPr>
          <w:rFonts w:ascii="Arial" w:cs="Arial" w:eastAsia="Arial" w:hAnsi="Arial"/>
          <w:sz w:val="17"/>
          <w:szCs w:val="17"/>
          <w:color w:val="auto"/>
        </w:rPr>
        <w:t>. The Kentucky Energy and Environment Cabinet ("KEEC") has indicated that it intends to proceed with enforcement on</w:t>
      </w:r>
      <w:r>
        <w:rPr>
          <w:rFonts w:ascii="Arial" w:cs="Arial" w:eastAsia="Arial" w:hAnsi="Arial"/>
          <w:sz w:val="17"/>
          <w:szCs w:val="17"/>
          <w:i w:val="1"/>
          <w:iCs w:val="1"/>
          <w:color w:val="auto"/>
        </w:rPr>
        <w:t xml:space="preserve"> </w:t>
      </w:r>
      <w:r>
        <w:rPr>
          <w:rFonts w:ascii="Arial" w:cs="Arial" w:eastAsia="Arial" w:hAnsi="Arial"/>
          <w:sz w:val="17"/>
          <w:szCs w:val="17"/>
          <w:color w:val="auto"/>
        </w:rPr>
        <w:t>two Notices of Violation ("NOVs") received by the Calvert City facility in December 2016 and May 2017. The NOVs allege violations of state and federal air requirements in connection with the operation of the olefins unit at the facility. We are engaged in negotiations with KEEC to resolve these alleged violations. The Partnership believes the resolution of these matters may require the payment of a monetary sanction in excess of $100,000.</w:t>
      </w:r>
    </w:p>
    <w:p>
      <w:pPr>
        <w:spacing w:after="0" w:line="117"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In addition to the matters described above, 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For a discussion of risk factors, please read Item IA, "Risk Factors" in the 2017 Form 10-K. There have been no material changes from those risk factors.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20" w:type="dxa"/>
            <w:vAlign w:val="bottom"/>
            <w:gridSpan w:val="5"/>
          </w:tcPr>
          <w:p>
            <w:pPr>
              <w:ind w:left="2900"/>
              <w:spacing w:after="0"/>
              <w:rPr>
                <w:sz w:val="20"/>
                <w:szCs w:val="20"/>
                <w:color w:val="auto"/>
              </w:rPr>
            </w:pPr>
            <w:r>
              <w:rPr>
                <w:rFonts w:ascii="Arial" w:cs="Arial" w:eastAsia="Arial" w:hAnsi="Arial"/>
                <w:sz w:val="18"/>
                <w:szCs w:val="18"/>
                <w:b w:val="1"/>
                <w:bCs w:val="1"/>
                <w:color w:val="auto"/>
              </w:rPr>
              <w:t>EXHIBIT INDEX</w:t>
            </w:r>
          </w:p>
        </w:tc>
      </w:tr>
      <w:tr>
        <w:trPr>
          <w:trHeight w:val="346"/>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45"/>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24"/>
                <w:szCs w:val="24"/>
                <w:color w:val="auto"/>
              </w:rPr>
            </w:pPr>
          </w:p>
        </w:tc>
        <w:tc>
          <w:tcPr>
            <w:tcW w:w="9920" w:type="dxa"/>
            <w:vAlign w:val="bottom"/>
            <w:tcBorders>
              <w:bottom w:val="single" w:sz="8" w:color="0000FF"/>
            </w:tcBorders>
            <w:gridSpan w:val="6"/>
          </w:tcPr>
          <w:p>
            <w:pPr>
              <w:spacing w:after="0"/>
              <w:rPr>
                <w:rFonts w:ascii="Arial" w:cs="Arial" w:eastAsia="Arial" w:hAnsi="Arial"/>
                <w:sz w:val="18"/>
                <w:szCs w:val="18"/>
                <w:color w:val="0000FF"/>
                <w:w w:val="90"/>
              </w:rPr>
            </w:pPr>
            <w:hyperlink r:id="rId28">
              <w:r>
                <w:rPr>
                  <w:rFonts w:ascii="Arial" w:cs="Arial" w:eastAsia="Arial" w:hAnsi="Arial"/>
                  <w:sz w:val="18"/>
                  <w:szCs w:val="18"/>
                  <w:color w:val="0000FF"/>
                  <w:w w:val="90"/>
                </w:rPr>
                <w:t>Amendment No. 2 to the first Amended and Restated Agreement of Limited Partnership of Westlake Chemical Partners, LP (incorporated</w:t>
              </w:r>
            </w:hyperlink>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78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by reference to Exhibit 3.1 to Westlake Chemical Partners LP's Current Report on Form 8-K filed on July 30, 2018 (file No. 01-36567))</w:t>
              </w:r>
            </w:hyperlink>
          </w:p>
        </w:tc>
        <w:tc>
          <w:tcPr>
            <w:tcW w:w="140" w:type="dxa"/>
            <w:vAlign w:val="bottom"/>
          </w:tcPr>
          <w:p>
            <w:pPr>
              <w:spacing w:after="0"/>
              <w:rPr>
                <w:sz w:val="17"/>
                <w:szCs w:val="17"/>
                <w:color w:val="auto"/>
              </w:rPr>
            </w:pPr>
          </w:p>
        </w:tc>
      </w:tr>
      <w:tr>
        <w:trPr>
          <w:trHeight w:val="37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31.1†</w:t>
            </w:r>
          </w:p>
        </w:tc>
        <w:tc>
          <w:tcPr>
            <w:tcW w:w="9920" w:type="dxa"/>
            <w:vAlign w:val="bottom"/>
            <w:gridSpan w:val="6"/>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Rule 13a – 14(a) / 15d – 14(a) Certification (Principal Executive Officer)</w:t>
              </w:r>
            </w:hyperlink>
          </w:p>
        </w:tc>
      </w:tr>
      <w:tr>
        <w:trPr>
          <w:trHeight w:val="37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31.2†</w:t>
            </w:r>
          </w:p>
        </w:tc>
        <w:tc>
          <w:tcPr>
            <w:tcW w:w="52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2"/>
              </w:rPr>
            </w:pPr>
            <w:hyperlink w:anchor="page33">
              <w:r>
                <w:rPr>
                  <w:rFonts w:ascii="Arial" w:cs="Arial" w:eastAsia="Arial" w:hAnsi="Arial"/>
                  <w:sz w:val="18"/>
                  <w:szCs w:val="18"/>
                  <w:color w:val="0000FF"/>
                  <w:w w:val="92"/>
                </w:rPr>
                <w:t>Rule 13a – 14(a) / 15d – 14(a) Certification (Principal Financial Officer)</w:t>
              </w:r>
            </w:hyperlink>
          </w:p>
        </w:tc>
        <w:tc>
          <w:tcPr>
            <w:tcW w:w="40" w:type="dxa"/>
            <w:vAlign w:val="bottom"/>
            <w:tcBorders>
              <w:top w:val="single" w:sz="8" w:color="0000FF"/>
            </w:tcBorders>
          </w:tcPr>
          <w:p>
            <w:pPr>
              <w:spacing w:after="0"/>
              <w:rPr>
                <w:sz w:val="24"/>
                <w:szCs w:val="24"/>
                <w:color w:val="auto"/>
              </w:rPr>
            </w:pPr>
          </w:p>
        </w:tc>
        <w:tc>
          <w:tcPr>
            <w:tcW w:w="4660" w:type="dxa"/>
            <w:vAlign w:val="bottom"/>
            <w:gridSpan w:val="3"/>
          </w:tcPr>
          <w:p>
            <w:pPr>
              <w:spacing w:after="0"/>
              <w:rPr>
                <w:sz w:val="24"/>
                <w:szCs w:val="24"/>
                <w:color w:val="auto"/>
              </w:rPr>
            </w:pPr>
          </w:p>
        </w:tc>
      </w:tr>
      <w:tr>
        <w:trPr>
          <w:trHeight w:val="372"/>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9920" w:type="dxa"/>
            <w:vAlign w:val="bottom"/>
            <w:gridSpan w:val="6"/>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Section 1350 Certification (Principal Executive Officer and Principal Financial Officer)</w:t>
              </w:r>
            </w:hyperlink>
          </w:p>
        </w:tc>
      </w:tr>
      <w:tr>
        <w:trPr>
          <w:trHeight w:val="41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30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XBRL Instance Document</w:t>
            </w:r>
          </w:p>
        </w:tc>
        <w:tc>
          <w:tcPr>
            <w:tcW w:w="3620" w:type="dxa"/>
            <w:vAlign w:val="bottom"/>
            <w:gridSpan w:val="2"/>
          </w:tcPr>
          <w:p>
            <w:pPr>
              <w:spacing w:after="0"/>
              <w:rPr>
                <w:sz w:val="24"/>
                <w:szCs w:val="24"/>
                <w:color w:val="auto"/>
              </w:rPr>
            </w:pP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92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92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92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92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_____________</w:t>
            </w:r>
          </w:p>
        </w:tc>
        <w:tc>
          <w:tcPr>
            <w:tcW w:w="70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pacing w:after="0" w:line="40"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125" w:right="3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WESTLAKE CHEMICAL PARTNERS LP</w:t>
      </w:r>
    </w:p>
    <w:p>
      <w:pPr>
        <w:spacing w:after="0" w:line="337" w:lineRule="exact"/>
        <w:rPr>
          <w:sz w:val="20"/>
          <w:szCs w:val="20"/>
          <w:color w:val="auto"/>
        </w:rPr>
      </w:pPr>
    </w:p>
    <w:p>
      <w:pPr>
        <w:ind w:left="40"/>
        <w:spacing w:after="0"/>
        <w:tabs>
          <w:tab w:leader="none" w:pos="600" w:val="left"/>
          <w:tab w:leader="none" w:pos="6540" w:val="left"/>
          <w:tab w:leader="none" w:pos="8500" w:val="left"/>
          <w:tab w:leader="none" w:pos="8860" w:val="left"/>
        </w:tabs>
        <w:rPr>
          <w:sz w:val="20"/>
          <w:szCs w:val="20"/>
          <w:color w:val="auto"/>
        </w:rPr>
      </w:pPr>
      <w:r>
        <w:rPr>
          <w:rFonts w:ascii="Arial" w:cs="Arial" w:eastAsia="Arial" w:hAnsi="Arial"/>
          <w:sz w:val="18"/>
          <w:szCs w:val="18"/>
          <w:color w:val="auto"/>
        </w:rPr>
        <w:t>Date:</w:t>
        <w:tab/>
        <w:t>August 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16"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820"/>
        <w:spacing w:after="0"/>
        <w:rPr>
          <w:sz w:val="20"/>
          <w:szCs w:val="20"/>
          <w:color w:val="auto"/>
        </w:rPr>
      </w:pPr>
      <w:r>
        <w:rPr>
          <w:rFonts w:ascii="Arial" w:cs="Arial" w:eastAsia="Arial" w:hAnsi="Arial"/>
          <w:sz w:val="13"/>
          <w:szCs w:val="13"/>
          <w:b w:val="1"/>
          <w:bCs w:val="1"/>
          <w:color w:val="auto"/>
        </w:rPr>
        <w:t>President, Chief Executive Officer and Director of</w:t>
      </w:r>
    </w:p>
    <w:p>
      <w:pPr>
        <w:spacing w:after="0" w:line="3"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Westlake Chemical Partners GP LLC</w:t>
      </w:r>
    </w:p>
    <w:p>
      <w:pPr>
        <w:jc w:val="center"/>
        <w:ind w:left="7300"/>
        <w:spacing w:after="0"/>
        <w:rPr>
          <w:sz w:val="20"/>
          <w:szCs w:val="20"/>
          <w:color w:val="auto"/>
        </w:rPr>
      </w:pPr>
      <w:r>
        <w:rPr>
          <w:rFonts w:ascii="Arial" w:cs="Arial" w:eastAsia="Arial" w:hAnsi="Arial"/>
          <w:sz w:val="14"/>
          <w:szCs w:val="14"/>
          <w:b w:val="1"/>
          <w:bCs w:val="1"/>
          <w:color w:val="auto"/>
        </w:rPr>
        <w:t>(Principal Executive Officer)</w:t>
      </w:r>
    </w:p>
    <w:p>
      <w:pPr>
        <w:spacing w:after="0" w:line="358" w:lineRule="exact"/>
        <w:rPr>
          <w:sz w:val="20"/>
          <w:szCs w:val="20"/>
          <w:color w:val="auto"/>
        </w:rPr>
      </w:pPr>
    </w:p>
    <w:p>
      <w:pPr>
        <w:ind w:left="40"/>
        <w:spacing w:after="0"/>
        <w:tabs>
          <w:tab w:leader="none" w:pos="600" w:val="left"/>
          <w:tab w:leader="none" w:pos="6540" w:val="left"/>
          <w:tab w:leader="none" w:pos="8300" w:val="left"/>
          <w:tab w:leader="none" w:pos="8660" w:val="left"/>
        </w:tabs>
        <w:rPr>
          <w:sz w:val="20"/>
          <w:szCs w:val="20"/>
          <w:color w:val="auto"/>
        </w:rPr>
      </w:pPr>
      <w:r>
        <w:rPr>
          <w:rFonts w:ascii="Arial" w:cs="Arial" w:eastAsia="Arial" w:hAnsi="Arial"/>
          <w:sz w:val="18"/>
          <w:szCs w:val="18"/>
          <w:color w:val="auto"/>
        </w:rPr>
        <w:t>Date:</w:t>
        <w:tab/>
        <w:t>August 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16"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Senior Vice President, Chief Financial Officer and</w:t>
      </w:r>
    </w:p>
    <w:p>
      <w:pPr>
        <w:spacing w:after="0" w:line="3" w:lineRule="exact"/>
        <w:rPr>
          <w:sz w:val="20"/>
          <w:szCs w:val="20"/>
          <w:color w:val="auto"/>
        </w:rPr>
      </w:pPr>
    </w:p>
    <w:p>
      <w:pPr>
        <w:jc w:val="center"/>
        <w:ind w:left="7300"/>
        <w:spacing w:after="0"/>
        <w:rPr>
          <w:sz w:val="20"/>
          <w:szCs w:val="20"/>
          <w:color w:val="auto"/>
        </w:rPr>
      </w:pPr>
      <w:r>
        <w:rPr>
          <w:rFonts w:ascii="Arial" w:cs="Arial" w:eastAsia="Arial" w:hAnsi="Arial"/>
          <w:sz w:val="13"/>
          <w:szCs w:val="13"/>
          <w:b w:val="1"/>
          <w:bCs w:val="1"/>
          <w:color w:val="auto"/>
        </w:rPr>
        <w:t>Director of Westlake Chemical Partners GP LLC</w:t>
      </w:r>
    </w:p>
    <w:p>
      <w:pPr>
        <w:jc w:val="center"/>
        <w:ind w:left="7300"/>
        <w:spacing w:after="0"/>
        <w:rPr>
          <w:sz w:val="20"/>
          <w:szCs w:val="20"/>
          <w:color w:val="auto"/>
        </w:rPr>
      </w:pPr>
      <w:r>
        <w:rPr>
          <w:rFonts w:ascii="Arial" w:cs="Arial" w:eastAsia="Arial" w:hAnsi="Arial"/>
          <w:sz w:val="14"/>
          <w:szCs w:val="14"/>
          <w:b w:val="1"/>
          <w:bCs w:val="1"/>
          <w:color w:val="auto"/>
        </w:rPr>
        <w:t>(Principal Financial Officer)</w:t>
      </w:r>
    </w:p>
    <w:p>
      <w:pPr>
        <w:spacing w:after="0" w:line="25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00"/>
          </w:cols>
          <w:pgMar w:left="240" w:top="125" w:right="75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171" w:lineRule="exact"/>
        <w:rPr>
          <w:sz w:val="20"/>
          <w:szCs w:val="20"/>
          <w:color w:val="auto"/>
        </w:rPr>
      </w:pPr>
    </w:p>
    <w:p>
      <w:pPr>
        <w:ind w:left="720" w:hanging="685"/>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98"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420" w:right="180" w:hanging="696"/>
        <w:spacing w:after="0" w:line="264" w:lineRule="auto"/>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1420" w:right="120" w:hanging="696"/>
        <w:spacing w:after="0" w:line="264" w:lineRule="auto"/>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left="1420" w:right="280" w:hanging="696"/>
        <w:spacing w:after="0" w:line="342" w:lineRule="auto"/>
        <w:tabs>
          <w:tab w:leader="none" w:pos="14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420" w:right="360" w:hanging="696"/>
        <w:spacing w:after="0" w:line="264" w:lineRule="auto"/>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40" w:hanging="685"/>
        <w:spacing w:after="0" w:line="308"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420" w:right="580" w:hanging="696"/>
        <w:spacing w:after="0" w:line="342" w:lineRule="auto"/>
        <w:tabs>
          <w:tab w:leader="none" w:pos="14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420" w:right="280" w:hanging="696"/>
        <w:spacing w:after="0" w:line="277" w:lineRule="auto"/>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tabs>
          <w:tab w:leader="none" w:pos="700" w:val="left"/>
          <w:tab w:leader="none" w:pos="8440" w:val="left"/>
          <w:tab w:leader="none" w:pos="8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 2018</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31750</wp:posOffset>
            </wp:positionV>
            <wp:extent cx="28130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2"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20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4"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171" w:lineRule="exact"/>
        <w:rPr>
          <w:sz w:val="20"/>
          <w:szCs w:val="20"/>
          <w:color w:val="auto"/>
        </w:rPr>
      </w:pPr>
    </w:p>
    <w:p>
      <w:pPr>
        <w:ind w:left="720" w:hanging="685"/>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98"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420" w:right="180" w:hanging="696"/>
        <w:spacing w:after="0" w:line="264" w:lineRule="auto"/>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1420" w:right="120" w:hanging="696"/>
        <w:spacing w:after="0" w:line="264" w:lineRule="auto"/>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left="1420" w:right="280" w:hanging="696"/>
        <w:spacing w:after="0" w:line="342" w:lineRule="auto"/>
        <w:tabs>
          <w:tab w:leader="none" w:pos="14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420" w:right="360" w:hanging="696"/>
        <w:spacing w:after="0" w:line="264" w:lineRule="auto"/>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40" w:hanging="685"/>
        <w:spacing w:after="0" w:line="308" w:lineRule="auto"/>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420" w:right="580" w:hanging="696"/>
        <w:spacing w:after="0" w:line="342" w:lineRule="auto"/>
        <w:tabs>
          <w:tab w:leader="none" w:pos="14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420" w:right="280" w:hanging="696"/>
        <w:spacing w:after="0" w:line="277" w:lineRule="auto"/>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tabs>
          <w:tab w:leader="none" w:pos="600" w:val="left"/>
          <w:tab w:leader="none" w:pos="8380" w:val="left"/>
        </w:tabs>
        <w:rPr>
          <w:sz w:val="20"/>
          <w:szCs w:val="20"/>
          <w:color w:val="auto"/>
        </w:rPr>
      </w:pPr>
      <w:r>
        <w:rPr>
          <w:rFonts w:ascii="Arial" w:cs="Arial" w:eastAsia="Arial" w:hAnsi="Arial"/>
          <w:sz w:val="18"/>
          <w:szCs w:val="18"/>
          <w:color w:val="auto"/>
        </w:rPr>
        <w:t>Date:</w:t>
        <w:tab/>
        <w:t>August 2, 2018</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Senior Vice President, Chief Financial Officer and Director of</w:t>
      </w:r>
    </w:p>
    <w:p>
      <w:pPr>
        <w:jc w:val="center"/>
        <w:ind w:left="708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i w:val="1"/>
          <w:iCs w:val="1"/>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In connection with the Quarterly Report of Westlake Chemical Partners LP (the "Partnership") on Form 10-Q for the fiscal quarter ended June 30, 2018 as filed with the Securities and Exchange Commission on the date hereof (the "Report"), I, Albert Chao, President, Chief Executive Officer and Director of the Partnership, and I, M. Steven Bender, Executive Vice President, Chief Financial Officer and Director of the Partnership, certify, to the best of our knowledge, pursuant to 18 U.S.C. §1350, as adopted pursuant to §906 of the Sarbanes-Oxley Act of 2002, that:</w:t>
      </w:r>
    </w:p>
    <w:p>
      <w:pPr>
        <w:spacing w:after="0" w:line="63"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600" w:val="left"/>
          <w:tab w:leader="none" w:pos="8380" w:val="left"/>
          <w:tab w:leader="none" w:pos="8740" w:val="left"/>
        </w:tabs>
        <w:rPr>
          <w:sz w:val="20"/>
          <w:szCs w:val="20"/>
          <w:color w:val="auto"/>
        </w:rPr>
      </w:pPr>
      <w:r>
        <w:rPr>
          <w:rFonts w:ascii="Arial" w:cs="Arial" w:eastAsia="Arial" w:hAnsi="Arial"/>
          <w:sz w:val="18"/>
          <w:szCs w:val="18"/>
          <w:color w:val="auto"/>
        </w:rPr>
        <w:t>Date:</w:t>
        <w:tab/>
        <w:t>August 2, 2018</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08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(Principal Executive Officer)</w:t>
      </w:r>
    </w:p>
    <w:p>
      <w:pPr>
        <w:spacing w:after="0" w:line="385" w:lineRule="exact"/>
        <w:rPr>
          <w:sz w:val="20"/>
          <w:szCs w:val="20"/>
          <w:color w:val="auto"/>
        </w:rPr>
      </w:pPr>
    </w:p>
    <w:p>
      <w:pPr>
        <w:ind w:left="40"/>
        <w:spacing w:after="0"/>
        <w:tabs>
          <w:tab w:leader="none" w:pos="600" w:val="left"/>
          <w:tab w:leader="none" w:pos="8180" w:val="left"/>
          <w:tab w:leader="none" w:pos="8540" w:val="left"/>
        </w:tabs>
        <w:rPr>
          <w:sz w:val="20"/>
          <w:szCs w:val="20"/>
          <w:color w:val="auto"/>
        </w:rPr>
      </w:pPr>
      <w:r>
        <w:rPr>
          <w:rFonts w:ascii="Arial" w:cs="Arial" w:eastAsia="Arial" w:hAnsi="Arial"/>
          <w:sz w:val="18"/>
          <w:szCs w:val="18"/>
          <w:color w:val="auto"/>
        </w:rPr>
        <w:t>Date:</w:t>
        <w:tab/>
        <w:t>August 2, 2018</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Senior Vice President, Chief Financial Officer and</w:t>
      </w:r>
    </w:p>
    <w:p>
      <w:pPr>
        <w:jc w:val="center"/>
        <w:ind w:left="7080"/>
        <w:spacing w:after="0" w:line="226" w:lineRule="auto"/>
        <w:rPr>
          <w:sz w:val="20"/>
          <w:szCs w:val="20"/>
          <w:color w:val="auto"/>
        </w:rPr>
      </w:pPr>
      <w:r>
        <w:rPr>
          <w:rFonts w:ascii="Arial" w:cs="Arial" w:eastAsia="Arial" w:hAnsi="Arial"/>
          <w:sz w:val="14"/>
          <w:szCs w:val="14"/>
          <w:b w:val="1"/>
          <w:bCs w:val="1"/>
          <w:color w:val="auto"/>
        </w:rPr>
        <w:t>Director of Westlake Chemical Partners GP LLC</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28" Type="http://schemas.openxmlformats.org/officeDocument/2006/relationships/hyperlink" Target="http://www.sec.gov/Archives/edgar/data/1604665/000119312518231463/d58375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2020-01-13T04:30:48Z</dcterms:created>
  <dcterms:modified xsi:type="dcterms:W3CDTF">2020-01-13T04:30:48Z</dcterms:modified>
</cp:coreProperties>
</file>